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Ex1.xml" ContentType="application/vnd.ms-office.chartex+xml"/>
  <Override PartName="/word/charts/style2.xml" ContentType="application/vnd.ms-office.chartstyle+xml"/>
  <Override PartName="/word/charts/colors2.xml" ContentType="application/vnd.ms-office.chartcolorstyle+xml"/>
  <Override PartName="/word/charts/chart2.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3.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4.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5.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6.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7.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8.xml" ContentType="application/vnd.openxmlformats-officedocument.drawingml.chart+xml"/>
  <Override PartName="/word/charts/style9.xml" ContentType="application/vnd.ms-office.chartstyle+xml"/>
  <Override PartName="/word/charts/colors9.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color w:val="4472C4" w:themeColor="accent1"/>
        </w:rPr>
        <w:id w:val="738749391"/>
        <w:docPartObj>
          <w:docPartGallery w:val="Cover Pages"/>
          <w:docPartUnique/>
        </w:docPartObj>
      </w:sdtPr>
      <w:sdtEndPr>
        <w:rPr>
          <w:rFonts w:ascii="Times New Roman" w:eastAsiaTheme="minorHAnsi" w:hAnsi="Times New Roman" w:cs="Times New Roman"/>
          <w:color w:val="auto"/>
          <w:kern w:val="2"/>
          <w:sz w:val="24"/>
          <w:szCs w:val="24"/>
          <w14:ligatures w14:val="standardContextual"/>
        </w:rPr>
      </w:sdtEndPr>
      <w:sdtContent>
        <w:p w14:paraId="6A844B2A" w14:textId="14D6F866" w:rsidR="00903678" w:rsidRDefault="00903678">
          <w:pPr>
            <w:pStyle w:val="NoSpacing"/>
            <w:spacing w:before="1540" w:after="240"/>
            <w:jc w:val="center"/>
            <w:rPr>
              <w:color w:val="4472C4" w:themeColor="accent1"/>
            </w:rPr>
          </w:pPr>
          <w:r>
            <w:rPr>
              <w:noProof/>
              <w:color w:val="4472C4" w:themeColor="accent1"/>
            </w:rPr>
            <w:drawing>
              <wp:inline distT="0" distB="0" distL="0" distR="0" wp14:anchorId="4D81510C" wp14:editId="750F143F">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9D33F5B609404A719D6E7A1787BBBC9C"/>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0448510" w14:textId="1F7830E6" w:rsidR="00903678" w:rsidRDefault="00903678">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Business Analytics</w:t>
              </w:r>
            </w:p>
          </w:sdtContent>
        </w:sdt>
        <w:sdt>
          <w:sdtPr>
            <w:rPr>
              <w:color w:val="4472C4" w:themeColor="accent1"/>
              <w:sz w:val="28"/>
              <w:szCs w:val="28"/>
            </w:rPr>
            <w:alias w:val="Subtitle"/>
            <w:tag w:val=""/>
            <w:id w:val="328029620"/>
            <w:placeholder>
              <w:docPart w:val="1B4B86CA9E5D4A6297FC1314D6DB8103"/>
            </w:placeholder>
            <w:dataBinding w:prefixMappings="xmlns:ns0='http://purl.org/dc/elements/1.1/' xmlns:ns1='http://schemas.openxmlformats.org/package/2006/metadata/core-properties' " w:xpath="/ns1:coreProperties[1]/ns0:subject[1]" w:storeItemID="{6C3C8BC8-F283-45AE-878A-BAB7291924A1}"/>
            <w:text/>
          </w:sdtPr>
          <w:sdtContent>
            <w:p w14:paraId="0FB1ABDB" w14:textId="44745B32" w:rsidR="00903678" w:rsidRDefault="00903678">
              <w:pPr>
                <w:pStyle w:val="NoSpacing"/>
                <w:jc w:val="center"/>
                <w:rPr>
                  <w:color w:val="4472C4" w:themeColor="accent1"/>
                  <w:sz w:val="28"/>
                  <w:szCs w:val="28"/>
                </w:rPr>
              </w:pPr>
              <w:r>
                <w:rPr>
                  <w:color w:val="4472C4" w:themeColor="accent1"/>
                  <w:sz w:val="28"/>
                  <w:szCs w:val="28"/>
                </w:rPr>
                <w:t>Assignment 1: Data Analytics</w:t>
              </w:r>
            </w:p>
          </w:sdtContent>
        </w:sdt>
        <w:p w14:paraId="1C5D90DB" w14:textId="77777777" w:rsidR="00903678" w:rsidRDefault="00903678">
          <w:pPr>
            <w:pStyle w:val="NoSpacing"/>
            <w:spacing w:before="480"/>
            <w:jc w:val="center"/>
            <w:rPr>
              <w:color w:val="4472C4" w:themeColor="accent1"/>
            </w:rPr>
          </w:pPr>
        </w:p>
        <w:p w14:paraId="07F5AB19" w14:textId="77777777" w:rsidR="00903678" w:rsidRDefault="00903678">
          <w:pPr>
            <w:pStyle w:val="NoSpacing"/>
            <w:spacing w:before="480"/>
            <w:jc w:val="center"/>
            <w:rPr>
              <w:color w:val="4472C4" w:themeColor="accent1"/>
            </w:rPr>
          </w:pPr>
        </w:p>
        <w:p w14:paraId="13750048" w14:textId="77777777" w:rsidR="00903678" w:rsidRDefault="00903678">
          <w:pPr>
            <w:pStyle w:val="NoSpacing"/>
            <w:spacing w:before="480"/>
            <w:jc w:val="center"/>
            <w:rPr>
              <w:color w:val="4472C4" w:themeColor="accent1"/>
            </w:rPr>
          </w:pPr>
        </w:p>
        <w:p w14:paraId="18EFEC51" w14:textId="77777777" w:rsidR="00903678" w:rsidRDefault="00903678">
          <w:pPr>
            <w:pStyle w:val="NoSpacing"/>
            <w:spacing w:before="480"/>
            <w:jc w:val="center"/>
            <w:rPr>
              <w:color w:val="4472C4" w:themeColor="accent1"/>
            </w:rPr>
          </w:pPr>
        </w:p>
        <w:p w14:paraId="6EB7A104" w14:textId="77777777" w:rsidR="00903678" w:rsidRDefault="00903678">
          <w:pPr>
            <w:pStyle w:val="NoSpacing"/>
            <w:spacing w:before="480"/>
            <w:jc w:val="center"/>
            <w:rPr>
              <w:color w:val="4472C4" w:themeColor="accent1"/>
            </w:rPr>
          </w:pPr>
        </w:p>
        <w:p w14:paraId="2E1A998C" w14:textId="15A90679" w:rsidR="00903678" w:rsidRDefault="00903678">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5E889B63" wp14:editId="39BE1163">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AB8373" w14:textId="683D4750" w:rsidR="00903678" w:rsidRDefault="00903678">
                                <w:pPr>
                                  <w:pStyle w:val="NoSpacing"/>
                                  <w:jc w:val="center"/>
                                  <w:rPr>
                                    <w:color w:val="4472C4"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E889B63"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74AB8373" w14:textId="683D4750" w:rsidR="00903678" w:rsidRDefault="00903678">
                          <w:pPr>
                            <w:pStyle w:val="NoSpacing"/>
                            <w:jc w:val="center"/>
                            <w:rPr>
                              <w:color w:val="4472C4" w:themeColor="accent1"/>
                            </w:rPr>
                          </w:pPr>
                        </w:p>
                      </w:txbxContent>
                    </v:textbox>
                    <w10:wrap anchorx="margin" anchory="page"/>
                  </v:shape>
                </w:pict>
              </mc:Fallback>
            </mc:AlternateContent>
          </w:r>
          <w:r>
            <w:rPr>
              <w:noProof/>
              <w:color w:val="4472C4" w:themeColor="accent1"/>
            </w:rPr>
            <w:drawing>
              <wp:inline distT="0" distB="0" distL="0" distR="0" wp14:anchorId="4BADD66F" wp14:editId="67084780">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tbl>
          <w:tblPr>
            <w:tblStyle w:val="TableGrid"/>
            <w:tblW w:w="0" w:type="auto"/>
            <w:tblLook w:val="04A0" w:firstRow="1" w:lastRow="0" w:firstColumn="1" w:lastColumn="0" w:noHBand="0" w:noVBand="1"/>
          </w:tblPr>
          <w:tblGrid>
            <w:gridCol w:w="4675"/>
            <w:gridCol w:w="4675"/>
          </w:tblGrid>
          <w:tr w:rsidR="00903678" w14:paraId="71CB749C" w14:textId="77777777" w:rsidTr="00903678">
            <w:tc>
              <w:tcPr>
                <w:tcW w:w="4675" w:type="dxa"/>
              </w:tcPr>
              <w:p w14:paraId="2F7A2BE1" w14:textId="42DAD561" w:rsidR="00903678" w:rsidRDefault="00903678">
                <w:pPr>
                  <w:rPr>
                    <w:rFonts w:ascii="Times New Roman" w:hAnsi="Times New Roman" w:cs="Times New Roman"/>
                    <w:sz w:val="24"/>
                    <w:szCs w:val="24"/>
                  </w:rPr>
                </w:pPr>
                <w:r>
                  <w:rPr>
                    <w:rFonts w:ascii="Times New Roman" w:hAnsi="Times New Roman" w:cs="Times New Roman"/>
                    <w:sz w:val="24"/>
                    <w:szCs w:val="24"/>
                  </w:rPr>
                  <w:t>Student Name</w:t>
                </w:r>
              </w:p>
            </w:tc>
            <w:tc>
              <w:tcPr>
                <w:tcW w:w="4675" w:type="dxa"/>
              </w:tcPr>
              <w:p w14:paraId="7CF22D94" w14:textId="15F58D93" w:rsidR="00903678" w:rsidRDefault="008362C5">
                <w:pPr>
                  <w:rPr>
                    <w:rFonts w:ascii="Times New Roman" w:hAnsi="Times New Roman" w:cs="Times New Roman"/>
                    <w:sz w:val="24"/>
                    <w:szCs w:val="24"/>
                  </w:rPr>
                </w:pPr>
                <w:r>
                  <w:rPr>
                    <w:rFonts w:ascii="Times New Roman" w:hAnsi="Times New Roman" w:cs="Times New Roman"/>
                    <w:sz w:val="24"/>
                    <w:szCs w:val="24"/>
                  </w:rPr>
                  <w:t>Dang Khoa Nguyen</w:t>
                </w:r>
              </w:p>
            </w:tc>
          </w:tr>
          <w:tr w:rsidR="00903678" w14:paraId="2387906C" w14:textId="77777777" w:rsidTr="00903678">
            <w:tc>
              <w:tcPr>
                <w:tcW w:w="4675" w:type="dxa"/>
              </w:tcPr>
              <w:p w14:paraId="2545699A" w14:textId="36D3CC3C" w:rsidR="00903678" w:rsidRDefault="00903678">
                <w:pPr>
                  <w:rPr>
                    <w:rFonts w:ascii="Times New Roman" w:hAnsi="Times New Roman" w:cs="Times New Roman"/>
                    <w:sz w:val="24"/>
                    <w:szCs w:val="24"/>
                  </w:rPr>
                </w:pPr>
                <w:r>
                  <w:rPr>
                    <w:rFonts w:ascii="Times New Roman" w:hAnsi="Times New Roman" w:cs="Times New Roman"/>
                    <w:sz w:val="24"/>
                    <w:szCs w:val="24"/>
                  </w:rPr>
                  <w:t>Student ID</w:t>
                </w:r>
              </w:p>
            </w:tc>
            <w:tc>
              <w:tcPr>
                <w:tcW w:w="4675" w:type="dxa"/>
              </w:tcPr>
              <w:p w14:paraId="72F10632" w14:textId="482EA18A" w:rsidR="00903678" w:rsidRDefault="008362C5">
                <w:pPr>
                  <w:rPr>
                    <w:rFonts w:ascii="Times New Roman" w:hAnsi="Times New Roman" w:cs="Times New Roman"/>
                    <w:sz w:val="24"/>
                    <w:szCs w:val="24"/>
                  </w:rPr>
                </w:pPr>
                <w:r>
                  <w:rPr>
                    <w:rFonts w:ascii="Times New Roman" w:hAnsi="Times New Roman" w:cs="Times New Roman"/>
                    <w:sz w:val="24"/>
                    <w:szCs w:val="24"/>
                  </w:rPr>
                  <w:t>S3891931</w:t>
                </w:r>
              </w:p>
            </w:tc>
          </w:tr>
          <w:tr w:rsidR="00903678" w14:paraId="0E530197" w14:textId="77777777" w:rsidTr="00903678">
            <w:tc>
              <w:tcPr>
                <w:tcW w:w="4675" w:type="dxa"/>
              </w:tcPr>
              <w:p w14:paraId="22BC3436" w14:textId="28F71D78" w:rsidR="00903678" w:rsidRDefault="00903678">
                <w:pPr>
                  <w:rPr>
                    <w:rFonts w:ascii="Times New Roman" w:hAnsi="Times New Roman" w:cs="Times New Roman"/>
                    <w:sz w:val="24"/>
                    <w:szCs w:val="24"/>
                  </w:rPr>
                </w:pPr>
                <w:r>
                  <w:rPr>
                    <w:rFonts w:ascii="Times New Roman" w:hAnsi="Times New Roman" w:cs="Times New Roman"/>
                    <w:sz w:val="24"/>
                    <w:szCs w:val="24"/>
                  </w:rPr>
                  <w:t>Course Name</w:t>
                </w:r>
              </w:p>
            </w:tc>
            <w:tc>
              <w:tcPr>
                <w:tcW w:w="4675" w:type="dxa"/>
              </w:tcPr>
              <w:p w14:paraId="292BBF34" w14:textId="52B69D2D" w:rsidR="00903678" w:rsidRDefault="008362C5">
                <w:pPr>
                  <w:rPr>
                    <w:rFonts w:ascii="Times New Roman" w:hAnsi="Times New Roman" w:cs="Times New Roman"/>
                    <w:sz w:val="24"/>
                    <w:szCs w:val="24"/>
                  </w:rPr>
                </w:pPr>
                <w:r>
                  <w:rPr>
                    <w:rFonts w:ascii="Times New Roman" w:hAnsi="Times New Roman" w:cs="Times New Roman"/>
                    <w:sz w:val="24"/>
                    <w:szCs w:val="24"/>
                  </w:rPr>
                  <w:t>Business Analytics</w:t>
                </w:r>
              </w:p>
            </w:tc>
          </w:tr>
          <w:tr w:rsidR="00903678" w14:paraId="1085C9A1" w14:textId="77777777" w:rsidTr="00903678">
            <w:tc>
              <w:tcPr>
                <w:tcW w:w="4675" w:type="dxa"/>
              </w:tcPr>
              <w:p w14:paraId="2170AD36" w14:textId="3A4F5828" w:rsidR="00903678" w:rsidRDefault="00903678">
                <w:pPr>
                  <w:rPr>
                    <w:rFonts w:ascii="Times New Roman" w:hAnsi="Times New Roman" w:cs="Times New Roman"/>
                    <w:sz w:val="24"/>
                    <w:szCs w:val="24"/>
                  </w:rPr>
                </w:pPr>
                <w:r>
                  <w:rPr>
                    <w:rFonts w:ascii="Times New Roman" w:hAnsi="Times New Roman" w:cs="Times New Roman"/>
                    <w:sz w:val="24"/>
                    <w:szCs w:val="24"/>
                  </w:rPr>
                  <w:t>Course ID</w:t>
                </w:r>
              </w:p>
            </w:tc>
            <w:tc>
              <w:tcPr>
                <w:tcW w:w="4675" w:type="dxa"/>
              </w:tcPr>
              <w:p w14:paraId="7AB1C2A9" w14:textId="60E9A30A" w:rsidR="00903678" w:rsidRDefault="008362C5">
                <w:pPr>
                  <w:rPr>
                    <w:rFonts w:ascii="Times New Roman" w:hAnsi="Times New Roman" w:cs="Times New Roman"/>
                    <w:sz w:val="24"/>
                    <w:szCs w:val="24"/>
                  </w:rPr>
                </w:pPr>
                <w:r>
                  <w:rPr>
                    <w:rFonts w:ascii="Times New Roman" w:hAnsi="Times New Roman" w:cs="Times New Roman"/>
                    <w:sz w:val="24"/>
                    <w:szCs w:val="24"/>
                  </w:rPr>
                  <w:t>ISYS3374</w:t>
                </w:r>
              </w:p>
            </w:tc>
          </w:tr>
          <w:tr w:rsidR="00903678" w14:paraId="004500C7" w14:textId="77777777" w:rsidTr="00903678">
            <w:tc>
              <w:tcPr>
                <w:tcW w:w="4675" w:type="dxa"/>
              </w:tcPr>
              <w:p w14:paraId="7794DF41" w14:textId="73F1ACBE" w:rsidR="00903678" w:rsidRDefault="00903678">
                <w:pPr>
                  <w:rPr>
                    <w:rFonts w:ascii="Times New Roman" w:hAnsi="Times New Roman" w:cs="Times New Roman"/>
                    <w:sz w:val="24"/>
                    <w:szCs w:val="24"/>
                  </w:rPr>
                </w:pPr>
                <w:r>
                  <w:rPr>
                    <w:rFonts w:ascii="Times New Roman" w:hAnsi="Times New Roman" w:cs="Times New Roman"/>
                    <w:sz w:val="24"/>
                    <w:szCs w:val="24"/>
                  </w:rPr>
                  <w:t>Lecturer’s Name</w:t>
                </w:r>
              </w:p>
            </w:tc>
            <w:tc>
              <w:tcPr>
                <w:tcW w:w="4675" w:type="dxa"/>
              </w:tcPr>
              <w:p w14:paraId="2545C28A" w14:textId="5138E98A" w:rsidR="00903678" w:rsidRDefault="008362C5">
                <w:pPr>
                  <w:rPr>
                    <w:rFonts w:ascii="Times New Roman" w:hAnsi="Times New Roman" w:cs="Times New Roman"/>
                    <w:sz w:val="24"/>
                    <w:szCs w:val="24"/>
                  </w:rPr>
                </w:pPr>
                <w:r>
                  <w:rPr>
                    <w:rFonts w:ascii="Times New Roman" w:hAnsi="Times New Roman" w:cs="Times New Roman"/>
                    <w:sz w:val="24"/>
                    <w:szCs w:val="24"/>
                  </w:rPr>
                  <w:t>Dr</w:t>
                </w:r>
                <w:r w:rsidR="00F23D61">
                  <w:rPr>
                    <w:rFonts w:ascii="Times New Roman" w:hAnsi="Times New Roman" w:cs="Times New Roman"/>
                    <w:sz w:val="24"/>
                    <w:szCs w:val="24"/>
                  </w:rPr>
                  <w:t xml:space="preserve"> Hadi </w:t>
                </w:r>
                <w:proofErr w:type="spellStart"/>
                <w:r w:rsidR="00F23D61">
                  <w:rPr>
                    <w:rFonts w:ascii="Times New Roman" w:hAnsi="Times New Roman" w:cs="Times New Roman"/>
                    <w:sz w:val="24"/>
                    <w:szCs w:val="24"/>
                  </w:rPr>
                  <w:t>Naghavipour</w:t>
                </w:r>
                <w:proofErr w:type="spellEnd"/>
                <w:r w:rsidR="00F23D61">
                  <w:rPr>
                    <w:rFonts w:ascii="Times New Roman" w:hAnsi="Times New Roman" w:cs="Times New Roman"/>
                    <w:sz w:val="24"/>
                    <w:szCs w:val="24"/>
                  </w:rPr>
                  <w:t xml:space="preserve"> </w:t>
                </w:r>
              </w:p>
            </w:tc>
          </w:tr>
          <w:tr w:rsidR="00903678" w14:paraId="5886D8AE" w14:textId="77777777" w:rsidTr="00903678">
            <w:tc>
              <w:tcPr>
                <w:tcW w:w="4675" w:type="dxa"/>
              </w:tcPr>
              <w:p w14:paraId="723B8132" w14:textId="2A410D1C" w:rsidR="00903678" w:rsidRDefault="008362C5">
                <w:pPr>
                  <w:rPr>
                    <w:rFonts w:ascii="Times New Roman" w:hAnsi="Times New Roman" w:cs="Times New Roman"/>
                    <w:sz w:val="24"/>
                    <w:szCs w:val="24"/>
                  </w:rPr>
                </w:pPr>
                <w:r>
                  <w:rPr>
                    <w:rFonts w:ascii="Times New Roman" w:hAnsi="Times New Roman" w:cs="Times New Roman"/>
                    <w:sz w:val="24"/>
                    <w:szCs w:val="24"/>
                  </w:rPr>
                  <w:t>Class time</w:t>
                </w:r>
              </w:p>
            </w:tc>
            <w:tc>
              <w:tcPr>
                <w:tcW w:w="4675" w:type="dxa"/>
              </w:tcPr>
              <w:p w14:paraId="6FD85020" w14:textId="79584BFC" w:rsidR="00903678" w:rsidRDefault="00F23D61">
                <w:pPr>
                  <w:rPr>
                    <w:rFonts w:ascii="Times New Roman" w:hAnsi="Times New Roman" w:cs="Times New Roman"/>
                    <w:sz w:val="24"/>
                    <w:szCs w:val="24"/>
                  </w:rPr>
                </w:pPr>
                <w:r>
                  <w:rPr>
                    <w:rFonts w:ascii="Times New Roman" w:hAnsi="Times New Roman" w:cs="Times New Roman"/>
                    <w:sz w:val="24"/>
                    <w:szCs w:val="24"/>
                  </w:rPr>
                  <w:t>Thursday 17:30 pm</w:t>
                </w:r>
              </w:p>
            </w:tc>
          </w:tr>
          <w:tr w:rsidR="00903678" w14:paraId="700A681D" w14:textId="77777777" w:rsidTr="00903678">
            <w:tc>
              <w:tcPr>
                <w:tcW w:w="4675" w:type="dxa"/>
              </w:tcPr>
              <w:p w14:paraId="48336B32" w14:textId="3EBEC6E3" w:rsidR="00903678" w:rsidRDefault="008362C5">
                <w:pPr>
                  <w:rPr>
                    <w:rFonts w:ascii="Times New Roman" w:hAnsi="Times New Roman" w:cs="Times New Roman"/>
                    <w:sz w:val="24"/>
                    <w:szCs w:val="24"/>
                  </w:rPr>
                </w:pPr>
                <w:r>
                  <w:rPr>
                    <w:rFonts w:ascii="Times New Roman" w:hAnsi="Times New Roman" w:cs="Times New Roman"/>
                    <w:sz w:val="24"/>
                    <w:szCs w:val="24"/>
                  </w:rPr>
                  <w:t>Word counts</w:t>
                </w:r>
              </w:p>
            </w:tc>
            <w:tc>
              <w:tcPr>
                <w:tcW w:w="4675" w:type="dxa"/>
              </w:tcPr>
              <w:p w14:paraId="77A42AC9" w14:textId="31AEB351" w:rsidR="00903678" w:rsidRDefault="00F23D61">
                <w:pPr>
                  <w:rPr>
                    <w:rFonts w:ascii="Times New Roman" w:hAnsi="Times New Roman" w:cs="Times New Roman"/>
                    <w:sz w:val="24"/>
                    <w:szCs w:val="24"/>
                  </w:rPr>
                </w:pPr>
                <w:r>
                  <w:rPr>
                    <w:rFonts w:ascii="Times New Roman" w:hAnsi="Times New Roman" w:cs="Times New Roman"/>
                    <w:sz w:val="24"/>
                    <w:szCs w:val="24"/>
                  </w:rPr>
                  <w:t>1321</w:t>
                </w:r>
              </w:p>
            </w:tc>
          </w:tr>
        </w:tbl>
        <w:p w14:paraId="5E390E3E" w14:textId="3574A366" w:rsidR="00903678" w:rsidRDefault="00903678">
          <w:pPr>
            <w:rPr>
              <w:rFonts w:ascii="Times New Roman" w:hAnsi="Times New Roman" w:cs="Times New Roman"/>
              <w:sz w:val="24"/>
              <w:szCs w:val="24"/>
            </w:rPr>
          </w:pPr>
          <w:r>
            <w:rPr>
              <w:rFonts w:ascii="Times New Roman" w:hAnsi="Times New Roman" w:cs="Times New Roman"/>
              <w:sz w:val="24"/>
              <w:szCs w:val="24"/>
            </w:rPr>
            <w:br w:type="page"/>
          </w:r>
        </w:p>
      </w:sdtContent>
    </w:sdt>
    <w:p w14:paraId="52795751" w14:textId="19A3127D" w:rsidR="00903678" w:rsidRDefault="00903678">
      <w:pPr>
        <w:rPr>
          <w:rFonts w:ascii="Times New Roman" w:hAnsi="Times New Roman" w:cs="Times New Roman"/>
          <w:b/>
          <w:bCs/>
          <w:sz w:val="24"/>
          <w:szCs w:val="24"/>
        </w:rPr>
      </w:pPr>
    </w:p>
    <w:p w14:paraId="1C04E977" w14:textId="31DEFC14" w:rsidR="007235AE" w:rsidRPr="000B3EC5" w:rsidRDefault="00883E8D" w:rsidP="000B3EC5">
      <w:pPr>
        <w:jc w:val="both"/>
        <w:rPr>
          <w:rFonts w:ascii="Times New Roman" w:hAnsi="Times New Roman" w:cs="Times New Roman"/>
          <w:b/>
          <w:bCs/>
          <w:sz w:val="24"/>
          <w:szCs w:val="24"/>
        </w:rPr>
      </w:pPr>
      <w:r w:rsidRPr="000B3EC5">
        <w:rPr>
          <w:rFonts w:ascii="Times New Roman" w:hAnsi="Times New Roman" w:cs="Times New Roman"/>
          <w:b/>
          <w:bCs/>
          <w:sz w:val="24"/>
          <w:szCs w:val="24"/>
        </w:rPr>
        <w:t xml:space="preserve">Question 1: </w:t>
      </w:r>
    </w:p>
    <w:p w14:paraId="1AF67D69" w14:textId="4CB1932B" w:rsidR="00856EDB" w:rsidRPr="000B3EC5" w:rsidRDefault="00856EDB" w:rsidP="000B3EC5">
      <w:pPr>
        <w:ind w:left="360"/>
        <w:jc w:val="center"/>
        <w:rPr>
          <w:rFonts w:ascii="Times New Roman" w:hAnsi="Times New Roman" w:cs="Times New Roman"/>
          <w:sz w:val="24"/>
          <w:szCs w:val="24"/>
        </w:rPr>
      </w:pPr>
      <w:r w:rsidRPr="000B3EC5">
        <w:rPr>
          <w:rFonts w:ascii="Times New Roman" w:hAnsi="Times New Roman" w:cs="Times New Roman"/>
          <w:noProof/>
          <w:sz w:val="24"/>
          <w:szCs w:val="24"/>
        </w:rPr>
        <w:drawing>
          <wp:inline distT="0" distB="0" distL="0" distR="0" wp14:anchorId="5367AAF7" wp14:editId="4B16B779">
            <wp:extent cx="4572000" cy="2743200"/>
            <wp:effectExtent l="0" t="0" r="0" b="0"/>
            <wp:docPr id="1035669377" name="Chart 1">
              <a:extLst xmlns:a="http://schemas.openxmlformats.org/drawingml/2006/main">
                <a:ext uri="{FF2B5EF4-FFF2-40B4-BE49-F238E27FC236}">
                  <a16:creationId xmlns:a16="http://schemas.microsoft.com/office/drawing/2014/main" id="{799E7AA7-B2DE-4BE5-B5AB-9201DD78AB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2BC93B0" w14:textId="53867AD1" w:rsidR="00856EDB" w:rsidRPr="000B3EC5" w:rsidRDefault="00856EDB" w:rsidP="000B3EC5">
      <w:pPr>
        <w:ind w:left="360"/>
        <w:jc w:val="center"/>
        <w:rPr>
          <w:rFonts w:ascii="Times New Roman" w:hAnsi="Times New Roman" w:cs="Times New Roman"/>
          <w:sz w:val="24"/>
          <w:szCs w:val="24"/>
        </w:rPr>
      </w:pPr>
      <w:r w:rsidRPr="000B3EC5">
        <w:rPr>
          <w:rFonts w:ascii="Times New Roman" w:hAnsi="Times New Roman" w:cs="Times New Roman"/>
          <w:i/>
          <w:iCs/>
          <w:sz w:val="24"/>
          <w:szCs w:val="24"/>
        </w:rPr>
        <w:t>Figure 1:</w:t>
      </w:r>
      <w:r w:rsidRPr="000B3EC5">
        <w:rPr>
          <w:rFonts w:ascii="Times New Roman" w:hAnsi="Times New Roman" w:cs="Times New Roman"/>
          <w:sz w:val="24"/>
          <w:szCs w:val="24"/>
        </w:rPr>
        <w:t xml:space="preserve"> Distribution of price for houses with two car parks and more than two car parks</w:t>
      </w:r>
    </w:p>
    <w:p w14:paraId="32A9835D" w14:textId="02195D39" w:rsidR="00856EDB" w:rsidRPr="000B3EC5" w:rsidRDefault="00544CFC" w:rsidP="000B3EC5">
      <w:pPr>
        <w:jc w:val="both"/>
        <w:rPr>
          <w:rFonts w:ascii="Times New Roman" w:hAnsi="Times New Roman" w:cs="Times New Roman"/>
          <w:sz w:val="24"/>
          <w:szCs w:val="24"/>
        </w:rPr>
      </w:pPr>
      <w:r w:rsidRPr="000B3EC5">
        <w:rPr>
          <w:rFonts w:ascii="Times New Roman" w:hAnsi="Times New Roman" w:cs="Times New Roman"/>
          <w:sz w:val="24"/>
          <w:szCs w:val="24"/>
        </w:rPr>
        <w:t xml:space="preserve">The distribution chart illustrates how the number of car park influences house prices. Houses with </w:t>
      </w:r>
      <w:r w:rsidRPr="000B3EC5">
        <w:rPr>
          <w:rFonts w:ascii="Times New Roman" w:hAnsi="Times New Roman" w:cs="Times New Roman"/>
          <w:b/>
          <w:bCs/>
          <w:sz w:val="24"/>
          <w:szCs w:val="24"/>
        </w:rPr>
        <w:t>two car parks</w:t>
      </w:r>
      <w:r w:rsidRPr="000B3EC5">
        <w:rPr>
          <w:rFonts w:ascii="Times New Roman" w:hAnsi="Times New Roman" w:cs="Times New Roman"/>
          <w:sz w:val="24"/>
          <w:szCs w:val="24"/>
        </w:rPr>
        <w:t xml:space="preserve"> dominate the lower price ranges, particularly between </w:t>
      </w:r>
      <w:r w:rsidRPr="000B3EC5">
        <w:rPr>
          <w:rFonts w:ascii="Times New Roman" w:hAnsi="Times New Roman" w:cs="Times New Roman"/>
          <w:b/>
          <w:bCs/>
          <w:sz w:val="24"/>
          <w:szCs w:val="24"/>
        </w:rPr>
        <w:t>$1 million and</w:t>
      </w:r>
      <w:r w:rsidR="00E07141" w:rsidRPr="000B3EC5">
        <w:rPr>
          <w:rFonts w:ascii="Times New Roman" w:hAnsi="Times New Roman" w:cs="Times New Roman"/>
          <w:b/>
          <w:bCs/>
          <w:sz w:val="24"/>
          <w:szCs w:val="24"/>
        </w:rPr>
        <w:t xml:space="preserve"> </w:t>
      </w:r>
      <w:r w:rsidR="001B4922" w:rsidRPr="000B3EC5">
        <w:rPr>
          <w:rFonts w:ascii="Times New Roman" w:hAnsi="Times New Roman" w:cs="Times New Roman"/>
          <w:b/>
          <w:bCs/>
          <w:sz w:val="24"/>
          <w:szCs w:val="24"/>
        </w:rPr>
        <w:t>$1.99 million</w:t>
      </w:r>
      <w:r w:rsidR="001B4922" w:rsidRPr="000B3EC5">
        <w:rPr>
          <w:rFonts w:ascii="Times New Roman" w:hAnsi="Times New Roman" w:cs="Times New Roman"/>
          <w:sz w:val="24"/>
          <w:szCs w:val="24"/>
        </w:rPr>
        <w:t xml:space="preserve">, and continue to be more frequent in the </w:t>
      </w:r>
      <w:r w:rsidR="001B4922" w:rsidRPr="000B3EC5">
        <w:rPr>
          <w:rFonts w:ascii="Times New Roman" w:hAnsi="Times New Roman" w:cs="Times New Roman"/>
          <w:b/>
          <w:bCs/>
          <w:sz w:val="24"/>
          <w:szCs w:val="24"/>
        </w:rPr>
        <w:t>$2 million to $2.99 million</w:t>
      </w:r>
      <w:r w:rsidR="001B4922" w:rsidRPr="000B3EC5">
        <w:rPr>
          <w:rFonts w:ascii="Times New Roman" w:hAnsi="Times New Roman" w:cs="Times New Roman"/>
          <w:sz w:val="24"/>
          <w:szCs w:val="24"/>
        </w:rPr>
        <w:t xml:space="preserve"> range. In contrast, houses with more than two car parks are significantly fewer in number across all brackets. </w:t>
      </w:r>
      <w:r w:rsidR="001B4922" w:rsidRPr="000B3EC5">
        <w:rPr>
          <w:rFonts w:ascii="Times New Roman" w:hAnsi="Times New Roman" w:cs="Times New Roman"/>
          <w:sz w:val="24"/>
          <w:szCs w:val="24"/>
        </w:rPr>
        <w:t xml:space="preserve">As prices rise above </w:t>
      </w:r>
      <w:r w:rsidR="001B4922" w:rsidRPr="000B3EC5">
        <w:rPr>
          <w:rFonts w:ascii="Times New Roman" w:hAnsi="Times New Roman" w:cs="Times New Roman"/>
          <w:b/>
          <w:bCs/>
          <w:sz w:val="24"/>
          <w:szCs w:val="24"/>
        </w:rPr>
        <w:t>$3 million</w:t>
      </w:r>
      <w:r w:rsidR="001B4922" w:rsidRPr="000B3EC5">
        <w:rPr>
          <w:rFonts w:ascii="Times New Roman" w:hAnsi="Times New Roman" w:cs="Times New Roman"/>
          <w:sz w:val="24"/>
          <w:szCs w:val="24"/>
        </w:rPr>
        <w:t>, the number of houses decreases sharply for both categories, with houses offering more than two car parks remaining scarce</w:t>
      </w:r>
      <w:r w:rsidR="001B4922" w:rsidRPr="000B3EC5">
        <w:rPr>
          <w:rFonts w:ascii="Times New Roman" w:hAnsi="Times New Roman" w:cs="Times New Roman"/>
          <w:sz w:val="24"/>
          <w:szCs w:val="24"/>
        </w:rPr>
        <w:t xml:space="preserve">. </w:t>
      </w:r>
      <w:r w:rsidR="001B4922" w:rsidRPr="000B3EC5">
        <w:rPr>
          <w:rFonts w:ascii="Times New Roman" w:hAnsi="Times New Roman" w:cs="Times New Roman"/>
          <w:sz w:val="24"/>
          <w:szCs w:val="24"/>
        </w:rPr>
        <w:t>This suggests that while additional car spaces might be associated with higher-priced homes, they remain relatively rare features in the housing market</w:t>
      </w:r>
      <w:r w:rsidR="001B4922" w:rsidRPr="000B3EC5">
        <w:rPr>
          <w:rFonts w:ascii="Times New Roman" w:hAnsi="Times New Roman" w:cs="Times New Roman"/>
          <w:sz w:val="24"/>
          <w:szCs w:val="24"/>
        </w:rPr>
        <w:t xml:space="preserve">. </w:t>
      </w:r>
    </w:p>
    <w:p w14:paraId="23DFE781" w14:textId="7113B234" w:rsidR="00856EDB" w:rsidRPr="000B3EC5" w:rsidRDefault="00856EDB" w:rsidP="000B3EC5">
      <w:pPr>
        <w:ind w:left="360"/>
        <w:jc w:val="center"/>
        <w:rPr>
          <w:rFonts w:ascii="Times New Roman" w:hAnsi="Times New Roman" w:cs="Times New Roman"/>
          <w:sz w:val="24"/>
          <w:szCs w:val="24"/>
        </w:rPr>
      </w:pPr>
      <w:r w:rsidRPr="000B3EC5">
        <w:rPr>
          <w:rFonts w:ascii="Times New Roman" w:hAnsi="Times New Roman" w:cs="Times New Roman"/>
          <w:noProof/>
          <w:sz w:val="24"/>
          <w:szCs w:val="24"/>
        </w:rPr>
        <mc:AlternateContent>
          <mc:Choice Requires="cx1">
            <w:drawing>
              <wp:inline distT="0" distB="0" distL="0" distR="0" wp14:anchorId="1BA87565" wp14:editId="28AC6AF3">
                <wp:extent cx="4572000" cy="2743200"/>
                <wp:effectExtent l="0" t="0" r="0" b="0"/>
                <wp:docPr id="2042097886" name="Chart 1">
                  <a:extLst xmlns:a="http://schemas.openxmlformats.org/drawingml/2006/main">
                    <a:ext uri="{FF2B5EF4-FFF2-40B4-BE49-F238E27FC236}">
                      <a16:creationId xmlns:a16="http://schemas.microsoft.com/office/drawing/2014/main" id="{3F588B57-36F8-8B7F-BC69-8B7E736DBCF7}"/>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0"/>
                  </a:graphicData>
                </a:graphic>
              </wp:inline>
            </w:drawing>
          </mc:Choice>
          <mc:Fallback>
            <w:drawing>
              <wp:inline distT="0" distB="0" distL="0" distR="0" wp14:anchorId="1BA87565" wp14:editId="28AC6AF3">
                <wp:extent cx="4572000" cy="2743200"/>
                <wp:effectExtent l="0" t="0" r="0" b="0"/>
                <wp:docPr id="2042097886" name="Chart 1">
                  <a:extLst xmlns:a="http://schemas.openxmlformats.org/drawingml/2006/main">
                    <a:ext uri="{FF2B5EF4-FFF2-40B4-BE49-F238E27FC236}">
                      <a16:creationId xmlns:a16="http://schemas.microsoft.com/office/drawing/2014/main" id="{3F588B57-36F8-8B7F-BC69-8B7E736DBCF7}"/>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042097886" name="Chart 1">
                          <a:extLst>
                            <a:ext uri="{FF2B5EF4-FFF2-40B4-BE49-F238E27FC236}">
                              <a16:creationId xmlns:a16="http://schemas.microsoft.com/office/drawing/2014/main" id="{3F588B57-36F8-8B7F-BC69-8B7E736DBCF7}"/>
                            </a:ext>
                          </a:extLst>
                        </pic:cNvPr>
                        <pic:cNvPicPr>
                          <a:picLocks noGrp="1" noRot="1" noChangeAspect="1" noMove="1" noResize="1" noEditPoints="1" noAdjustHandles="1" noChangeArrowheads="1" noChangeShapeType="1"/>
                        </pic:cNvPicPr>
                      </pic:nvPicPr>
                      <pic:blipFill>
                        <a:blip r:embed="rId11"/>
                        <a:stretch>
                          <a:fillRect/>
                        </a:stretch>
                      </pic:blipFill>
                      <pic:spPr>
                        <a:xfrm>
                          <a:off x="0" y="0"/>
                          <a:ext cx="4572000" cy="2743200"/>
                        </a:xfrm>
                        <a:prstGeom prst="rect">
                          <a:avLst/>
                        </a:prstGeom>
                      </pic:spPr>
                    </pic:pic>
                  </a:graphicData>
                </a:graphic>
              </wp:inline>
            </w:drawing>
          </mc:Fallback>
        </mc:AlternateContent>
      </w:r>
    </w:p>
    <w:p w14:paraId="4C11A02A" w14:textId="0CDCC8CA" w:rsidR="00856EDB" w:rsidRPr="000B3EC5" w:rsidRDefault="00856EDB" w:rsidP="000B3EC5">
      <w:pPr>
        <w:ind w:left="360"/>
        <w:jc w:val="center"/>
        <w:rPr>
          <w:rFonts w:ascii="Times New Roman" w:hAnsi="Times New Roman" w:cs="Times New Roman"/>
          <w:sz w:val="24"/>
          <w:szCs w:val="24"/>
        </w:rPr>
      </w:pPr>
      <w:r w:rsidRPr="000B3EC5">
        <w:rPr>
          <w:rFonts w:ascii="Times New Roman" w:hAnsi="Times New Roman" w:cs="Times New Roman"/>
          <w:i/>
          <w:iCs/>
          <w:sz w:val="24"/>
          <w:szCs w:val="24"/>
        </w:rPr>
        <w:lastRenderedPageBreak/>
        <w:t>Figure 2:</w:t>
      </w:r>
      <w:r w:rsidRPr="000B3EC5">
        <w:rPr>
          <w:rFonts w:ascii="Times New Roman" w:hAnsi="Times New Roman" w:cs="Times New Roman"/>
          <w:sz w:val="24"/>
          <w:szCs w:val="24"/>
        </w:rPr>
        <w:t xml:space="preserve"> Outlier in the price variable pertaining to each suburb</w:t>
      </w:r>
    </w:p>
    <w:p w14:paraId="58BE0856" w14:textId="62F6A4BB" w:rsidR="001B4922" w:rsidRPr="000B3EC5" w:rsidRDefault="00E46FE1" w:rsidP="000B3EC5">
      <w:pPr>
        <w:ind w:left="360"/>
        <w:jc w:val="both"/>
        <w:rPr>
          <w:rFonts w:ascii="Times New Roman" w:hAnsi="Times New Roman" w:cs="Times New Roman"/>
          <w:sz w:val="24"/>
          <w:szCs w:val="24"/>
        </w:rPr>
      </w:pPr>
      <w:r w:rsidRPr="000B3EC5">
        <w:rPr>
          <w:rFonts w:ascii="Times New Roman" w:hAnsi="Times New Roman" w:cs="Times New Roman"/>
          <w:sz w:val="24"/>
          <w:szCs w:val="24"/>
        </w:rPr>
        <w:t xml:space="preserve">The box plot shows key price outliers across various suburbs. </w:t>
      </w:r>
      <w:r w:rsidRPr="000B3EC5">
        <w:rPr>
          <w:rFonts w:ascii="Times New Roman" w:hAnsi="Times New Roman" w:cs="Times New Roman"/>
          <w:b/>
          <w:bCs/>
          <w:sz w:val="24"/>
          <w:szCs w:val="24"/>
        </w:rPr>
        <w:t>Kew</w:t>
      </w:r>
      <w:r w:rsidRPr="000B3EC5">
        <w:rPr>
          <w:rFonts w:ascii="Times New Roman" w:hAnsi="Times New Roman" w:cs="Times New Roman"/>
          <w:sz w:val="24"/>
          <w:szCs w:val="24"/>
        </w:rPr>
        <w:t xml:space="preserve"> stands out with several high-priced outliers, </w:t>
      </w:r>
      <w:r w:rsidRPr="000B3EC5">
        <w:rPr>
          <w:rFonts w:ascii="Times New Roman" w:hAnsi="Times New Roman" w:cs="Times New Roman"/>
          <w:sz w:val="24"/>
          <w:szCs w:val="24"/>
        </w:rPr>
        <w:t xml:space="preserve">including properties above $5 million, indicating a concentration of luxury homes. </w:t>
      </w:r>
      <w:r w:rsidRPr="000B3EC5">
        <w:rPr>
          <w:rFonts w:ascii="Times New Roman" w:hAnsi="Times New Roman" w:cs="Times New Roman"/>
          <w:b/>
          <w:bCs/>
          <w:sz w:val="24"/>
          <w:szCs w:val="24"/>
        </w:rPr>
        <w:t xml:space="preserve">Fitzroy </w:t>
      </w:r>
      <w:r w:rsidRPr="000B3EC5">
        <w:rPr>
          <w:rFonts w:ascii="Times New Roman" w:hAnsi="Times New Roman" w:cs="Times New Roman"/>
          <w:sz w:val="24"/>
          <w:szCs w:val="24"/>
        </w:rPr>
        <w:t xml:space="preserve">also shows a few outliers, though at lower price points, with prices occasionally exceeding $2 million. In contrast, suburbs like </w:t>
      </w:r>
      <w:r w:rsidRPr="000B3EC5">
        <w:rPr>
          <w:rFonts w:ascii="Times New Roman" w:hAnsi="Times New Roman" w:cs="Times New Roman"/>
          <w:b/>
          <w:bCs/>
          <w:sz w:val="24"/>
          <w:szCs w:val="24"/>
        </w:rPr>
        <w:t>Melton</w:t>
      </w:r>
      <w:r w:rsidRPr="000B3EC5">
        <w:rPr>
          <w:rFonts w:ascii="Times New Roman" w:hAnsi="Times New Roman" w:cs="Times New Roman"/>
          <w:sz w:val="24"/>
          <w:szCs w:val="24"/>
        </w:rPr>
        <w:t xml:space="preserve"> and </w:t>
      </w:r>
      <w:r w:rsidRPr="000B3EC5">
        <w:rPr>
          <w:rFonts w:ascii="Times New Roman" w:hAnsi="Times New Roman" w:cs="Times New Roman"/>
          <w:b/>
          <w:bCs/>
          <w:sz w:val="24"/>
          <w:szCs w:val="24"/>
        </w:rPr>
        <w:t>Reservoir</w:t>
      </w:r>
      <w:r w:rsidRPr="000B3EC5">
        <w:rPr>
          <w:rFonts w:ascii="Times New Roman" w:hAnsi="Times New Roman" w:cs="Times New Roman"/>
          <w:sz w:val="24"/>
          <w:szCs w:val="24"/>
        </w:rPr>
        <w:t xml:space="preserve"> display more consistent price distributions with fewer or no significant outliers</w:t>
      </w:r>
      <w:r w:rsidRPr="000B3EC5">
        <w:rPr>
          <w:rFonts w:ascii="Times New Roman" w:hAnsi="Times New Roman" w:cs="Times New Roman"/>
          <w:sz w:val="24"/>
          <w:szCs w:val="24"/>
        </w:rPr>
        <w:t xml:space="preserve">. This suggests that suburbs like Kew experience greater price variability due to the presence of high-end properties, while other suburbs have more stable price ranges. </w:t>
      </w:r>
    </w:p>
    <w:p w14:paraId="29CEFE4A" w14:textId="612AD2EE" w:rsidR="00856EDB" w:rsidRPr="000B3EC5" w:rsidRDefault="000B3EC5" w:rsidP="000B3EC5">
      <w:pPr>
        <w:jc w:val="both"/>
        <w:rPr>
          <w:rFonts w:ascii="Times New Roman" w:hAnsi="Times New Roman" w:cs="Times New Roman"/>
          <w:b/>
          <w:bCs/>
          <w:sz w:val="24"/>
          <w:szCs w:val="24"/>
        </w:rPr>
      </w:pPr>
      <w:r w:rsidRPr="000B3EC5">
        <w:rPr>
          <w:rFonts w:ascii="Times New Roman" w:hAnsi="Times New Roman" w:cs="Times New Roman"/>
          <w:b/>
          <w:bCs/>
          <w:sz w:val="24"/>
          <w:szCs w:val="24"/>
        </w:rPr>
        <w:t>Question 2:</w:t>
      </w:r>
    </w:p>
    <w:p w14:paraId="04BF1B81" w14:textId="4D303239" w:rsidR="00856EDB" w:rsidRPr="000B3EC5" w:rsidRDefault="006F708F" w:rsidP="000B3EC5">
      <w:pPr>
        <w:ind w:left="360"/>
        <w:jc w:val="center"/>
        <w:rPr>
          <w:rFonts w:ascii="Times New Roman" w:hAnsi="Times New Roman" w:cs="Times New Roman"/>
          <w:sz w:val="24"/>
          <w:szCs w:val="24"/>
        </w:rPr>
      </w:pPr>
      <w:r w:rsidRPr="000B3EC5">
        <w:rPr>
          <w:rFonts w:ascii="Times New Roman" w:hAnsi="Times New Roman" w:cs="Times New Roman"/>
          <w:noProof/>
          <w:sz w:val="24"/>
          <w:szCs w:val="24"/>
        </w:rPr>
        <w:drawing>
          <wp:inline distT="0" distB="0" distL="0" distR="0" wp14:anchorId="72525A5B" wp14:editId="03020D73">
            <wp:extent cx="4770677" cy="2638425"/>
            <wp:effectExtent l="0" t="0" r="0" b="0"/>
            <wp:docPr id="179657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78675" cy="2642848"/>
                    </a:xfrm>
                    <a:prstGeom prst="rect">
                      <a:avLst/>
                    </a:prstGeom>
                    <a:noFill/>
                  </pic:spPr>
                </pic:pic>
              </a:graphicData>
            </a:graphic>
          </wp:inline>
        </w:drawing>
      </w:r>
    </w:p>
    <w:p w14:paraId="52799412" w14:textId="42EADEC9" w:rsidR="00856EDB" w:rsidRPr="000B3EC5" w:rsidRDefault="00856EDB" w:rsidP="000B3EC5">
      <w:pPr>
        <w:ind w:left="360"/>
        <w:jc w:val="center"/>
        <w:rPr>
          <w:rFonts w:ascii="Times New Roman" w:hAnsi="Times New Roman" w:cs="Times New Roman"/>
          <w:sz w:val="24"/>
          <w:szCs w:val="24"/>
        </w:rPr>
      </w:pPr>
      <w:r w:rsidRPr="000B3EC5">
        <w:rPr>
          <w:rFonts w:ascii="Times New Roman" w:hAnsi="Times New Roman" w:cs="Times New Roman"/>
          <w:i/>
          <w:iCs/>
          <w:sz w:val="24"/>
          <w:szCs w:val="24"/>
        </w:rPr>
        <w:t>Figure 3:</w:t>
      </w:r>
      <w:r w:rsidRPr="000B3EC5">
        <w:rPr>
          <w:rFonts w:ascii="Times New Roman" w:hAnsi="Times New Roman" w:cs="Times New Roman"/>
          <w:sz w:val="24"/>
          <w:szCs w:val="24"/>
        </w:rPr>
        <w:t xml:space="preserve"> Relationship between price and </w:t>
      </w:r>
      <w:proofErr w:type="spellStart"/>
      <w:r w:rsidR="002F4165" w:rsidRPr="000B3EC5">
        <w:rPr>
          <w:rFonts w:ascii="Times New Roman" w:hAnsi="Times New Roman" w:cs="Times New Roman"/>
          <w:sz w:val="24"/>
          <w:szCs w:val="24"/>
        </w:rPr>
        <w:t>landsize</w:t>
      </w:r>
      <w:proofErr w:type="spellEnd"/>
      <w:r w:rsidR="002F4165" w:rsidRPr="000B3EC5">
        <w:rPr>
          <w:rFonts w:ascii="Times New Roman" w:hAnsi="Times New Roman" w:cs="Times New Roman"/>
          <w:sz w:val="24"/>
          <w:szCs w:val="24"/>
        </w:rPr>
        <w:t xml:space="preserve"> </w:t>
      </w:r>
      <w:r w:rsidRPr="000B3EC5">
        <w:rPr>
          <w:rFonts w:ascii="Times New Roman" w:hAnsi="Times New Roman" w:cs="Times New Roman"/>
          <w:sz w:val="24"/>
          <w:szCs w:val="24"/>
        </w:rPr>
        <w:t>in Albert Park</w:t>
      </w:r>
    </w:p>
    <w:p w14:paraId="55B0C9FC" w14:textId="25407ED3" w:rsidR="00E46FE1" w:rsidRPr="000B3EC5" w:rsidRDefault="006F708F" w:rsidP="000B3EC5">
      <w:pPr>
        <w:ind w:left="360"/>
        <w:jc w:val="both"/>
        <w:rPr>
          <w:rFonts w:ascii="Times New Roman" w:hAnsi="Times New Roman" w:cs="Times New Roman"/>
          <w:sz w:val="24"/>
          <w:szCs w:val="24"/>
        </w:rPr>
      </w:pPr>
      <w:r w:rsidRPr="000B3EC5">
        <w:rPr>
          <w:rFonts w:ascii="Times New Roman" w:hAnsi="Times New Roman" w:cs="Times New Roman"/>
          <w:sz w:val="24"/>
          <w:szCs w:val="24"/>
        </w:rPr>
        <w:t xml:space="preserve">The scatter plot for </w:t>
      </w:r>
      <w:r w:rsidRPr="00903678">
        <w:rPr>
          <w:rFonts w:ascii="Times New Roman" w:hAnsi="Times New Roman" w:cs="Times New Roman"/>
          <w:b/>
          <w:bCs/>
          <w:sz w:val="24"/>
          <w:szCs w:val="24"/>
        </w:rPr>
        <w:t>Albert Park</w:t>
      </w:r>
      <w:r w:rsidRPr="000B3EC5">
        <w:rPr>
          <w:rFonts w:ascii="Times New Roman" w:hAnsi="Times New Roman" w:cs="Times New Roman"/>
          <w:sz w:val="24"/>
          <w:szCs w:val="24"/>
        </w:rPr>
        <w:t xml:space="preserve"> shows a positive relationship between land size and price. As land size increases, the price of properties generally tends to rise, indicating that larger plots of land in this suburb command higher values</w:t>
      </w:r>
      <w:r w:rsidRPr="000B3EC5">
        <w:rPr>
          <w:rFonts w:ascii="Times New Roman" w:hAnsi="Times New Roman" w:cs="Times New Roman"/>
          <w:sz w:val="24"/>
          <w:szCs w:val="24"/>
        </w:rPr>
        <w:t xml:space="preserve">. </w:t>
      </w:r>
      <w:r w:rsidRPr="000B3EC5">
        <w:rPr>
          <w:rFonts w:ascii="Times New Roman" w:hAnsi="Times New Roman" w:cs="Times New Roman"/>
          <w:sz w:val="24"/>
          <w:szCs w:val="24"/>
        </w:rPr>
        <w:t>However, the data points show some variability around the trendline, with certain properties having larger land sizes but not corresponding to significantly higher prices, suggesting other factors may also affect property values</w:t>
      </w:r>
      <w:r w:rsidRPr="000B3EC5">
        <w:rPr>
          <w:rFonts w:ascii="Times New Roman" w:hAnsi="Times New Roman" w:cs="Times New Roman"/>
          <w:sz w:val="24"/>
          <w:szCs w:val="24"/>
        </w:rPr>
        <w:t xml:space="preserve">. </w:t>
      </w:r>
    </w:p>
    <w:p w14:paraId="6E118F5F" w14:textId="7040FF13" w:rsidR="006F708F" w:rsidRPr="000B3EC5" w:rsidRDefault="00502E0A" w:rsidP="000B3EC5">
      <w:pPr>
        <w:ind w:left="360"/>
        <w:jc w:val="center"/>
        <w:rPr>
          <w:rFonts w:ascii="Times New Roman" w:hAnsi="Times New Roman" w:cs="Times New Roman"/>
          <w:sz w:val="24"/>
          <w:szCs w:val="24"/>
        </w:rPr>
      </w:pPr>
      <w:r w:rsidRPr="000B3EC5">
        <w:rPr>
          <w:rFonts w:ascii="Times New Roman" w:hAnsi="Times New Roman" w:cs="Times New Roman"/>
          <w:noProof/>
          <w:sz w:val="24"/>
          <w:szCs w:val="24"/>
        </w:rPr>
        <w:lastRenderedPageBreak/>
        <w:drawing>
          <wp:inline distT="0" distB="0" distL="0" distR="0" wp14:anchorId="08868001" wp14:editId="28748B23">
            <wp:extent cx="4572000" cy="2743200"/>
            <wp:effectExtent l="0" t="0" r="0" b="0"/>
            <wp:docPr id="275836973" name="Chart 1">
              <a:extLst xmlns:a="http://schemas.openxmlformats.org/drawingml/2006/main">
                <a:ext uri="{FF2B5EF4-FFF2-40B4-BE49-F238E27FC236}">
                  <a16:creationId xmlns:a16="http://schemas.microsoft.com/office/drawing/2014/main" id="{31697C3F-2052-5334-AAE8-AEC89AF1B31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AC2497F" w14:textId="69228927" w:rsidR="00502E0A" w:rsidRPr="000B3EC5" w:rsidRDefault="00502E0A" w:rsidP="000B3EC5">
      <w:pPr>
        <w:ind w:left="360"/>
        <w:jc w:val="center"/>
        <w:rPr>
          <w:rFonts w:ascii="Times New Roman" w:hAnsi="Times New Roman" w:cs="Times New Roman"/>
          <w:sz w:val="24"/>
          <w:szCs w:val="24"/>
        </w:rPr>
      </w:pPr>
      <w:r w:rsidRPr="000B3EC5">
        <w:rPr>
          <w:rFonts w:ascii="Times New Roman" w:hAnsi="Times New Roman" w:cs="Times New Roman"/>
          <w:i/>
          <w:iCs/>
          <w:sz w:val="24"/>
          <w:szCs w:val="24"/>
        </w:rPr>
        <w:t xml:space="preserve">Figure </w:t>
      </w:r>
      <w:r w:rsidRPr="000B3EC5">
        <w:rPr>
          <w:rFonts w:ascii="Times New Roman" w:hAnsi="Times New Roman" w:cs="Times New Roman"/>
          <w:i/>
          <w:iCs/>
          <w:sz w:val="24"/>
          <w:szCs w:val="24"/>
        </w:rPr>
        <w:t>4</w:t>
      </w:r>
      <w:r w:rsidRPr="000B3EC5">
        <w:rPr>
          <w:rFonts w:ascii="Times New Roman" w:hAnsi="Times New Roman" w:cs="Times New Roman"/>
          <w:sz w:val="24"/>
          <w:szCs w:val="24"/>
        </w:rPr>
        <w:t>: Relationship between price and land</w:t>
      </w:r>
      <w:r w:rsidR="003E242A" w:rsidRPr="000B3EC5">
        <w:rPr>
          <w:rFonts w:ascii="Times New Roman" w:hAnsi="Times New Roman" w:cs="Times New Roman"/>
          <w:sz w:val="24"/>
          <w:szCs w:val="24"/>
        </w:rPr>
        <w:t xml:space="preserve"> </w:t>
      </w:r>
      <w:r w:rsidRPr="000B3EC5">
        <w:rPr>
          <w:rFonts w:ascii="Times New Roman" w:hAnsi="Times New Roman" w:cs="Times New Roman"/>
          <w:sz w:val="24"/>
          <w:szCs w:val="24"/>
        </w:rPr>
        <w:t xml:space="preserve">size in </w:t>
      </w:r>
      <w:r w:rsidRPr="000B3EC5">
        <w:rPr>
          <w:rFonts w:ascii="Times New Roman" w:hAnsi="Times New Roman" w:cs="Times New Roman"/>
          <w:sz w:val="24"/>
          <w:szCs w:val="24"/>
        </w:rPr>
        <w:t>Brunswick East</w:t>
      </w:r>
    </w:p>
    <w:p w14:paraId="54C27FA9" w14:textId="6C2692B4" w:rsidR="003E242A" w:rsidRPr="000B3EC5" w:rsidRDefault="003E242A" w:rsidP="000B3EC5">
      <w:pPr>
        <w:ind w:left="360"/>
        <w:jc w:val="both"/>
        <w:rPr>
          <w:rFonts w:ascii="Times New Roman" w:hAnsi="Times New Roman" w:cs="Times New Roman"/>
          <w:sz w:val="24"/>
          <w:szCs w:val="24"/>
        </w:rPr>
      </w:pPr>
      <w:r w:rsidRPr="000B3EC5">
        <w:rPr>
          <w:rFonts w:ascii="Times New Roman" w:hAnsi="Times New Roman" w:cs="Times New Roman"/>
          <w:sz w:val="24"/>
          <w:szCs w:val="24"/>
        </w:rPr>
        <w:t xml:space="preserve">The scatter plot for </w:t>
      </w:r>
      <w:r w:rsidRPr="00133D6C">
        <w:rPr>
          <w:rFonts w:ascii="Times New Roman" w:hAnsi="Times New Roman" w:cs="Times New Roman"/>
          <w:b/>
          <w:bCs/>
          <w:sz w:val="24"/>
          <w:szCs w:val="24"/>
        </w:rPr>
        <w:t>Brunswick East</w:t>
      </w:r>
      <w:r w:rsidRPr="000B3EC5">
        <w:rPr>
          <w:rFonts w:ascii="Times New Roman" w:hAnsi="Times New Roman" w:cs="Times New Roman"/>
          <w:sz w:val="24"/>
          <w:szCs w:val="24"/>
        </w:rPr>
        <w:t xml:space="preserve"> shows a positive relationship between land size and price.</w:t>
      </w:r>
      <w:r w:rsidR="00133D6C">
        <w:rPr>
          <w:rFonts w:ascii="Times New Roman" w:hAnsi="Times New Roman" w:cs="Times New Roman"/>
          <w:sz w:val="24"/>
          <w:szCs w:val="24"/>
        </w:rPr>
        <w:t xml:space="preserve"> However, there are notable exceptions in which the prices are not significantly higher due to the larger land size (over </w:t>
      </w:r>
      <w:r w:rsidR="00133D6C" w:rsidRPr="00133D6C">
        <w:rPr>
          <w:rFonts w:ascii="Times New Roman" w:hAnsi="Times New Roman" w:cs="Times New Roman"/>
          <w:b/>
          <w:bCs/>
          <w:sz w:val="24"/>
          <w:szCs w:val="24"/>
        </w:rPr>
        <w:t>600 sqm</w:t>
      </w:r>
      <w:r w:rsidR="00133D6C">
        <w:rPr>
          <w:rFonts w:ascii="Times New Roman" w:hAnsi="Times New Roman" w:cs="Times New Roman"/>
          <w:sz w:val="24"/>
          <w:szCs w:val="24"/>
        </w:rPr>
        <w:t>).</w:t>
      </w:r>
      <w:r w:rsidRPr="000B3EC5">
        <w:rPr>
          <w:rFonts w:ascii="Times New Roman" w:hAnsi="Times New Roman" w:cs="Times New Roman"/>
          <w:sz w:val="24"/>
          <w:szCs w:val="24"/>
        </w:rPr>
        <w:t xml:space="preserve"> </w:t>
      </w:r>
      <w:r w:rsidR="00133D6C">
        <w:rPr>
          <w:rFonts w:ascii="Times New Roman" w:hAnsi="Times New Roman" w:cs="Times New Roman"/>
          <w:sz w:val="24"/>
          <w:szCs w:val="24"/>
        </w:rPr>
        <w:t xml:space="preserve">The majority of homes are concentrated between 0.5 and 1.5 million, with land sizes ranging from 100 to 400 square </w:t>
      </w:r>
      <w:proofErr w:type="spellStart"/>
      <w:r w:rsidR="00133D6C">
        <w:rPr>
          <w:rFonts w:ascii="Times New Roman" w:hAnsi="Times New Roman" w:cs="Times New Roman"/>
          <w:sz w:val="24"/>
          <w:szCs w:val="24"/>
        </w:rPr>
        <w:t>metres</w:t>
      </w:r>
      <w:proofErr w:type="spellEnd"/>
      <w:r w:rsidR="00133D6C">
        <w:rPr>
          <w:rFonts w:ascii="Times New Roman" w:hAnsi="Times New Roman" w:cs="Times New Roman"/>
          <w:sz w:val="24"/>
          <w:szCs w:val="24"/>
        </w:rPr>
        <w:t xml:space="preserve">, indicating some variation in how land sizes </w:t>
      </w:r>
      <w:proofErr w:type="gramStart"/>
      <w:r w:rsidR="00133D6C">
        <w:rPr>
          <w:rFonts w:ascii="Times New Roman" w:hAnsi="Times New Roman" w:cs="Times New Roman"/>
          <w:sz w:val="24"/>
          <w:szCs w:val="24"/>
        </w:rPr>
        <w:t>influences</w:t>
      </w:r>
      <w:proofErr w:type="gramEnd"/>
      <w:r w:rsidR="00133D6C">
        <w:rPr>
          <w:rFonts w:ascii="Times New Roman" w:hAnsi="Times New Roman" w:cs="Times New Roman"/>
          <w:sz w:val="24"/>
          <w:szCs w:val="24"/>
        </w:rPr>
        <w:t xml:space="preserve"> price in suburbs. </w:t>
      </w:r>
    </w:p>
    <w:p w14:paraId="33114CB6" w14:textId="739291A8" w:rsidR="00502E0A" w:rsidRPr="000B3EC5" w:rsidRDefault="00502E0A" w:rsidP="00903678">
      <w:pPr>
        <w:ind w:left="360"/>
        <w:jc w:val="center"/>
        <w:rPr>
          <w:rFonts w:ascii="Times New Roman" w:hAnsi="Times New Roman" w:cs="Times New Roman"/>
          <w:sz w:val="24"/>
          <w:szCs w:val="24"/>
        </w:rPr>
      </w:pPr>
      <w:r w:rsidRPr="000B3EC5">
        <w:rPr>
          <w:rFonts w:ascii="Times New Roman" w:hAnsi="Times New Roman" w:cs="Times New Roman"/>
          <w:noProof/>
          <w:sz w:val="24"/>
          <w:szCs w:val="24"/>
        </w:rPr>
        <w:drawing>
          <wp:inline distT="0" distB="0" distL="0" distR="0" wp14:anchorId="58EAC4A7" wp14:editId="1A0A9589">
            <wp:extent cx="4572000" cy="2743200"/>
            <wp:effectExtent l="0" t="0" r="0" b="0"/>
            <wp:docPr id="798349178" name="Chart 1">
              <a:extLst xmlns:a="http://schemas.openxmlformats.org/drawingml/2006/main">
                <a:ext uri="{FF2B5EF4-FFF2-40B4-BE49-F238E27FC236}">
                  <a16:creationId xmlns:a16="http://schemas.microsoft.com/office/drawing/2014/main" id="{1F91721C-C794-1A5E-E499-F36285AAF0B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D3541CD" w14:textId="051E0212" w:rsidR="00502E0A" w:rsidRPr="000B3EC5" w:rsidRDefault="00502E0A" w:rsidP="00903678">
      <w:pPr>
        <w:ind w:left="360"/>
        <w:jc w:val="center"/>
        <w:rPr>
          <w:rFonts w:ascii="Times New Roman" w:hAnsi="Times New Roman" w:cs="Times New Roman"/>
          <w:sz w:val="24"/>
          <w:szCs w:val="24"/>
        </w:rPr>
      </w:pPr>
      <w:r w:rsidRPr="00903678">
        <w:rPr>
          <w:rFonts w:ascii="Times New Roman" w:hAnsi="Times New Roman" w:cs="Times New Roman"/>
          <w:i/>
          <w:iCs/>
          <w:sz w:val="24"/>
          <w:szCs w:val="24"/>
        </w:rPr>
        <w:t xml:space="preserve">Figure </w:t>
      </w:r>
      <w:r w:rsidRPr="00903678">
        <w:rPr>
          <w:rFonts w:ascii="Times New Roman" w:hAnsi="Times New Roman" w:cs="Times New Roman"/>
          <w:i/>
          <w:iCs/>
          <w:sz w:val="24"/>
          <w:szCs w:val="24"/>
        </w:rPr>
        <w:t>5</w:t>
      </w:r>
      <w:r w:rsidRPr="00903678">
        <w:rPr>
          <w:rFonts w:ascii="Times New Roman" w:hAnsi="Times New Roman" w:cs="Times New Roman"/>
          <w:i/>
          <w:iCs/>
          <w:sz w:val="24"/>
          <w:szCs w:val="24"/>
        </w:rPr>
        <w:t>:</w:t>
      </w:r>
      <w:r w:rsidRPr="000B3EC5">
        <w:rPr>
          <w:rFonts w:ascii="Times New Roman" w:hAnsi="Times New Roman" w:cs="Times New Roman"/>
          <w:sz w:val="24"/>
          <w:szCs w:val="24"/>
        </w:rPr>
        <w:t xml:space="preserve"> Relationship between price and land</w:t>
      </w:r>
      <w:r w:rsidR="003E242A" w:rsidRPr="000B3EC5">
        <w:rPr>
          <w:rFonts w:ascii="Times New Roman" w:hAnsi="Times New Roman" w:cs="Times New Roman"/>
          <w:sz w:val="24"/>
          <w:szCs w:val="24"/>
        </w:rPr>
        <w:t xml:space="preserve"> </w:t>
      </w:r>
      <w:r w:rsidRPr="000B3EC5">
        <w:rPr>
          <w:rFonts w:ascii="Times New Roman" w:hAnsi="Times New Roman" w:cs="Times New Roman"/>
          <w:sz w:val="24"/>
          <w:szCs w:val="24"/>
        </w:rPr>
        <w:t xml:space="preserve">size in </w:t>
      </w:r>
      <w:r w:rsidR="003E242A" w:rsidRPr="000B3EC5">
        <w:rPr>
          <w:rFonts w:ascii="Times New Roman" w:hAnsi="Times New Roman" w:cs="Times New Roman"/>
          <w:sz w:val="24"/>
          <w:szCs w:val="24"/>
        </w:rPr>
        <w:t>Kew</w:t>
      </w:r>
    </w:p>
    <w:p w14:paraId="61043FF2" w14:textId="57178CDF" w:rsidR="003E242A" w:rsidRPr="000B3EC5" w:rsidRDefault="003E242A" w:rsidP="000B3EC5">
      <w:pPr>
        <w:ind w:left="360"/>
        <w:jc w:val="both"/>
        <w:rPr>
          <w:rFonts w:ascii="Times New Roman" w:hAnsi="Times New Roman" w:cs="Times New Roman"/>
          <w:sz w:val="24"/>
          <w:szCs w:val="24"/>
        </w:rPr>
      </w:pPr>
      <w:r w:rsidRPr="000B3EC5">
        <w:rPr>
          <w:rFonts w:ascii="Times New Roman" w:hAnsi="Times New Roman" w:cs="Times New Roman"/>
          <w:sz w:val="24"/>
          <w:szCs w:val="24"/>
        </w:rPr>
        <w:t xml:space="preserve">The scatter plot for </w:t>
      </w:r>
      <w:r w:rsidRPr="000B3EC5">
        <w:rPr>
          <w:rFonts w:ascii="Times New Roman" w:hAnsi="Times New Roman" w:cs="Times New Roman"/>
          <w:b/>
          <w:bCs/>
          <w:sz w:val="24"/>
          <w:szCs w:val="24"/>
        </w:rPr>
        <w:t>Kew</w:t>
      </w:r>
      <w:r w:rsidRPr="000B3EC5">
        <w:rPr>
          <w:rFonts w:ascii="Times New Roman" w:hAnsi="Times New Roman" w:cs="Times New Roman"/>
          <w:sz w:val="24"/>
          <w:szCs w:val="24"/>
        </w:rPr>
        <w:t xml:space="preserve"> shows positive relationship between land size and price, with wider </w:t>
      </w:r>
      <w:r w:rsidRPr="000B3EC5">
        <w:rPr>
          <w:rFonts w:ascii="Times New Roman" w:hAnsi="Times New Roman" w:cs="Times New Roman"/>
          <w:sz w:val="24"/>
          <w:szCs w:val="24"/>
        </w:rPr>
        <w:t xml:space="preserve">spread of both variables compared to other suburbs. There are notable outliers, including a property with a land size over </w:t>
      </w:r>
      <w:r w:rsidRPr="004A2BEF">
        <w:rPr>
          <w:rFonts w:ascii="Times New Roman" w:hAnsi="Times New Roman" w:cs="Times New Roman"/>
          <w:b/>
          <w:bCs/>
          <w:sz w:val="24"/>
          <w:szCs w:val="24"/>
        </w:rPr>
        <w:t>2500 sqm</w:t>
      </w:r>
      <w:r w:rsidRPr="000B3EC5">
        <w:rPr>
          <w:rFonts w:ascii="Times New Roman" w:hAnsi="Times New Roman" w:cs="Times New Roman"/>
          <w:sz w:val="24"/>
          <w:szCs w:val="24"/>
        </w:rPr>
        <w:t xml:space="preserve">, though most properties fall within </w:t>
      </w:r>
      <w:r w:rsidRPr="004A2BEF">
        <w:rPr>
          <w:rFonts w:ascii="Times New Roman" w:hAnsi="Times New Roman" w:cs="Times New Roman"/>
          <w:b/>
          <w:bCs/>
          <w:sz w:val="24"/>
          <w:szCs w:val="24"/>
        </w:rPr>
        <w:t>500</w:t>
      </w:r>
      <w:r w:rsidRPr="000B3EC5">
        <w:rPr>
          <w:rFonts w:ascii="Times New Roman" w:hAnsi="Times New Roman" w:cs="Times New Roman"/>
          <w:sz w:val="24"/>
          <w:szCs w:val="24"/>
        </w:rPr>
        <w:t xml:space="preserve"> to </w:t>
      </w:r>
      <w:r w:rsidRPr="004A2BEF">
        <w:rPr>
          <w:rFonts w:ascii="Times New Roman" w:hAnsi="Times New Roman" w:cs="Times New Roman"/>
          <w:b/>
          <w:bCs/>
          <w:sz w:val="24"/>
          <w:szCs w:val="24"/>
        </w:rPr>
        <w:t>1000 sqm</w:t>
      </w:r>
      <w:r w:rsidRPr="000B3EC5">
        <w:rPr>
          <w:rFonts w:ascii="Times New Roman" w:hAnsi="Times New Roman" w:cs="Times New Roman"/>
          <w:sz w:val="24"/>
          <w:szCs w:val="24"/>
        </w:rPr>
        <w:t xml:space="preserve"> and </w:t>
      </w:r>
      <w:r w:rsidRPr="004A2BEF">
        <w:rPr>
          <w:rFonts w:ascii="Times New Roman" w:hAnsi="Times New Roman" w:cs="Times New Roman"/>
          <w:b/>
          <w:bCs/>
          <w:sz w:val="24"/>
          <w:szCs w:val="24"/>
        </w:rPr>
        <w:t>1</w:t>
      </w:r>
      <w:r w:rsidRPr="000B3EC5">
        <w:rPr>
          <w:rFonts w:ascii="Times New Roman" w:hAnsi="Times New Roman" w:cs="Times New Roman"/>
          <w:sz w:val="24"/>
          <w:szCs w:val="24"/>
        </w:rPr>
        <w:t xml:space="preserve"> </w:t>
      </w:r>
      <w:r w:rsidRPr="004A2BEF">
        <w:rPr>
          <w:rFonts w:ascii="Times New Roman" w:hAnsi="Times New Roman" w:cs="Times New Roman"/>
          <w:sz w:val="24"/>
          <w:szCs w:val="24"/>
        </w:rPr>
        <w:t>to</w:t>
      </w:r>
      <w:r w:rsidRPr="004A2BEF">
        <w:rPr>
          <w:rFonts w:ascii="Times New Roman" w:hAnsi="Times New Roman" w:cs="Times New Roman"/>
          <w:b/>
          <w:bCs/>
          <w:sz w:val="24"/>
          <w:szCs w:val="24"/>
        </w:rPr>
        <w:t xml:space="preserve"> 4 million</w:t>
      </w:r>
      <w:r w:rsidRPr="000B3EC5">
        <w:rPr>
          <w:rFonts w:ascii="Times New Roman" w:hAnsi="Times New Roman" w:cs="Times New Roman"/>
          <w:sz w:val="24"/>
          <w:szCs w:val="24"/>
        </w:rPr>
        <w:t xml:space="preserve"> in price. The trendline suggests that larger land sizes generally correspond </w:t>
      </w:r>
      <w:r w:rsidRPr="000B3EC5">
        <w:rPr>
          <w:rFonts w:ascii="Times New Roman" w:hAnsi="Times New Roman" w:cs="Times New Roman"/>
          <w:sz w:val="24"/>
          <w:szCs w:val="24"/>
        </w:rPr>
        <w:lastRenderedPageBreak/>
        <w:t>to higher prices, but the spread indicates variability in this relationship, especially for higher-priced properties.</w:t>
      </w:r>
    </w:p>
    <w:p w14:paraId="7EE5106C" w14:textId="30A00EDB" w:rsidR="00502E0A" w:rsidRPr="000B3EC5" w:rsidRDefault="00502E0A" w:rsidP="000B3EC5">
      <w:pPr>
        <w:ind w:left="360"/>
        <w:jc w:val="center"/>
        <w:rPr>
          <w:rFonts w:ascii="Times New Roman" w:hAnsi="Times New Roman" w:cs="Times New Roman"/>
          <w:sz w:val="24"/>
          <w:szCs w:val="24"/>
        </w:rPr>
      </w:pPr>
      <w:r w:rsidRPr="000B3EC5">
        <w:rPr>
          <w:rFonts w:ascii="Times New Roman" w:hAnsi="Times New Roman" w:cs="Times New Roman"/>
          <w:noProof/>
          <w:sz w:val="24"/>
          <w:szCs w:val="24"/>
        </w:rPr>
        <w:drawing>
          <wp:inline distT="0" distB="0" distL="0" distR="0" wp14:anchorId="0766B7A9" wp14:editId="231757C0">
            <wp:extent cx="4572000" cy="2743200"/>
            <wp:effectExtent l="0" t="0" r="0" b="0"/>
            <wp:docPr id="25751403" name="Chart 1">
              <a:extLst xmlns:a="http://schemas.openxmlformats.org/drawingml/2006/main">
                <a:ext uri="{FF2B5EF4-FFF2-40B4-BE49-F238E27FC236}">
                  <a16:creationId xmlns:a16="http://schemas.microsoft.com/office/drawing/2014/main" id="{ACAF5004-8313-4873-D77F-8DD106521DF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4699B227" w14:textId="47719531" w:rsidR="00502E0A" w:rsidRPr="000B3EC5" w:rsidRDefault="00502E0A" w:rsidP="000B3EC5">
      <w:pPr>
        <w:ind w:left="360"/>
        <w:jc w:val="center"/>
        <w:rPr>
          <w:rFonts w:ascii="Times New Roman" w:hAnsi="Times New Roman" w:cs="Times New Roman"/>
          <w:sz w:val="24"/>
          <w:szCs w:val="24"/>
        </w:rPr>
      </w:pPr>
      <w:r w:rsidRPr="000B3EC5">
        <w:rPr>
          <w:rFonts w:ascii="Times New Roman" w:hAnsi="Times New Roman" w:cs="Times New Roman"/>
          <w:i/>
          <w:iCs/>
          <w:sz w:val="24"/>
          <w:szCs w:val="24"/>
        </w:rPr>
        <w:t xml:space="preserve">Figure </w:t>
      </w:r>
      <w:r w:rsidRPr="000B3EC5">
        <w:rPr>
          <w:rFonts w:ascii="Times New Roman" w:hAnsi="Times New Roman" w:cs="Times New Roman"/>
          <w:i/>
          <w:iCs/>
          <w:sz w:val="24"/>
          <w:szCs w:val="24"/>
        </w:rPr>
        <w:t>6</w:t>
      </w:r>
      <w:r w:rsidRPr="000B3EC5">
        <w:rPr>
          <w:rFonts w:ascii="Times New Roman" w:hAnsi="Times New Roman" w:cs="Times New Roman"/>
          <w:i/>
          <w:iCs/>
          <w:sz w:val="24"/>
          <w:szCs w:val="24"/>
        </w:rPr>
        <w:t>:</w:t>
      </w:r>
      <w:r w:rsidRPr="000B3EC5">
        <w:rPr>
          <w:rFonts w:ascii="Times New Roman" w:hAnsi="Times New Roman" w:cs="Times New Roman"/>
          <w:sz w:val="24"/>
          <w:szCs w:val="24"/>
        </w:rPr>
        <w:t xml:space="preserve"> Relationship between price and land</w:t>
      </w:r>
      <w:r w:rsidR="003E242A" w:rsidRPr="000B3EC5">
        <w:rPr>
          <w:rFonts w:ascii="Times New Roman" w:hAnsi="Times New Roman" w:cs="Times New Roman"/>
          <w:sz w:val="24"/>
          <w:szCs w:val="24"/>
        </w:rPr>
        <w:t xml:space="preserve"> </w:t>
      </w:r>
      <w:r w:rsidRPr="000B3EC5">
        <w:rPr>
          <w:rFonts w:ascii="Times New Roman" w:hAnsi="Times New Roman" w:cs="Times New Roman"/>
          <w:sz w:val="24"/>
          <w:szCs w:val="24"/>
        </w:rPr>
        <w:t xml:space="preserve">size in </w:t>
      </w:r>
      <w:r w:rsidRPr="000B3EC5">
        <w:rPr>
          <w:rFonts w:ascii="Times New Roman" w:hAnsi="Times New Roman" w:cs="Times New Roman"/>
          <w:sz w:val="24"/>
          <w:szCs w:val="24"/>
        </w:rPr>
        <w:t>Fitzroy</w:t>
      </w:r>
    </w:p>
    <w:p w14:paraId="45F73A54" w14:textId="48889E01" w:rsidR="003E242A" w:rsidRPr="000B3EC5" w:rsidRDefault="005E461E" w:rsidP="000B3EC5">
      <w:pPr>
        <w:ind w:left="360"/>
        <w:jc w:val="both"/>
        <w:rPr>
          <w:rFonts w:ascii="Times New Roman" w:hAnsi="Times New Roman" w:cs="Times New Roman"/>
          <w:sz w:val="24"/>
          <w:szCs w:val="24"/>
        </w:rPr>
      </w:pPr>
      <w:r w:rsidRPr="000B3EC5">
        <w:rPr>
          <w:rFonts w:ascii="Times New Roman" w:hAnsi="Times New Roman" w:cs="Times New Roman"/>
          <w:sz w:val="24"/>
          <w:szCs w:val="24"/>
        </w:rPr>
        <w:t xml:space="preserve">The scatter plot for </w:t>
      </w:r>
      <w:r w:rsidRPr="004A2BEF">
        <w:rPr>
          <w:rFonts w:ascii="Times New Roman" w:hAnsi="Times New Roman" w:cs="Times New Roman"/>
          <w:b/>
          <w:bCs/>
          <w:sz w:val="24"/>
          <w:szCs w:val="24"/>
        </w:rPr>
        <w:t>Fitzroy</w:t>
      </w:r>
      <w:r w:rsidRPr="000B3EC5">
        <w:rPr>
          <w:rFonts w:ascii="Times New Roman" w:hAnsi="Times New Roman" w:cs="Times New Roman"/>
          <w:sz w:val="24"/>
          <w:szCs w:val="24"/>
        </w:rPr>
        <w:t xml:space="preserve"> indicates that larger land sizes do not </w:t>
      </w:r>
      <w:r w:rsidR="00133D6C">
        <w:rPr>
          <w:rFonts w:ascii="Times New Roman" w:hAnsi="Times New Roman" w:cs="Times New Roman"/>
          <w:sz w:val="24"/>
          <w:szCs w:val="24"/>
        </w:rPr>
        <w:t xml:space="preserve">always match rising </w:t>
      </w:r>
      <w:r w:rsidRPr="000B3EC5">
        <w:rPr>
          <w:rFonts w:ascii="Times New Roman" w:hAnsi="Times New Roman" w:cs="Times New Roman"/>
          <w:sz w:val="24"/>
          <w:szCs w:val="24"/>
        </w:rPr>
        <w:t xml:space="preserve">prices. Some </w:t>
      </w:r>
      <w:r w:rsidR="00133D6C">
        <w:rPr>
          <w:rFonts w:ascii="Times New Roman" w:hAnsi="Times New Roman" w:cs="Times New Roman"/>
          <w:sz w:val="24"/>
          <w:szCs w:val="24"/>
        </w:rPr>
        <w:t>houses</w:t>
      </w:r>
      <w:r w:rsidRPr="000B3EC5">
        <w:rPr>
          <w:rFonts w:ascii="Times New Roman" w:hAnsi="Times New Roman" w:cs="Times New Roman"/>
          <w:sz w:val="24"/>
          <w:szCs w:val="24"/>
        </w:rPr>
        <w:t xml:space="preserve"> with significant land areas (up to </w:t>
      </w:r>
      <w:r w:rsidRPr="004A2BEF">
        <w:rPr>
          <w:rFonts w:ascii="Times New Roman" w:hAnsi="Times New Roman" w:cs="Times New Roman"/>
          <w:b/>
          <w:bCs/>
          <w:sz w:val="24"/>
          <w:szCs w:val="24"/>
        </w:rPr>
        <w:t>7000 sqm</w:t>
      </w:r>
      <w:r w:rsidRPr="000B3EC5">
        <w:rPr>
          <w:rFonts w:ascii="Times New Roman" w:hAnsi="Times New Roman" w:cs="Times New Roman"/>
          <w:sz w:val="24"/>
          <w:szCs w:val="24"/>
        </w:rPr>
        <w:t xml:space="preserve">) are priced </w:t>
      </w:r>
      <w:r w:rsidRPr="004A2BEF">
        <w:rPr>
          <w:rFonts w:ascii="Times New Roman" w:hAnsi="Times New Roman" w:cs="Times New Roman"/>
          <w:b/>
          <w:bCs/>
          <w:sz w:val="24"/>
          <w:szCs w:val="24"/>
        </w:rPr>
        <w:t>under $1 million</w:t>
      </w:r>
      <w:r w:rsidRPr="000B3EC5">
        <w:rPr>
          <w:rFonts w:ascii="Times New Roman" w:hAnsi="Times New Roman" w:cs="Times New Roman"/>
          <w:sz w:val="24"/>
          <w:szCs w:val="24"/>
        </w:rPr>
        <w:t xml:space="preserve">, </w:t>
      </w:r>
      <w:r w:rsidR="00133D6C">
        <w:rPr>
          <w:rFonts w:ascii="Times New Roman" w:hAnsi="Times New Roman" w:cs="Times New Roman"/>
          <w:sz w:val="24"/>
          <w:szCs w:val="24"/>
        </w:rPr>
        <w:t>implying</w:t>
      </w:r>
      <w:r w:rsidRPr="000B3EC5">
        <w:rPr>
          <w:rFonts w:ascii="Times New Roman" w:hAnsi="Times New Roman" w:cs="Times New Roman"/>
          <w:sz w:val="24"/>
          <w:szCs w:val="24"/>
        </w:rPr>
        <w:t xml:space="preserve"> that factors such as location or development potential </w:t>
      </w:r>
      <w:r w:rsidR="00133D6C">
        <w:rPr>
          <w:rFonts w:ascii="Times New Roman" w:hAnsi="Times New Roman" w:cs="Times New Roman"/>
          <w:sz w:val="24"/>
          <w:szCs w:val="24"/>
        </w:rPr>
        <w:t xml:space="preserve">could </w:t>
      </w:r>
      <w:r w:rsidRPr="000B3EC5">
        <w:rPr>
          <w:rFonts w:ascii="Times New Roman" w:hAnsi="Times New Roman" w:cs="Times New Roman"/>
          <w:sz w:val="24"/>
          <w:szCs w:val="24"/>
        </w:rPr>
        <w:t xml:space="preserve">impact on property values </w:t>
      </w:r>
      <w:r w:rsidR="00133D6C">
        <w:rPr>
          <w:rFonts w:ascii="Times New Roman" w:hAnsi="Times New Roman" w:cs="Times New Roman"/>
          <w:sz w:val="24"/>
          <w:szCs w:val="24"/>
        </w:rPr>
        <w:t>more than</w:t>
      </w:r>
      <w:r w:rsidRPr="000B3EC5">
        <w:rPr>
          <w:rFonts w:ascii="Times New Roman" w:hAnsi="Times New Roman" w:cs="Times New Roman"/>
          <w:sz w:val="24"/>
          <w:szCs w:val="24"/>
        </w:rPr>
        <w:t xml:space="preserve"> land size</w:t>
      </w:r>
      <w:r w:rsidRPr="000B3EC5">
        <w:rPr>
          <w:rFonts w:ascii="Times New Roman" w:hAnsi="Times New Roman" w:cs="Times New Roman"/>
          <w:sz w:val="24"/>
          <w:szCs w:val="24"/>
        </w:rPr>
        <w:t xml:space="preserve">. </w:t>
      </w:r>
    </w:p>
    <w:p w14:paraId="7D82FEC3" w14:textId="7C8621A5" w:rsidR="00502E0A" w:rsidRPr="000B3EC5" w:rsidRDefault="00502E0A" w:rsidP="004A2BEF">
      <w:pPr>
        <w:ind w:left="360"/>
        <w:jc w:val="center"/>
        <w:rPr>
          <w:rFonts w:ascii="Times New Roman" w:hAnsi="Times New Roman" w:cs="Times New Roman"/>
          <w:sz w:val="24"/>
          <w:szCs w:val="24"/>
        </w:rPr>
      </w:pPr>
      <w:r w:rsidRPr="000B3EC5">
        <w:rPr>
          <w:rFonts w:ascii="Times New Roman" w:hAnsi="Times New Roman" w:cs="Times New Roman"/>
          <w:noProof/>
          <w:sz w:val="24"/>
          <w:szCs w:val="24"/>
        </w:rPr>
        <w:drawing>
          <wp:inline distT="0" distB="0" distL="0" distR="0" wp14:anchorId="701BD369" wp14:editId="518E3651">
            <wp:extent cx="4572000" cy="2743200"/>
            <wp:effectExtent l="0" t="0" r="0" b="0"/>
            <wp:docPr id="791376306" name="Chart 1">
              <a:extLst xmlns:a="http://schemas.openxmlformats.org/drawingml/2006/main">
                <a:ext uri="{FF2B5EF4-FFF2-40B4-BE49-F238E27FC236}">
                  <a16:creationId xmlns:a16="http://schemas.microsoft.com/office/drawing/2014/main" id="{2F28FCBB-C696-3C1B-7214-13EB9D377FF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r w:rsidRPr="000B3EC5">
        <w:rPr>
          <w:rFonts w:ascii="Times New Roman" w:hAnsi="Times New Roman" w:cs="Times New Roman"/>
          <w:sz w:val="24"/>
          <w:szCs w:val="24"/>
        </w:rPr>
        <w:t>b</w:t>
      </w:r>
    </w:p>
    <w:p w14:paraId="0B5AA850" w14:textId="10AC6884" w:rsidR="00502E0A" w:rsidRPr="000B3EC5" w:rsidRDefault="00502E0A" w:rsidP="004A2BEF">
      <w:pPr>
        <w:ind w:left="360"/>
        <w:jc w:val="center"/>
        <w:rPr>
          <w:rFonts w:ascii="Times New Roman" w:hAnsi="Times New Roman" w:cs="Times New Roman"/>
          <w:sz w:val="24"/>
          <w:szCs w:val="24"/>
        </w:rPr>
      </w:pPr>
      <w:r w:rsidRPr="004A2BEF">
        <w:rPr>
          <w:rFonts w:ascii="Times New Roman" w:hAnsi="Times New Roman" w:cs="Times New Roman"/>
          <w:i/>
          <w:iCs/>
          <w:sz w:val="24"/>
          <w:szCs w:val="24"/>
        </w:rPr>
        <w:t xml:space="preserve">Figure </w:t>
      </w:r>
      <w:r w:rsidRPr="004A2BEF">
        <w:rPr>
          <w:rFonts w:ascii="Times New Roman" w:hAnsi="Times New Roman" w:cs="Times New Roman"/>
          <w:i/>
          <w:iCs/>
          <w:sz w:val="24"/>
          <w:szCs w:val="24"/>
        </w:rPr>
        <w:t>7</w:t>
      </w:r>
      <w:r w:rsidRPr="004A2BEF">
        <w:rPr>
          <w:rFonts w:ascii="Times New Roman" w:hAnsi="Times New Roman" w:cs="Times New Roman"/>
          <w:i/>
          <w:iCs/>
          <w:sz w:val="24"/>
          <w:szCs w:val="24"/>
        </w:rPr>
        <w:t>:</w:t>
      </w:r>
      <w:r w:rsidRPr="000B3EC5">
        <w:rPr>
          <w:rFonts w:ascii="Times New Roman" w:hAnsi="Times New Roman" w:cs="Times New Roman"/>
          <w:sz w:val="24"/>
          <w:szCs w:val="24"/>
        </w:rPr>
        <w:t xml:space="preserve"> Relationship between price and lands</w:t>
      </w:r>
      <w:r w:rsidR="004A2BEF">
        <w:rPr>
          <w:rFonts w:ascii="Times New Roman" w:hAnsi="Times New Roman" w:cs="Times New Roman"/>
          <w:sz w:val="24"/>
          <w:szCs w:val="24"/>
        </w:rPr>
        <w:t xml:space="preserve"> </w:t>
      </w:r>
      <w:r w:rsidR="00133D6C">
        <w:rPr>
          <w:rFonts w:ascii="Times New Roman" w:hAnsi="Times New Roman" w:cs="Times New Roman"/>
          <w:sz w:val="24"/>
          <w:szCs w:val="24"/>
        </w:rPr>
        <w:t>s</w:t>
      </w:r>
      <w:r w:rsidRPr="000B3EC5">
        <w:rPr>
          <w:rFonts w:ascii="Times New Roman" w:hAnsi="Times New Roman" w:cs="Times New Roman"/>
          <w:sz w:val="24"/>
          <w:szCs w:val="24"/>
        </w:rPr>
        <w:t xml:space="preserve">ize in </w:t>
      </w:r>
      <w:r w:rsidRPr="000B3EC5">
        <w:rPr>
          <w:rFonts w:ascii="Times New Roman" w:hAnsi="Times New Roman" w:cs="Times New Roman"/>
          <w:sz w:val="24"/>
          <w:szCs w:val="24"/>
        </w:rPr>
        <w:t>Melton</w:t>
      </w:r>
    </w:p>
    <w:p w14:paraId="6A209682" w14:textId="484063FA" w:rsidR="003E406F" w:rsidRPr="000B3EC5" w:rsidRDefault="003E406F" w:rsidP="000B3EC5">
      <w:pPr>
        <w:ind w:left="360"/>
        <w:jc w:val="both"/>
        <w:rPr>
          <w:rFonts w:ascii="Times New Roman" w:hAnsi="Times New Roman" w:cs="Times New Roman"/>
          <w:sz w:val="24"/>
          <w:szCs w:val="24"/>
        </w:rPr>
      </w:pPr>
      <w:r w:rsidRPr="000B3EC5">
        <w:rPr>
          <w:rFonts w:ascii="Times New Roman" w:hAnsi="Times New Roman" w:cs="Times New Roman"/>
          <w:sz w:val="24"/>
          <w:szCs w:val="24"/>
        </w:rPr>
        <w:t xml:space="preserve">The scatter plot for </w:t>
      </w:r>
      <w:r w:rsidRPr="000B3EC5">
        <w:rPr>
          <w:rFonts w:ascii="Times New Roman" w:hAnsi="Times New Roman" w:cs="Times New Roman"/>
          <w:b/>
          <w:bCs/>
          <w:sz w:val="24"/>
          <w:szCs w:val="24"/>
        </w:rPr>
        <w:t>Melton</w:t>
      </w:r>
      <w:r w:rsidRPr="000B3EC5">
        <w:rPr>
          <w:rFonts w:ascii="Times New Roman" w:hAnsi="Times New Roman" w:cs="Times New Roman"/>
          <w:sz w:val="24"/>
          <w:szCs w:val="24"/>
        </w:rPr>
        <w:t xml:space="preserve"> demonstrates a positive </w:t>
      </w:r>
      <w:r w:rsidR="00133D6C">
        <w:rPr>
          <w:rFonts w:ascii="Times New Roman" w:hAnsi="Times New Roman" w:cs="Times New Roman"/>
          <w:sz w:val="24"/>
          <w:szCs w:val="24"/>
        </w:rPr>
        <w:t>link</w:t>
      </w:r>
      <w:r w:rsidRPr="000B3EC5">
        <w:rPr>
          <w:rFonts w:ascii="Times New Roman" w:hAnsi="Times New Roman" w:cs="Times New Roman"/>
          <w:sz w:val="24"/>
          <w:szCs w:val="24"/>
        </w:rPr>
        <w:t xml:space="preserve"> between land size and price, with the trendline indicating that larger land sizes generally correspond to higher property values. </w:t>
      </w:r>
      <w:r w:rsidR="00133D6C">
        <w:rPr>
          <w:rFonts w:ascii="Times New Roman" w:hAnsi="Times New Roman" w:cs="Times New Roman"/>
          <w:sz w:val="24"/>
          <w:szCs w:val="24"/>
        </w:rPr>
        <w:t xml:space="preserve">Most </w:t>
      </w:r>
      <w:r w:rsidRPr="000B3EC5">
        <w:rPr>
          <w:rFonts w:ascii="Times New Roman" w:hAnsi="Times New Roman" w:cs="Times New Roman"/>
          <w:sz w:val="24"/>
          <w:szCs w:val="24"/>
        </w:rPr>
        <w:t xml:space="preserve">of properties </w:t>
      </w:r>
      <w:r w:rsidR="000715EB">
        <w:rPr>
          <w:rFonts w:ascii="Times New Roman" w:hAnsi="Times New Roman" w:cs="Times New Roman"/>
          <w:sz w:val="24"/>
          <w:szCs w:val="24"/>
        </w:rPr>
        <w:t>fall</w:t>
      </w:r>
      <w:r w:rsidRPr="000B3EC5">
        <w:rPr>
          <w:rFonts w:ascii="Times New Roman" w:hAnsi="Times New Roman" w:cs="Times New Roman"/>
          <w:sz w:val="24"/>
          <w:szCs w:val="24"/>
        </w:rPr>
        <w:t xml:space="preserve"> around </w:t>
      </w:r>
      <w:r w:rsidRPr="000B3EC5">
        <w:rPr>
          <w:rFonts w:ascii="Times New Roman" w:hAnsi="Times New Roman" w:cs="Times New Roman"/>
          <w:b/>
          <w:bCs/>
          <w:sz w:val="24"/>
          <w:szCs w:val="24"/>
        </w:rPr>
        <w:t>400 to 700 sqm</w:t>
      </w:r>
      <w:r w:rsidRPr="000B3EC5">
        <w:rPr>
          <w:rFonts w:ascii="Times New Roman" w:hAnsi="Times New Roman" w:cs="Times New Roman"/>
          <w:sz w:val="24"/>
          <w:szCs w:val="24"/>
        </w:rPr>
        <w:t xml:space="preserve"> and are priced between </w:t>
      </w:r>
      <w:r w:rsidRPr="000B3EC5">
        <w:rPr>
          <w:rFonts w:ascii="Times New Roman" w:hAnsi="Times New Roman" w:cs="Times New Roman"/>
          <w:b/>
          <w:bCs/>
          <w:sz w:val="24"/>
          <w:szCs w:val="24"/>
        </w:rPr>
        <w:t>$300,000 to $600,000</w:t>
      </w:r>
      <w:r w:rsidRPr="000B3EC5">
        <w:rPr>
          <w:rFonts w:ascii="Times New Roman" w:hAnsi="Times New Roman" w:cs="Times New Roman"/>
          <w:sz w:val="24"/>
          <w:szCs w:val="24"/>
        </w:rPr>
        <w:t xml:space="preserve">, </w:t>
      </w:r>
      <w:r w:rsidRPr="000B3EC5">
        <w:rPr>
          <w:rFonts w:ascii="Times New Roman" w:hAnsi="Times New Roman" w:cs="Times New Roman"/>
          <w:sz w:val="24"/>
          <w:szCs w:val="24"/>
        </w:rPr>
        <w:lastRenderedPageBreak/>
        <w:t xml:space="preserve">suggesting a relatively predictable correlation between land size and price in this suburb. </w:t>
      </w:r>
      <w:r w:rsidR="000715EB">
        <w:rPr>
          <w:rFonts w:ascii="Times New Roman" w:hAnsi="Times New Roman" w:cs="Times New Roman"/>
          <w:sz w:val="24"/>
          <w:szCs w:val="24"/>
        </w:rPr>
        <w:t>Minimal outliers help to highlight Melton’s consistent link.</w:t>
      </w:r>
    </w:p>
    <w:p w14:paraId="5A889C08" w14:textId="277CD752" w:rsidR="00502E0A" w:rsidRPr="000B3EC5" w:rsidRDefault="00502E0A" w:rsidP="004A2BEF">
      <w:pPr>
        <w:ind w:left="360"/>
        <w:jc w:val="center"/>
        <w:rPr>
          <w:rFonts w:ascii="Times New Roman" w:hAnsi="Times New Roman" w:cs="Times New Roman"/>
          <w:sz w:val="24"/>
          <w:szCs w:val="24"/>
        </w:rPr>
      </w:pPr>
      <w:r w:rsidRPr="000B3EC5">
        <w:rPr>
          <w:rFonts w:ascii="Times New Roman" w:hAnsi="Times New Roman" w:cs="Times New Roman"/>
          <w:noProof/>
          <w:sz w:val="24"/>
          <w:szCs w:val="24"/>
        </w:rPr>
        <w:drawing>
          <wp:inline distT="0" distB="0" distL="0" distR="0" wp14:anchorId="7B5D3B2E" wp14:editId="57C6ABE6">
            <wp:extent cx="4572000" cy="2743200"/>
            <wp:effectExtent l="0" t="0" r="0" b="0"/>
            <wp:docPr id="66220076" name="Chart 1">
              <a:extLst xmlns:a="http://schemas.openxmlformats.org/drawingml/2006/main">
                <a:ext uri="{FF2B5EF4-FFF2-40B4-BE49-F238E27FC236}">
                  <a16:creationId xmlns:a16="http://schemas.microsoft.com/office/drawing/2014/main" id="{9CFDC3F6-E833-4722-3B38-B5A4F4CA05F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F1E69EF" w14:textId="139A6E9D" w:rsidR="00502E0A" w:rsidRPr="000B3EC5" w:rsidRDefault="00502E0A" w:rsidP="004A2BEF">
      <w:pPr>
        <w:ind w:left="360"/>
        <w:jc w:val="center"/>
        <w:rPr>
          <w:rFonts w:ascii="Times New Roman" w:hAnsi="Times New Roman" w:cs="Times New Roman"/>
          <w:sz w:val="24"/>
          <w:szCs w:val="24"/>
        </w:rPr>
      </w:pPr>
      <w:r w:rsidRPr="004A2BEF">
        <w:rPr>
          <w:rFonts w:ascii="Times New Roman" w:hAnsi="Times New Roman" w:cs="Times New Roman"/>
          <w:i/>
          <w:iCs/>
          <w:sz w:val="24"/>
          <w:szCs w:val="24"/>
        </w:rPr>
        <w:t xml:space="preserve">Figure </w:t>
      </w:r>
      <w:r w:rsidRPr="004A2BEF">
        <w:rPr>
          <w:rFonts w:ascii="Times New Roman" w:hAnsi="Times New Roman" w:cs="Times New Roman"/>
          <w:i/>
          <w:iCs/>
          <w:sz w:val="24"/>
          <w:szCs w:val="24"/>
        </w:rPr>
        <w:t>8</w:t>
      </w:r>
      <w:r w:rsidRPr="004A2BEF">
        <w:rPr>
          <w:rFonts w:ascii="Times New Roman" w:hAnsi="Times New Roman" w:cs="Times New Roman"/>
          <w:i/>
          <w:iCs/>
          <w:sz w:val="24"/>
          <w:szCs w:val="24"/>
        </w:rPr>
        <w:t>:</w:t>
      </w:r>
      <w:r w:rsidRPr="000B3EC5">
        <w:rPr>
          <w:rFonts w:ascii="Times New Roman" w:hAnsi="Times New Roman" w:cs="Times New Roman"/>
          <w:sz w:val="24"/>
          <w:szCs w:val="24"/>
        </w:rPr>
        <w:t xml:space="preserve"> Relationship between price and land</w:t>
      </w:r>
      <w:r w:rsidR="003E406F" w:rsidRPr="000B3EC5">
        <w:rPr>
          <w:rFonts w:ascii="Times New Roman" w:hAnsi="Times New Roman" w:cs="Times New Roman"/>
          <w:sz w:val="24"/>
          <w:szCs w:val="24"/>
        </w:rPr>
        <w:t xml:space="preserve"> </w:t>
      </w:r>
      <w:r w:rsidRPr="000B3EC5">
        <w:rPr>
          <w:rFonts w:ascii="Times New Roman" w:hAnsi="Times New Roman" w:cs="Times New Roman"/>
          <w:sz w:val="24"/>
          <w:szCs w:val="24"/>
        </w:rPr>
        <w:t xml:space="preserve">size in </w:t>
      </w:r>
      <w:r w:rsidRPr="000B3EC5">
        <w:rPr>
          <w:rFonts w:ascii="Times New Roman" w:hAnsi="Times New Roman" w:cs="Times New Roman"/>
          <w:sz w:val="24"/>
          <w:szCs w:val="24"/>
        </w:rPr>
        <w:t>Reservoir</w:t>
      </w:r>
    </w:p>
    <w:p w14:paraId="0662E763" w14:textId="51E51CA7" w:rsidR="003E406F" w:rsidRPr="000B3EC5" w:rsidRDefault="003E406F" w:rsidP="000B3EC5">
      <w:pPr>
        <w:ind w:left="360"/>
        <w:jc w:val="both"/>
        <w:rPr>
          <w:rFonts w:ascii="Times New Roman" w:hAnsi="Times New Roman" w:cs="Times New Roman"/>
          <w:sz w:val="24"/>
          <w:szCs w:val="24"/>
        </w:rPr>
      </w:pPr>
      <w:r w:rsidRPr="000B3EC5">
        <w:rPr>
          <w:rFonts w:ascii="Times New Roman" w:hAnsi="Times New Roman" w:cs="Times New Roman"/>
          <w:sz w:val="24"/>
          <w:szCs w:val="24"/>
        </w:rPr>
        <w:t xml:space="preserve">The scatter plot for </w:t>
      </w:r>
      <w:r w:rsidRPr="000B3EC5">
        <w:rPr>
          <w:rFonts w:ascii="Times New Roman" w:hAnsi="Times New Roman" w:cs="Times New Roman"/>
          <w:b/>
          <w:bCs/>
          <w:sz w:val="24"/>
          <w:szCs w:val="24"/>
        </w:rPr>
        <w:t>Reservoir</w:t>
      </w:r>
      <w:r w:rsidRPr="000B3EC5">
        <w:rPr>
          <w:rFonts w:ascii="Times New Roman" w:hAnsi="Times New Roman" w:cs="Times New Roman"/>
          <w:sz w:val="24"/>
          <w:szCs w:val="24"/>
        </w:rPr>
        <w:t xml:space="preserve"> shows a weak positive relationship between land size and price, with most properties clustered between </w:t>
      </w:r>
      <w:r w:rsidRPr="000B3EC5">
        <w:rPr>
          <w:rFonts w:ascii="Times New Roman" w:hAnsi="Times New Roman" w:cs="Times New Roman"/>
          <w:b/>
          <w:bCs/>
          <w:sz w:val="24"/>
          <w:szCs w:val="24"/>
        </w:rPr>
        <w:t>$300,000 to $800,000</w:t>
      </w:r>
      <w:r w:rsidRPr="000B3EC5">
        <w:rPr>
          <w:rFonts w:ascii="Times New Roman" w:hAnsi="Times New Roman" w:cs="Times New Roman"/>
          <w:sz w:val="24"/>
          <w:szCs w:val="24"/>
        </w:rPr>
        <w:t xml:space="preserve"> and </w:t>
      </w:r>
      <w:r w:rsidRPr="000B3EC5">
        <w:rPr>
          <w:rFonts w:ascii="Times New Roman" w:hAnsi="Times New Roman" w:cs="Times New Roman"/>
          <w:b/>
          <w:bCs/>
          <w:sz w:val="24"/>
          <w:szCs w:val="24"/>
        </w:rPr>
        <w:t>0 to 800 sqm</w:t>
      </w:r>
      <w:r w:rsidRPr="000B3EC5">
        <w:rPr>
          <w:rFonts w:ascii="Times New Roman" w:hAnsi="Times New Roman" w:cs="Times New Roman"/>
          <w:sz w:val="24"/>
          <w:szCs w:val="24"/>
        </w:rPr>
        <w:t xml:space="preserve">. A </w:t>
      </w:r>
      <w:r w:rsidR="000715EB">
        <w:rPr>
          <w:rFonts w:ascii="Times New Roman" w:hAnsi="Times New Roman" w:cs="Times New Roman"/>
          <w:sz w:val="24"/>
          <w:szCs w:val="24"/>
        </w:rPr>
        <w:t>popular</w:t>
      </w:r>
      <w:r w:rsidRPr="000B3EC5">
        <w:rPr>
          <w:rFonts w:ascii="Times New Roman" w:hAnsi="Times New Roman" w:cs="Times New Roman"/>
          <w:sz w:val="24"/>
          <w:szCs w:val="24"/>
        </w:rPr>
        <w:t xml:space="preserve"> outlier with a land size exceeding </w:t>
      </w:r>
      <w:r w:rsidRPr="000B3EC5">
        <w:rPr>
          <w:rFonts w:ascii="Times New Roman" w:hAnsi="Times New Roman" w:cs="Times New Roman"/>
          <w:b/>
          <w:bCs/>
          <w:sz w:val="24"/>
          <w:szCs w:val="24"/>
        </w:rPr>
        <w:t>4000 sqm</w:t>
      </w:r>
      <w:r w:rsidRPr="000B3EC5">
        <w:rPr>
          <w:rFonts w:ascii="Times New Roman" w:hAnsi="Times New Roman" w:cs="Times New Roman"/>
          <w:sz w:val="24"/>
          <w:szCs w:val="24"/>
        </w:rPr>
        <w:t xml:space="preserve"> </w:t>
      </w:r>
      <w:r w:rsidR="000715EB">
        <w:rPr>
          <w:rFonts w:ascii="Times New Roman" w:hAnsi="Times New Roman" w:cs="Times New Roman"/>
          <w:sz w:val="24"/>
          <w:szCs w:val="24"/>
        </w:rPr>
        <w:t xml:space="preserve">has little effect on this </w:t>
      </w:r>
      <w:r w:rsidRPr="000B3EC5">
        <w:rPr>
          <w:rFonts w:ascii="Times New Roman" w:hAnsi="Times New Roman" w:cs="Times New Roman"/>
          <w:sz w:val="24"/>
          <w:szCs w:val="24"/>
        </w:rPr>
        <w:t>trend, which remains relatively flat, indicating a limited impact of land size on property prices in this suburb</w:t>
      </w:r>
      <w:r w:rsidRPr="000B3EC5">
        <w:rPr>
          <w:rFonts w:ascii="Times New Roman" w:hAnsi="Times New Roman" w:cs="Times New Roman"/>
          <w:sz w:val="24"/>
          <w:szCs w:val="24"/>
        </w:rPr>
        <w:t>.</w:t>
      </w:r>
    </w:p>
    <w:p w14:paraId="44C3E14C" w14:textId="32A34F46" w:rsidR="00883E8D" w:rsidRPr="004A2BEF" w:rsidRDefault="00883E8D" w:rsidP="000B3EC5">
      <w:pPr>
        <w:ind w:left="360"/>
        <w:jc w:val="both"/>
        <w:rPr>
          <w:rFonts w:ascii="Times New Roman" w:hAnsi="Times New Roman" w:cs="Times New Roman"/>
          <w:b/>
          <w:bCs/>
          <w:sz w:val="24"/>
          <w:szCs w:val="24"/>
        </w:rPr>
      </w:pPr>
      <w:r w:rsidRPr="004A2BEF">
        <w:rPr>
          <w:rFonts w:ascii="Times New Roman" w:hAnsi="Times New Roman" w:cs="Times New Roman"/>
          <w:b/>
          <w:bCs/>
          <w:sz w:val="24"/>
          <w:szCs w:val="24"/>
        </w:rPr>
        <w:t>Question 3:</w:t>
      </w:r>
    </w:p>
    <w:tbl>
      <w:tblPr>
        <w:tblW w:w="5440" w:type="dxa"/>
        <w:jc w:val="center"/>
        <w:tblLook w:val="04A0" w:firstRow="1" w:lastRow="0" w:firstColumn="1" w:lastColumn="0" w:noHBand="0" w:noVBand="1"/>
      </w:tblPr>
      <w:tblGrid>
        <w:gridCol w:w="1600"/>
        <w:gridCol w:w="1680"/>
        <w:gridCol w:w="636"/>
        <w:gridCol w:w="636"/>
        <w:gridCol w:w="1160"/>
      </w:tblGrid>
      <w:tr w:rsidR="00CE06AF" w:rsidRPr="00CE06AF" w14:paraId="6CC1B86F" w14:textId="77777777" w:rsidTr="004A2BEF">
        <w:trPr>
          <w:trHeight w:val="288"/>
          <w:jc w:val="center"/>
        </w:trPr>
        <w:tc>
          <w:tcPr>
            <w:tcW w:w="1600" w:type="dxa"/>
            <w:tcBorders>
              <w:top w:val="nil"/>
              <w:left w:val="nil"/>
              <w:bottom w:val="nil"/>
              <w:right w:val="nil"/>
            </w:tcBorders>
            <w:shd w:val="clear" w:color="D9E1F2" w:fill="D9E1F2"/>
            <w:noWrap/>
            <w:vAlign w:val="bottom"/>
            <w:hideMark/>
          </w:tcPr>
          <w:p w14:paraId="77DC40E7" w14:textId="77777777" w:rsidR="00CE06AF" w:rsidRPr="00CE06AF" w:rsidRDefault="00CE06AF" w:rsidP="000B3EC5">
            <w:pPr>
              <w:spacing w:after="0" w:line="240" w:lineRule="auto"/>
              <w:jc w:val="both"/>
              <w:rPr>
                <w:rFonts w:ascii="Times New Roman" w:eastAsia="Times New Roman" w:hAnsi="Times New Roman" w:cs="Times New Roman"/>
                <w:b/>
                <w:bCs/>
                <w:color w:val="000000"/>
                <w:kern w:val="0"/>
                <w:sz w:val="24"/>
                <w:szCs w:val="24"/>
                <w14:ligatures w14:val="none"/>
              </w:rPr>
            </w:pPr>
            <w:r w:rsidRPr="00CE06AF">
              <w:rPr>
                <w:rFonts w:ascii="Times New Roman" w:eastAsia="Times New Roman" w:hAnsi="Times New Roman" w:cs="Times New Roman"/>
                <w:b/>
                <w:bCs/>
                <w:color w:val="000000"/>
                <w:kern w:val="0"/>
                <w:sz w:val="24"/>
                <w:szCs w:val="24"/>
                <w14:ligatures w14:val="none"/>
              </w:rPr>
              <w:t>Average of Price</w:t>
            </w:r>
          </w:p>
        </w:tc>
        <w:tc>
          <w:tcPr>
            <w:tcW w:w="1680" w:type="dxa"/>
            <w:tcBorders>
              <w:top w:val="nil"/>
              <w:left w:val="nil"/>
              <w:bottom w:val="nil"/>
              <w:right w:val="nil"/>
            </w:tcBorders>
            <w:shd w:val="clear" w:color="D9E1F2" w:fill="D9E1F2"/>
            <w:noWrap/>
            <w:vAlign w:val="bottom"/>
            <w:hideMark/>
          </w:tcPr>
          <w:p w14:paraId="57B2C40B" w14:textId="77777777" w:rsidR="00CE06AF" w:rsidRPr="00CE06AF" w:rsidRDefault="00CE06AF" w:rsidP="000B3EC5">
            <w:pPr>
              <w:spacing w:after="0" w:line="240" w:lineRule="auto"/>
              <w:jc w:val="both"/>
              <w:rPr>
                <w:rFonts w:ascii="Times New Roman" w:eastAsia="Times New Roman" w:hAnsi="Times New Roman" w:cs="Times New Roman"/>
                <w:b/>
                <w:bCs/>
                <w:color w:val="000000"/>
                <w:kern w:val="0"/>
                <w:sz w:val="24"/>
                <w:szCs w:val="24"/>
                <w14:ligatures w14:val="none"/>
              </w:rPr>
            </w:pPr>
            <w:r w:rsidRPr="00CE06AF">
              <w:rPr>
                <w:rFonts w:ascii="Times New Roman" w:eastAsia="Times New Roman" w:hAnsi="Times New Roman" w:cs="Times New Roman"/>
                <w:b/>
                <w:bCs/>
                <w:color w:val="000000"/>
                <w:kern w:val="0"/>
                <w:sz w:val="24"/>
                <w:szCs w:val="24"/>
                <w14:ligatures w14:val="none"/>
              </w:rPr>
              <w:t>Column Labels</w:t>
            </w:r>
          </w:p>
        </w:tc>
        <w:tc>
          <w:tcPr>
            <w:tcW w:w="500" w:type="dxa"/>
            <w:tcBorders>
              <w:top w:val="nil"/>
              <w:left w:val="nil"/>
              <w:bottom w:val="nil"/>
              <w:right w:val="nil"/>
            </w:tcBorders>
            <w:shd w:val="clear" w:color="D9E1F2" w:fill="D9E1F2"/>
            <w:noWrap/>
            <w:vAlign w:val="bottom"/>
            <w:hideMark/>
          </w:tcPr>
          <w:p w14:paraId="0017CA05" w14:textId="77777777" w:rsidR="00CE06AF" w:rsidRPr="00CE06AF" w:rsidRDefault="00CE06AF" w:rsidP="000B3EC5">
            <w:pPr>
              <w:spacing w:after="0" w:line="240" w:lineRule="auto"/>
              <w:jc w:val="both"/>
              <w:rPr>
                <w:rFonts w:ascii="Times New Roman" w:eastAsia="Times New Roman" w:hAnsi="Times New Roman" w:cs="Times New Roman"/>
                <w:b/>
                <w:bCs/>
                <w:color w:val="000000"/>
                <w:kern w:val="0"/>
                <w:sz w:val="24"/>
                <w:szCs w:val="24"/>
                <w14:ligatures w14:val="none"/>
              </w:rPr>
            </w:pPr>
          </w:p>
        </w:tc>
        <w:tc>
          <w:tcPr>
            <w:tcW w:w="500" w:type="dxa"/>
            <w:tcBorders>
              <w:top w:val="nil"/>
              <w:left w:val="nil"/>
              <w:bottom w:val="nil"/>
              <w:right w:val="nil"/>
            </w:tcBorders>
            <w:shd w:val="clear" w:color="D9E1F2" w:fill="D9E1F2"/>
            <w:noWrap/>
            <w:vAlign w:val="bottom"/>
            <w:hideMark/>
          </w:tcPr>
          <w:p w14:paraId="2BADC423" w14:textId="77777777" w:rsidR="00CE06AF" w:rsidRPr="00CE06AF" w:rsidRDefault="00CE06AF" w:rsidP="000B3EC5">
            <w:pPr>
              <w:spacing w:after="0" w:line="240" w:lineRule="auto"/>
              <w:jc w:val="both"/>
              <w:rPr>
                <w:rFonts w:ascii="Times New Roman" w:eastAsia="Times New Roman" w:hAnsi="Times New Roman" w:cs="Times New Roman"/>
                <w:kern w:val="0"/>
                <w:sz w:val="24"/>
                <w:szCs w:val="24"/>
                <w14:ligatures w14:val="none"/>
              </w:rPr>
            </w:pPr>
          </w:p>
        </w:tc>
        <w:tc>
          <w:tcPr>
            <w:tcW w:w="1160" w:type="dxa"/>
            <w:tcBorders>
              <w:top w:val="nil"/>
              <w:left w:val="nil"/>
              <w:bottom w:val="nil"/>
              <w:right w:val="nil"/>
            </w:tcBorders>
            <w:shd w:val="clear" w:color="D9E1F2" w:fill="D9E1F2"/>
            <w:noWrap/>
            <w:vAlign w:val="bottom"/>
            <w:hideMark/>
          </w:tcPr>
          <w:p w14:paraId="444A2D89" w14:textId="77777777" w:rsidR="00CE06AF" w:rsidRPr="00CE06AF" w:rsidRDefault="00CE06AF" w:rsidP="000B3EC5">
            <w:pPr>
              <w:spacing w:after="0" w:line="240" w:lineRule="auto"/>
              <w:jc w:val="both"/>
              <w:rPr>
                <w:rFonts w:ascii="Times New Roman" w:eastAsia="Times New Roman" w:hAnsi="Times New Roman" w:cs="Times New Roman"/>
                <w:kern w:val="0"/>
                <w:sz w:val="24"/>
                <w:szCs w:val="24"/>
                <w14:ligatures w14:val="none"/>
              </w:rPr>
            </w:pPr>
          </w:p>
        </w:tc>
      </w:tr>
      <w:tr w:rsidR="00CE06AF" w:rsidRPr="00CE06AF" w14:paraId="0AB01460" w14:textId="77777777" w:rsidTr="004A2BEF">
        <w:trPr>
          <w:trHeight w:val="288"/>
          <w:jc w:val="center"/>
        </w:trPr>
        <w:tc>
          <w:tcPr>
            <w:tcW w:w="1600" w:type="dxa"/>
            <w:tcBorders>
              <w:top w:val="nil"/>
              <w:left w:val="nil"/>
              <w:bottom w:val="single" w:sz="4" w:space="0" w:color="8EA9DB"/>
              <w:right w:val="nil"/>
            </w:tcBorders>
            <w:shd w:val="clear" w:color="D9E1F2" w:fill="D9E1F2"/>
            <w:noWrap/>
            <w:vAlign w:val="bottom"/>
            <w:hideMark/>
          </w:tcPr>
          <w:p w14:paraId="5ECD6818" w14:textId="77777777" w:rsidR="00CE06AF" w:rsidRPr="00CE06AF" w:rsidRDefault="00CE06AF" w:rsidP="000B3EC5">
            <w:pPr>
              <w:spacing w:after="0" w:line="240" w:lineRule="auto"/>
              <w:jc w:val="both"/>
              <w:rPr>
                <w:rFonts w:ascii="Times New Roman" w:eastAsia="Times New Roman" w:hAnsi="Times New Roman" w:cs="Times New Roman"/>
                <w:b/>
                <w:bCs/>
                <w:color w:val="000000"/>
                <w:kern w:val="0"/>
                <w:sz w:val="24"/>
                <w:szCs w:val="24"/>
                <w14:ligatures w14:val="none"/>
              </w:rPr>
            </w:pPr>
            <w:r w:rsidRPr="00CE06AF">
              <w:rPr>
                <w:rFonts w:ascii="Times New Roman" w:eastAsia="Times New Roman" w:hAnsi="Times New Roman" w:cs="Times New Roman"/>
                <w:b/>
                <w:bCs/>
                <w:color w:val="000000"/>
                <w:kern w:val="0"/>
                <w:sz w:val="24"/>
                <w:szCs w:val="24"/>
                <w14:ligatures w14:val="none"/>
              </w:rPr>
              <w:t>Row Labels</w:t>
            </w:r>
          </w:p>
        </w:tc>
        <w:tc>
          <w:tcPr>
            <w:tcW w:w="1680" w:type="dxa"/>
            <w:tcBorders>
              <w:top w:val="nil"/>
              <w:left w:val="nil"/>
              <w:bottom w:val="single" w:sz="4" w:space="0" w:color="8EA9DB"/>
              <w:right w:val="nil"/>
            </w:tcBorders>
            <w:shd w:val="clear" w:color="D9E1F2" w:fill="D9E1F2"/>
            <w:noWrap/>
            <w:vAlign w:val="bottom"/>
            <w:hideMark/>
          </w:tcPr>
          <w:p w14:paraId="091F3E9C" w14:textId="77777777" w:rsidR="00CE06AF" w:rsidRPr="00CE06AF" w:rsidRDefault="00CE06AF" w:rsidP="000B3EC5">
            <w:pPr>
              <w:spacing w:after="0" w:line="240" w:lineRule="auto"/>
              <w:jc w:val="both"/>
              <w:rPr>
                <w:rFonts w:ascii="Times New Roman" w:eastAsia="Times New Roman" w:hAnsi="Times New Roman" w:cs="Times New Roman"/>
                <w:b/>
                <w:bCs/>
                <w:color w:val="000000"/>
                <w:kern w:val="0"/>
                <w:sz w:val="24"/>
                <w:szCs w:val="24"/>
                <w14:ligatures w14:val="none"/>
              </w:rPr>
            </w:pPr>
            <w:r w:rsidRPr="00CE06AF">
              <w:rPr>
                <w:rFonts w:ascii="Times New Roman" w:eastAsia="Times New Roman" w:hAnsi="Times New Roman" w:cs="Times New Roman"/>
                <w:b/>
                <w:bCs/>
                <w:color w:val="000000"/>
                <w:kern w:val="0"/>
                <w:sz w:val="24"/>
                <w:szCs w:val="24"/>
                <w14:ligatures w14:val="none"/>
              </w:rPr>
              <w:t>h</w:t>
            </w:r>
          </w:p>
        </w:tc>
        <w:tc>
          <w:tcPr>
            <w:tcW w:w="500" w:type="dxa"/>
            <w:tcBorders>
              <w:top w:val="nil"/>
              <w:left w:val="nil"/>
              <w:bottom w:val="single" w:sz="4" w:space="0" w:color="8EA9DB"/>
              <w:right w:val="nil"/>
            </w:tcBorders>
            <w:shd w:val="clear" w:color="D9E1F2" w:fill="D9E1F2"/>
            <w:noWrap/>
            <w:vAlign w:val="bottom"/>
            <w:hideMark/>
          </w:tcPr>
          <w:p w14:paraId="0EB18AA4" w14:textId="77777777" w:rsidR="00CE06AF" w:rsidRPr="00CE06AF" w:rsidRDefault="00CE06AF" w:rsidP="000B3EC5">
            <w:pPr>
              <w:spacing w:after="0" w:line="240" w:lineRule="auto"/>
              <w:jc w:val="both"/>
              <w:rPr>
                <w:rFonts w:ascii="Times New Roman" w:eastAsia="Times New Roman" w:hAnsi="Times New Roman" w:cs="Times New Roman"/>
                <w:b/>
                <w:bCs/>
                <w:color w:val="000000"/>
                <w:kern w:val="0"/>
                <w:sz w:val="24"/>
                <w:szCs w:val="24"/>
                <w14:ligatures w14:val="none"/>
              </w:rPr>
            </w:pPr>
            <w:r w:rsidRPr="00CE06AF">
              <w:rPr>
                <w:rFonts w:ascii="Times New Roman" w:eastAsia="Times New Roman" w:hAnsi="Times New Roman" w:cs="Times New Roman"/>
                <w:b/>
                <w:bCs/>
                <w:color w:val="000000"/>
                <w:kern w:val="0"/>
                <w:sz w:val="24"/>
                <w:szCs w:val="24"/>
                <w14:ligatures w14:val="none"/>
              </w:rPr>
              <w:t>t</w:t>
            </w:r>
          </w:p>
        </w:tc>
        <w:tc>
          <w:tcPr>
            <w:tcW w:w="500" w:type="dxa"/>
            <w:tcBorders>
              <w:top w:val="nil"/>
              <w:left w:val="nil"/>
              <w:bottom w:val="single" w:sz="4" w:space="0" w:color="8EA9DB"/>
              <w:right w:val="nil"/>
            </w:tcBorders>
            <w:shd w:val="clear" w:color="D9E1F2" w:fill="D9E1F2"/>
            <w:noWrap/>
            <w:vAlign w:val="bottom"/>
            <w:hideMark/>
          </w:tcPr>
          <w:p w14:paraId="4C20703F" w14:textId="77777777" w:rsidR="00CE06AF" w:rsidRPr="00CE06AF" w:rsidRDefault="00CE06AF" w:rsidP="000B3EC5">
            <w:pPr>
              <w:spacing w:after="0" w:line="240" w:lineRule="auto"/>
              <w:jc w:val="both"/>
              <w:rPr>
                <w:rFonts w:ascii="Times New Roman" w:eastAsia="Times New Roman" w:hAnsi="Times New Roman" w:cs="Times New Roman"/>
                <w:b/>
                <w:bCs/>
                <w:color w:val="000000"/>
                <w:kern w:val="0"/>
                <w:sz w:val="24"/>
                <w:szCs w:val="24"/>
                <w14:ligatures w14:val="none"/>
              </w:rPr>
            </w:pPr>
            <w:r w:rsidRPr="00CE06AF">
              <w:rPr>
                <w:rFonts w:ascii="Times New Roman" w:eastAsia="Times New Roman" w:hAnsi="Times New Roman" w:cs="Times New Roman"/>
                <w:b/>
                <w:bCs/>
                <w:color w:val="000000"/>
                <w:kern w:val="0"/>
                <w:sz w:val="24"/>
                <w:szCs w:val="24"/>
                <w14:ligatures w14:val="none"/>
              </w:rPr>
              <w:t>u</w:t>
            </w:r>
          </w:p>
        </w:tc>
        <w:tc>
          <w:tcPr>
            <w:tcW w:w="1160" w:type="dxa"/>
            <w:tcBorders>
              <w:top w:val="nil"/>
              <w:left w:val="nil"/>
              <w:bottom w:val="single" w:sz="4" w:space="0" w:color="8EA9DB"/>
              <w:right w:val="nil"/>
            </w:tcBorders>
            <w:shd w:val="clear" w:color="D9E1F2" w:fill="D9E1F2"/>
            <w:noWrap/>
            <w:vAlign w:val="bottom"/>
            <w:hideMark/>
          </w:tcPr>
          <w:p w14:paraId="137F0358" w14:textId="77777777" w:rsidR="00CE06AF" w:rsidRPr="00CE06AF" w:rsidRDefault="00CE06AF" w:rsidP="000B3EC5">
            <w:pPr>
              <w:spacing w:after="0" w:line="240" w:lineRule="auto"/>
              <w:jc w:val="both"/>
              <w:rPr>
                <w:rFonts w:ascii="Times New Roman" w:eastAsia="Times New Roman" w:hAnsi="Times New Roman" w:cs="Times New Roman"/>
                <w:b/>
                <w:bCs/>
                <w:color w:val="000000"/>
                <w:kern w:val="0"/>
                <w:sz w:val="24"/>
                <w:szCs w:val="24"/>
                <w14:ligatures w14:val="none"/>
              </w:rPr>
            </w:pPr>
            <w:r w:rsidRPr="00CE06AF">
              <w:rPr>
                <w:rFonts w:ascii="Times New Roman" w:eastAsia="Times New Roman" w:hAnsi="Times New Roman" w:cs="Times New Roman"/>
                <w:b/>
                <w:bCs/>
                <w:color w:val="000000"/>
                <w:kern w:val="0"/>
                <w:sz w:val="24"/>
                <w:szCs w:val="24"/>
                <w14:ligatures w14:val="none"/>
              </w:rPr>
              <w:t>Grand Total</w:t>
            </w:r>
          </w:p>
        </w:tc>
      </w:tr>
      <w:tr w:rsidR="00CE06AF" w:rsidRPr="00CE06AF" w14:paraId="01C4D2D3" w14:textId="77777777" w:rsidTr="004A2BEF">
        <w:trPr>
          <w:trHeight w:val="288"/>
          <w:jc w:val="center"/>
        </w:trPr>
        <w:tc>
          <w:tcPr>
            <w:tcW w:w="1600" w:type="dxa"/>
            <w:tcBorders>
              <w:top w:val="nil"/>
              <w:left w:val="nil"/>
              <w:bottom w:val="nil"/>
              <w:right w:val="nil"/>
            </w:tcBorders>
            <w:shd w:val="clear" w:color="auto" w:fill="auto"/>
            <w:noWrap/>
            <w:vAlign w:val="bottom"/>
            <w:hideMark/>
          </w:tcPr>
          <w:p w14:paraId="200A4C57" w14:textId="77777777" w:rsidR="00CE06AF" w:rsidRPr="00CE06AF" w:rsidRDefault="00CE06AF" w:rsidP="000B3EC5">
            <w:pPr>
              <w:spacing w:after="0" w:line="240" w:lineRule="auto"/>
              <w:jc w:val="both"/>
              <w:rPr>
                <w:rFonts w:ascii="Times New Roman" w:eastAsia="Times New Roman" w:hAnsi="Times New Roman" w:cs="Times New Roman"/>
                <w:color w:val="000000"/>
                <w:kern w:val="0"/>
                <w:sz w:val="24"/>
                <w:szCs w:val="24"/>
                <w14:ligatures w14:val="none"/>
              </w:rPr>
            </w:pPr>
            <w:r w:rsidRPr="00CE06AF">
              <w:rPr>
                <w:rFonts w:ascii="Times New Roman" w:eastAsia="Times New Roman" w:hAnsi="Times New Roman" w:cs="Times New Roman"/>
                <w:color w:val="000000"/>
                <w:kern w:val="0"/>
                <w:sz w:val="24"/>
                <w:szCs w:val="24"/>
                <w14:ligatures w14:val="none"/>
              </w:rPr>
              <w:t>Albert Park</w:t>
            </w:r>
          </w:p>
        </w:tc>
        <w:tc>
          <w:tcPr>
            <w:tcW w:w="1680" w:type="dxa"/>
            <w:tcBorders>
              <w:top w:val="nil"/>
              <w:left w:val="nil"/>
              <w:bottom w:val="nil"/>
              <w:right w:val="nil"/>
            </w:tcBorders>
            <w:shd w:val="clear" w:color="000000" w:fill="89C97E"/>
            <w:noWrap/>
            <w:vAlign w:val="bottom"/>
            <w:hideMark/>
          </w:tcPr>
          <w:p w14:paraId="461F788D" w14:textId="77777777" w:rsidR="00CE06AF" w:rsidRPr="00CE06AF" w:rsidRDefault="00CE06AF" w:rsidP="000B3EC5">
            <w:pPr>
              <w:spacing w:after="0" w:line="240" w:lineRule="auto"/>
              <w:jc w:val="both"/>
              <w:rPr>
                <w:rFonts w:ascii="Times New Roman" w:eastAsia="Times New Roman" w:hAnsi="Times New Roman" w:cs="Times New Roman"/>
                <w:color w:val="000000"/>
                <w:kern w:val="0"/>
                <w:sz w:val="24"/>
                <w:szCs w:val="24"/>
                <w14:ligatures w14:val="none"/>
              </w:rPr>
            </w:pPr>
            <w:r w:rsidRPr="00CE06AF">
              <w:rPr>
                <w:rFonts w:ascii="Times New Roman" w:eastAsia="Times New Roman" w:hAnsi="Times New Roman" w:cs="Times New Roman"/>
                <w:color w:val="000000"/>
                <w:kern w:val="0"/>
                <w:sz w:val="24"/>
                <w:szCs w:val="24"/>
                <w14:ligatures w14:val="none"/>
              </w:rPr>
              <w:t>2.07</w:t>
            </w:r>
          </w:p>
        </w:tc>
        <w:tc>
          <w:tcPr>
            <w:tcW w:w="500" w:type="dxa"/>
            <w:tcBorders>
              <w:top w:val="nil"/>
              <w:left w:val="nil"/>
              <w:bottom w:val="nil"/>
              <w:right w:val="nil"/>
            </w:tcBorders>
            <w:shd w:val="clear" w:color="auto" w:fill="auto"/>
            <w:noWrap/>
            <w:vAlign w:val="bottom"/>
            <w:hideMark/>
          </w:tcPr>
          <w:p w14:paraId="406095FC" w14:textId="77777777" w:rsidR="00CE06AF" w:rsidRPr="00CE06AF" w:rsidRDefault="00CE06AF" w:rsidP="000B3EC5">
            <w:pPr>
              <w:spacing w:after="0" w:line="240" w:lineRule="auto"/>
              <w:jc w:val="both"/>
              <w:rPr>
                <w:rFonts w:ascii="Times New Roman" w:eastAsia="Times New Roman" w:hAnsi="Times New Roman" w:cs="Times New Roman"/>
                <w:color w:val="000000"/>
                <w:kern w:val="0"/>
                <w:sz w:val="24"/>
                <w:szCs w:val="24"/>
                <w14:ligatures w14:val="none"/>
              </w:rPr>
            </w:pPr>
          </w:p>
        </w:tc>
        <w:tc>
          <w:tcPr>
            <w:tcW w:w="500" w:type="dxa"/>
            <w:tcBorders>
              <w:top w:val="nil"/>
              <w:left w:val="nil"/>
              <w:bottom w:val="nil"/>
              <w:right w:val="nil"/>
            </w:tcBorders>
            <w:shd w:val="clear" w:color="000000" w:fill="FCBF7B"/>
            <w:noWrap/>
            <w:vAlign w:val="bottom"/>
            <w:hideMark/>
          </w:tcPr>
          <w:p w14:paraId="5466B971" w14:textId="77777777" w:rsidR="00CE06AF" w:rsidRPr="00CE06AF" w:rsidRDefault="00CE06AF" w:rsidP="000B3EC5">
            <w:pPr>
              <w:spacing w:after="0" w:line="240" w:lineRule="auto"/>
              <w:jc w:val="both"/>
              <w:rPr>
                <w:rFonts w:ascii="Times New Roman" w:eastAsia="Times New Roman" w:hAnsi="Times New Roman" w:cs="Times New Roman"/>
                <w:color w:val="000000"/>
                <w:kern w:val="0"/>
                <w:sz w:val="24"/>
                <w:szCs w:val="24"/>
                <w14:ligatures w14:val="none"/>
              </w:rPr>
            </w:pPr>
            <w:r w:rsidRPr="00CE06AF">
              <w:rPr>
                <w:rFonts w:ascii="Times New Roman" w:eastAsia="Times New Roman" w:hAnsi="Times New Roman" w:cs="Times New Roman"/>
                <w:color w:val="000000"/>
                <w:kern w:val="0"/>
                <w:sz w:val="24"/>
                <w:szCs w:val="24"/>
                <w14:ligatures w14:val="none"/>
              </w:rPr>
              <w:t>0.74</w:t>
            </w:r>
          </w:p>
        </w:tc>
        <w:tc>
          <w:tcPr>
            <w:tcW w:w="1160" w:type="dxa"/>
            <w:tcBorders>
              <w:top w:val="nil"/>
              <w:left w:val="nil"/>
              <w:bottom w:val="nil"/>
              <w:right w:val="nil"/>
            </w:tcBorders>
            <w:shd w:val="clear" w:color="000000" w:fill="95CD7E"/>
            <w:noWrap/>
            <w:vAlign w:val="bottom"/>
            <w:hideMark/>
          </w:tcPr>
          <w:p w14:paraId="03E4F62D" w14:textId="77777777" w:rsidR="00CE06AF" w:rsidRPr="00CE06AF" w:rsidRDefault="00CE06AF" w:rsidP="000B3EC5">
            <w:pPr>
              <w:spacing w:after="0" w:line="240" w:lineRule="auto"/>
              <w:jc w:val="both"/>
              <w:rPr>
                <w:rFonts w:ascii="Times New Roman" w:eastAsia="Times New Roman" w:hAnsi="Times New Roman" w:cs="Times New Roman"/>
                <w:color w:val="000000"/>
                <w:kern w:val="0"/>
                <w:sz w:val="24"/>
                <w:szCs w:val="24"/>
                <w14:ligatures w14:val="none"/>
              </w:rPr>
            </w:pPr>
            <w:r w:rsidRPr="00CE06AF">
              <w:rPr>
                <w:rFonts w:ascii="Times New Roman" w:eastAsia="Times New Roman" w:hAnsi="Times New Roman" w:cs="Times New Roman"/>
                <w:color w:val="000000"/>
                <w:kern w:val="0"/>
                <w:sz w:val="24"/>
                <w:szCs w:val="24"/>
                <w14:ligatures w14:val="none"/>
              </w:rPr>
              <w:t>1.95</w:t>
            </w:r>
          </w:p>
        </w:tc>
      </w:tr>
      <w:tr w:rsidR="00CE06AF" w:rsidRPr="00CE06AF" w14:paraId="7B8E6251" w14:textId="77777777" w:rsidTr="004A2BEF">
        <w:trPr>
          <w:trHeight w:val="288"/>
          <w:jc w:val="center"/>
        </w:trPr>
        <w:tc>
          <w:tcPr>
            <w:tcW w:w="1600" w:type="dxa"/>
            <w:tcBorders>
              <w:top w:val="nil"/>
              <w:left w:val="nil"/>
              <w:bottom w:val="nil"/>
              <w:right w:val="nil"/>
            </w:tcBorders>
            <w:shd w:val="clear" w:color="auto" w:fill="auto"/>
            <w:noWrap/>
            <w:vAlign w:val="bottom"/>
            <w:hideMark/>
          </w:tcPr>
          <w:p w14:paraId="76D89E26" w14:textId="77777777" w:rsidR="00CE06AF" w:rsidRPr="00CE06AF" w:rsidRDefault="00CE06AF" w:rsidP="000B3EC5">
            <w:pPr>
              <w:spacing w:after="0" w:line="240" w:lineRule="auto"/>
              <w:jc w:val="both"/>
              <w:rPr>
                <w:rFonts w:ascii="Times New Roman" w:eastAsia="Times New Roman" w:hAnsi="Times New Roman" w:cs="Times New Roman"/>
                <w:color w:val="000000"/>
                <w:kern w:val="0"/>
                <w:sz w:val="24"/>
                <w:szCs w:val="24"/>
                <w14:ligatures w14:val="none"/>
              </w:rPr>
            </w:pPr>
            <w:r w:rsidRPr="00CE06AF">
              <w:rPr>
                <w:rFonts w:ascii="Times New Roman" w:eastAsia="Times New Roman" w:hAnsi="Times New Roman" w:cs="Times New Roman"/>
                <w:color w:val="000000"/>
                <w:kern w:val="0"/>
                <w:sz w:val="24"/>
                <w:szCs w:val="24"/>
                <w14:ligatures w14:val="none"/>
              </w:rPr>
              <w:t>Brunswick East</w:t>
            </w:r>
          </w:p>
        </w:tc>
        <w:tc>
          <w:tcPr>
            <w:tcW w:w="1680" w:type="dxa"/>
            <w:tcBorders>
              <w:top w:val="nil"/>
              <w:left w:val="nil"/>
              <w:bottom w:val="nil"/>
              <w:right w:val="nil"/>
            </w:tcBorders>
            <w:shd w:val="clear" w:color="000000" w:fill="DDE182"/>
            <w:noWrap/>
            <w:vAlign w:val="bottom"/>
            <w:hideMark/>
          </w:tcPr>
          <w:p w14:paraId="6F380C2B" w14:textId="77777777" w:rsidR="00CE06AF" w:rsidRPr="00CE06AF" w:rsidRDefault="00CE06AF" w:rsidP="000B3EC5">
            <w:pPr>
              <w:spacing w:after="0" w:line="240" w:lineRule="auto"/>
              <w:jc w:val="both"/>
              <w:rPr>
                <w:rFonts w:ascii="Times New Roman" w:eastAsia="Times New Roman" w:hAnsi="Times New Roman" w:cs="Times New Roman"/>
                <w:color w:val="000000"/>
                <w:kern w:val="0"/>
                <w:sz w:val="24"/>
                <w:szCs w:val="24"/>
                <w14:ligatures w14:val="none"/>
              </w:rPr>
            </w:pPr>
            <w:r w:rsidRPr="00CE06AF">
              <w:rPr>
                <w:rFonts w:ascii="Times New Roman" w:eastAsia="Times New Roman" w:hAnsi="Times New Roman" w:cs="Times New Roman"/>
                <w:color w:val="000000"/>
                <w:kern w:val="0"/>
                <w:sz w:val="24"/>
                <w:szCs w:val="24"/>
                <w14:ligatures w14:val="none"/>
              </w:rPr>
              <w:t>1.25</w:t>
            </w:r>
          </w:p>
        </w:tc>
        <w:tc>
          <w:tcPr>
            <w:tcW w:w="500" w:type="dxa"/>
            <w:tcBorders>
              <w:top w:val="nil"/>
              <w:left w:val="nil"/>
              <w:bottom w:val="nil"/>
              <w:right w:val="nil"/>
            </w:tcBorders>
            <w:shd w:val="clear" w:color="000000" w:fill="FFEB84"/>
            <w:noWrap/>
            <w:vAlign w:val="bottom"/>
            <w:hideMark/>
          </w:tcPr>
          <w:p w14:paraId="5437C1D5" w14:textId="77777777" w:rsidR="00CE06AF" w:rsidRPr="00CE06AF" w:rsidRDefault="00CE06AF" w:rsidP="000B3EC5">
            <w:pPr>
              <w:spacing w:after="0" w:line="240" w:lineRule="auto"/>
              <w:jc w:val="both"/>
              <w:rPr>
                <w:rFonts w:ascii="Times New Roman" w:eastAsia="Times New Roman" w:hAnsi="Times New Roman" w:cs="Times New Roman"/>
                <w:color w:val="000000"/>
                <w:kern w:val="0"/>
                <w:sz w:val="24"/>
                <w:szCs w:val="24"/>
                <w14:ligatures w14:val="none"/>
              </w:rPr>
            </w:pPr>
            <w:r w:rsidRPr="00CE06AF">
              <w:rPr>
                <w:rFonts w:ascii="Times New Roman" w:eastAsia="Times New Roman" w:hAnsi="Times New Roman" w:cs="Times New Roman"/>
                <w:color w:val="000000"/>
                <w:kern w:val="0"/>
                <w:sz w:val="24"/>
                <w:szCs w:val="24"/>
                <w14:ligatures w14:val="none"/>
              </w:rPr>
              <w:t>0.91</w:t>
            </w:r>
          </w:p>
        </w:tc>
        <w:tc>
          <w:tcPr>
            <w:tcW w:w="500" w:type="dxa"/>
            <w:tcBorders>
              <w:top w:val="nil"/>
              <w:left w:val="nil"/>
              <w:bottom w:val="nil"/>
              <w:right w:val="nil"/>
            </w:tcBorders>
            <w:shd w:val="clear" w:color="000000" w:fill="F98770"/>
            <w:noWrap/>
            <w:vAlign w:val="bottom"/>
            <w:hideMark/>
          </w:tcPr>
          <w:p w14:paraId="7A13FE17" w14:textId="77777777" w:rsidR="00CE06AF" w:rsidRPr="00CE06AF" w:rsidRDefault="00CE06AF" w:rsidP="000B3EC5">
            <w:pPr>
              <w:spacing w:after="0" w:line="240" w:lineRule="auto"/>
              <w:jc w:val="both"/>
              <w:rPr>
                <w:rFonts w:ascii="Times New Roman" w:eastAsia="Times New Roman" w:hAnsi="Times New Roman" w:cs="Times New Roman"/>
                <w:color w:val="000000"/>
                <w:kern w:val="0"/>
                <w:sz w:val="24"/>
                <w:szCs w:val="24"/>
                <w14:ligatures w14:val="none"/>
              </w:rPr>
            </w:pPr>
            <w:r w:rsidRPr="00CE06AF">
              <w:rPr>
                <w:rFonts w:ascii="Times New Roman" w:eastAsia="Times New Roman" w:hAnsi="Times New Roman" w:cs="Times New Roman"/>
                <w:color w:val="000000"/>
                <w:kern w:val="0"/>
                <w:sz w:val="24"/>
                <w:szCs w:val="24"/>
                <w14:ligatures w14:val="none"/>
              </w:rPr>
              <w:t>0.52</w:t>
            </w:r>
          </w:p>
        </w:tc>
        <w:tc>
          <w:tcPr>
            <w:tcW w:w="1160" w:type="dxa"/>
            <w:tcBorders>
              <w:top w:val="nil"/>
              <w:left w:val="nil"/>
              <w:bottom w:val="nil"/>
              <w:right w:val="nil"/>
            </w:tcBorders>
            <w:shd w:val="clear" w:color="000000" w:fill="F1E784"/>
            <w:noWrap/>
            <w:vAlign w:val="bottom"/>
            <w:hideMark/>
          </w:tcPr>
          <w:p w14:paraId="6C079FE7" w14:textId="77777777" w:rsidR="00CE06AF" w:rsidRPr="00CE06AF" w:rsidRDefault="00CE06AF" w:rsidP="000B3EC5">
            <w:pPr>
              <w:spacing w:after="0" w:line="240" w:lineRule="auto"/>
              <w:jc w:val="both"/>
              <w:rPr>
                <w:rFonts w:ascii="Times New Roman" w:eastAsia="Times New Roman" w:hAnsi="Times New Roman" w:cs="Times New Roman"/>
                <w:color w:val="000000"/>
                <w:kern w:val="0"/>
                <w:sz w:val="24"/>
                <w:szCs w:val="24"/>
                <w14:ligatures w14:val="none"/>
              </w:rPr>
            </w:pPr>
            <w:r w:rsidRPr="00CE06AF">
              <w:rPr>
                <w:rFonts w:ascii="Times New Roman" w:eastAsia="Times New Roman" w:hAnsi="Times New Roman" w:cs="Times New Roman"/>
                <w:color w:val="000000"/>
                <w:kern w:val="0"/>
                <w:sz w:val="24"/>
                <w:szCs w:val="24"/>
                <w14:ligatures w14:val="none"/>
              </w:rPr>
              <w:t>1.06</w:t>
            </w:r>
          </w:p>
        </w:tc>
      </w:tr>
      <w:tr w:rsidR="00CE06AF" w:rsidRPr="00CE06AF" w14:paraId="719EA4CC" w14:textId="77777777" w:rsidTr="004A2BEF">
        <w:trPr>
          <w:trHeight w:val="288"/>
          <w:jc w:val="center"/>
        </w:trPr>
        <w:tc>
          <w:tcPr>
            <w:tcW w:w="1600" w:type="dxa"/>
            <w:tcBorders>
              <w:top w:val="nil"/>
              <w:left w:val="nil"/>
              <w:bottom w:val="nil"/>
              <w:right w:val="nil"/>
            </w:tcBorders>
            <w:shd w:val="clear" w:color="auto" w:fill="auto"/>
            <w:noWrap/>
            <w:vAlign w:val="bottom"/>
            <w:hideMark/>
          </w:tcPr>
          <w:p w14:paraId="205EB1F1" w14:textId="77777777" w:rsidR="00CE06AF" w:rsidRPr="00CE06AF" w:rsidRDefault="00CE06AF" w:rsidP="000B3EC5">
            <w:pPr>
              <w:spacing w:after="0" w:line="240" w:lineRule="auto"/>
              <w:jc w:val="both"/>
              <w:rPr>
                <w:rFonts w:ascii="Times New Roman" w:eastAsia="Times New Roman" w:hAnsi="Times New Roman" w:cs="Times New Roman"/>
                <w:color w:val="000000"/>
                <w:kern w:val="0"/>
                <w:sz w:val="24"/>
                <w:szCs w:val="24"/>
                <w14:ligatures w14:val="none"/>
              </w:rPr>
            </w:pPr>
            <w:r w:rsidRPr="00CE06AF">
              <w:rPr>
                <w:rFonts w:ascii="Times New Roman" w:eastAsia="Times New Roman" w:hAnsi="Times New Roman" w:cs="Times New Roman"/>
                <w:color w:val="000000"/>
                <w:kern w:val="0"/>
                <w:sz w:val="24"/>
                <w:szCs w:val="24"/>
                <w14:ligatures w14:val="none"/>
              </w:rPr>
              <w:t>Fitzroy</w:t>
            </w:r>
          </w:p>
        </w:tc>
        <w:tc>
          <w:tcPr>
            <w:tcW w:w="1680" w:type="dxa"/>
            <w:tcBorders>
              <w:top w:val="nil"/>
              <w:left w:val="nil"/>
              <w:bottom w:val="nil"/>
              <w:right w:val="nil"/>
            </w:tcBorders>
            <w:shd w:val="clear" w:color="000000" w:fill="ACD380"/>
            <w:noWrap/>
            <w:vAlign w:val="bottom"/>
            <w:hideMark/>
          </w:tcPr>
          <w:p w14:paraId="6BDD2F68" w14:textId="77777777" w:rsidR="00CE06AF" w:rsidRPr="00CE06AF" w:rsidRDefault="00CE06AF" w:rsidP="000B3EC5">
            <w:pPr>
              <w:spacing w:after="0" w:line="240" w:lineRule="auto"/>
              <w:jc w:val="both"/>
              <w:rPr>
                <w:rFonts w:ascii="Times New Roman" w:eastAsia="Times New Roman" w:hAnsi="Times New Roman" w:cs="Times New Roman"/>
                <w:color w:val="000000"/>
                <w:kern w:val="0"/>
                <w:sz w:val="24"/>
                <w:szCs w:val="24"/>
                <w14:ligatures w14:val="none"/>
              </w:rPr>
            </w:pPr>
            <w:r w:rsidRPr="00CE06AF">
              <w:rPr>
                <w:rFonts w:ascii="Times New Roman" w:eastAsia="Times New Roman" w:hAnsi="Times New Roman" w:cs="Times New Roman"/>
                <w:color w:val="000000"/>
                <w:kern w:val="0"/>
                <w:sz w:val="24"/>
                <w:szCs w:val="24"/>
                <w14:ligatures w14:val="none"/>
              </w:rPr>
              <w:t>1.73</w:t>
            </w:r>
          </w:p>
        </w:tc>
        <w:tc>
          <w:tcPr>
            <w:tcW w:w="500" w:type="dxa"/>
            <w:tcBorders>
              <w:top w:val="nil"/>
              <w:left w:val="nil"/>
              <w:bottom w:val="nil"/>
              <w:right w:val="nil"/>
            </w:tcBorders>
            <w:shd w:val="clear" w:color="000000" w:fill="FEEB84"/>
            <w:noWrap/>
            <w:vAlign w:val="bottom"/>
            <w:hideMark/>
          </w:tcPr>
          <w:p w14:paraId="1F70A637" w14:textId="77777777" w:rsidR="00CE06AF" w:rsidRPr="00CE06AF" w:rsidRDefault="00CE06AF" w:rsidP="000B3EC5">
            <w:pPr>
              <w:spacing w:after="0" w:line="240" w:lineRule="auto"/>
              <w:jc w:val="both"/>
              <w:rPr>
                <w:rFonts w:ascii="Times New Roman" w:eastAsia="Times New Roman" w:hAnsi="Times New Roman" w:cs="Times New Roman"/>
                <w:color w:val="000000"/>
                <w:kern w:val="0"/>
                <w:sz w:val="24"/>
                <w:szCs w:val="24"/>
                <w14:ligatures w14:val="none"/>
              </w:rPr>
            </w:pPr>
            <w:r w:rsidRPr="00CE06AF">
              <w:rPr>
                <w:rFonts w:ascii="Times New Roman" w:eastAsia="Times New Roman" w:hAnsi="Times New Roman" w:cs="Times New Roman"/>
                <w:color w:val="000000"/>
                <w:kern w:val="0"/>
                <w:sz w:val="24"/>
                <w:szCs w:val="24"/>
                <w14:ligatures w14:val="none"/>
              </w:rPr>
              <w:t>0.92</w:t>
            </w:r>
          </w:p>
        </w:tc>
        <w:tc>
          <w:tcPr>
            <w:tcW w:w="500" w:type="dxa"/>
            <w:tcBorders>
              <w:top w:val="nil"/>
              <w:left w:val="nil"/>
              <w:bottom w:val="nil"/>
              <w:right w:val="nil"/>
            </w:tcBorders>
            <w:shd w:val="clear" w:color="000000" w:fill="FBA576"/>
            <w:noWrap/>
            <w:vAlign w:val="bottom"/>
            <w:hideMark/>
          </w:tcPr>
          <w:p w14:paraId="3FA54227" w14:textId="77777777" w:rsidR="00CE06AF" w:rsidRPr="00CE06AF" w:rsidRDefault="00CE06AF" w:rsidP="000B3EC5">
            <w:pPr>
              <w:spacing w:after="0" w:line="240" w:lineRule="auto"/>
              <w:jc w:val="both"/>
              <w:rPr>
                <w:rFonts w:ascii="Times New Roman" w:eastAsia="Times New Roman" w:hAnsi="Times New Roman" w:cs="Times New Roman"/>
                <w:color w:val="000000"/>
                <w:kern w:val="0"/>
                <w:sz w:val="24"/>
                <w:szCs w:val="24"/>
                <w14:ligatures w14:val="none"/>
              </w:rPr>
            </w:pPr>
            <w:r w:rsidRPr="00CE06AF">
              <w:rPr>
                <w:rFonts w:ascii="Times New Roman" w:eastAsia="Times New Roman" w:hAnsi="Times New Roman" w:cs="Times New Roman"/>
                <w:color w:val="000000"/>
                <w:kern w:val="0"/>
                <w:sz w:val="24"/>
                <w:szCs w:val="24"/>
                <w14:ligatures w14:val="none"/>
              </w:rPr>
              <w:t>0.64</w:t>
            </w:r>
          </w:p>
        </w:tc>
        <w:tc>
          <w:tcPr>
            <w:tcW w:w="1160" w:type="dxa"/>
            <w:tcBorders>
              <w:top w:val="nil"/>
              <w:left w:val="nil"/>
              <w:bottom w:val="nil"/>
              <w:right w:val="nil"/>
            </w:tcBorders>
            <w:shd w:val="clear" w:color="000000" w:fill="DEE283"/>
            <w:noWrap/>
            <w:vAlign w:val="bottom"/>
            <w:hideMark/>
          </w:tcPr>
          <w:p w14:paraId="41E7B885" w14:textId="77777777" w:rsidR="00CE06AF" w:rsidRPr="00CE06AF" w:rsidRDefault="00CE06AF" w:rsidP="000B3EC5">
            <w:pPr>
              <w:spacing w:after="0" w:line="240" w:lineRule="auto"/>
              <w:jc w:val="both"/>
              <w:rPr>
                <w:rFonts w:ascii="Times New Roman" w:eastAsia="Times New Roman" w:hAnsi="Times New Roman" w:cs="Times New Roman"/>
                <w:color w:val="000000"/>
                <w:kern w:val="0"/>
                <w:sz w:val="24"/>
                <w:szCs w:val="24"/>
                <w14:ligatures w14:val="none"/>
              </w:rPr>
            </w:pPr>
            <w:r w:rsidRPr="00CE06AF">
              <w:rPr>
                <w:rFonts w:ascii="Times New Roman" w:eastAsia="Times New Roman" w:hAnsi="Times New Roman" w:cs="Times New Roman"/>
                <w:color w:val="000000"/>
                <w:kern w:val="0"/>
                <w:sz w:val="24"/>
                <w:szCs w:val="24"/>
                <w14:ligatures w14:val="none"/>
              </w:rPr>
              <w:t>1.24</w:t>
            </w:r>
          </w:p>
        </w:tc>
      </w:tr>
      <w:tr w:rsidR="00CE06AF" w:rsidRPr="00CE06AF" w14:paraId="0D8C05EF" w14:textId="77777777" w:rsidTr="004A2BEF">
        <w:trPr>
          <w:trHeight w:val="288"/>
          <w:jc w:val="center"/>
        </w:trPr>
        <w:tc>
          <w:tcPr>
            <w:tcW w:w="1600" w:type="dxa"/>
            <w:tcBorders>
              <w:top w:val="nil"/>
              <w:left w:val="nil"/>
              <w:bottom w:val="nil"/>
              <w:right w:val="nil"/>
            </w:tcBorders>
            <w:shd w:val="clear" w:color="auto" w:fill="auto"/>
            <w:noWrap/>
            <w:vAlign w:val="bottom"/>
            <w:hideMark/>
          </w:tcPr>
          <w:p w14:paraId="6E25282F" w14:textId="77777777" w:rsidR="00CE06AF" w:rsidRPr="00CE06AF" w:rsidRDefault="00CE06AF" w:rsidP="000B3EC5">
            <w:pPr>
              <w:spacing w:after="0" w:line="240" w:lineRule="auto"/>
              <w:jc w:val="both"/>
              <w:rPr>
                <w:rFonts w:ascii="Times New Roman" w:eastAsia="Times New Roman" w:hAnsi="Times New Roman" w:cs="Times New Roman"/>
                <w:color w:val="000000"/>
                <w:kern w:val="0"/>
                <w:sz w:val="24"/>
                <w:szCs w:val="24"/>
                <w14:ligatures w14:val="none"/>
              </w:rPr>
            </w:pPr>
            <w:r w:rsidRPr="00CE06AF">
              <w:rPr>
                <w:rFonts w:ascii="Times New Roman" w:eastAsia="Times New Roman" w:hAnsi="Times New Roman" w:cs="Times New Roman"/>
                <w:color w:val="000000"/>
                <w:kern w:val="0"/>
                <w:sz w:val="24"/>
                <w:szCs w:val="24"/>
                <w14:ligatures w14:val="none"/>
              </w:rPr>
              <w:t>Kew</w:t>
            </w:r>
          </w:p>
        </w:tc>
        <w:tc>
          <w:tcPr>
            <w:tcW w:w="1680" w:type="dxa"/>
            <w:tcBorders>
              <w:top w:val="nil"/>
              <w:left w:val="nil"/>
              <w:bottom w:val="nil"/>
              <w:right w:val="nil"/>
            </w:tcBorders>
            <w:shd w:val="clear" w:color="000000" w:fill="63BE7B"/>
            <w:noWrap/>
            <w:vAlign w:val="bottom"/>
            <w:hideMark/>
          </w:tcPr>
          <w:p w14:paraId="22837981" w14:textId="77777777" w:rsidR="00CE06AF" w:rsidRPr="00CE06AF" w:rsidRDefault="00CE06AF" w:rsidP="000B3EC5">
            <w:pPr>
              <w:spacing w:after="0" w:line="240" w:lineRule="auto"/>
              <w:jc w:val="both"/>
              <w:rPr>
                <w:rFonts w:ascii="Times New Roman" w:eastAsia="Times New Roman" w:hAnsi="Times New Roman" w:cs="Times New Roman"/>
                <w:color w:val="000000"/>
                <w:kern w:val="0"/>
                <w:sz w:val="24"/>
                <w:szCs w:val="24"/>
                <w14:ligatures w14:val="none"/>
              </w:rPr>
            </w:pPr>
            <w:r w:rsidRPr="00CE06AF">
              <w:rPr>
                <w:rFonts w:ascii="Times New Roman" w:eastAsia="Times New Roman" w:hAnsi="Times New Roman" w:cs="Times New Roman"/>
                <w:color w:val="000000"/>
                <w:kern w:val="0"/>
                <w:sz w:val="24"/>
                <w:szCs w:val="24"/>
                <w14:ligatures w14:val="none"/>
              </w:rPr>
              <w:t>2.43</w:t>
            </w:r>
          </w:p>
        </w:tc>
        <w:tc>
          <w:tcPr>
            <w:tcW w:w="500" w:type="dxa"/>
            <w:tcBorders>
              <w:top w:val="nil"/>
              <w:left w:val="nil"/>
              <w:bottom w:val="nil"/>
              <w:right w:val="nil"/>
            </w:tcBorders>
            <w:shd w:val="clear" w:color="000000" w:fill="FFEB84"/>
            <w:noWrap/>
            <w:vAlign w:val="bottom"/>
            <w:hideMark/>
          </w:tcPr>
          <w:p w14:paraId="28D90908" w14:textId="77777777" w:rsidR="00CE06AF" w:rsidRPr="00CE06AF" w:rsidRDefault="00CE06AF" w:rsidP="000B3EC5">
            <w:pPr>
              <w:spacing w:after="0" w:line="240" w:lineRule="auto"/>
              <w:jc w:val="both"/>
              <w:rPr>
                <w:rFonts w:ascii="Times New Roman" w:eastAsia="Times New Roman" w:hAnsi="Times New Roman" w:cs="Times New Roman"/>
                <w:color w:val="000000"/>
                <w:kern w:val="0"/>
                <w:sz w:val="24"/>
                <w:szCs w:val="24"/>
                <w14:ligatures w14:val="none"/>
              </w:rPr>
            </w:pPr>
            <w:r w:rsidRPr="00CE06AF">
              <w:rPr>
                <w:rFonts w:ascii="Times New Roman" w:eastAsia="Times New Roman" w:hAnsi="Times New Roman" w:cs="Times New Roman"/>
                <w:color w:val="000000"/>
                <w:kern w:val="0"/>
                <w:sz w:val="24"/>
                <w:szCs w:val="24"/>
                <w14:ligatures w14:val="none"/>
              </w:rPr>
              <w:t>0.92</w:t>
            </w:r>
          </w:p>
        </w:tc>
        <w:tc>
          <w:tcPr>
            <w:tcW w:w="500" w:type="dxa"/>
            <w:tcBorders>
              <w:top w:val="nil"/>
              <w:left w:val="nil"/>
              <w:bottom w:val="nil"/>
              <w:right w:val="nil"/>
            </w:tcBorders>
            <w:shd w:val="clear" w:color="000000" w:fill="FBB179"/>
            <w:noWrap/>
            <w:vAlign w:val="bottom"/>
            <w:hideMark/>
          </w:tcPr>
          <w:p w14:paraId="293C301B" w14:textId="77777777" w:rsidR="00CE06AF" w:rsidRPr="00CE06AF" w:rsidRDefault="00CE06AF" w:rsidP="000B3EC5">
            <w:pPr>
              <w:spacing w:after="0" w:line="240" w:lineRule="auto"/>
              <w:jc w:val="both"/>
              <w:rPr>
                <w:rFonts w:ascii="Times New Roman" w:eastAsia="Times New Roman" w:hAnsi="Times New Roman" w:cs="Times New Roman"/>
                <w:color w:val="000000"/>
                <w:kern w:val="0"/>
                <w:sz w:val="24"/>
                <w:szCs w:val="24"/>
                <w14:ligatures w14:val="none"/>
              </w:rPr>
            </w:pPr>
            <w:r w:rsidRPr="00CE06AF">
              <w:rPr>
                <w:rFonts w:ascii="Times New Roman" w:eastAsia="Times New Roman" w:hAnsi="Times New Roman" w:cs="Times New Roman"/>
                <w:color w:val="000000"/>
                <w:kern w:val="0"/>
                <w:sz w:val="24"/>
                <w:szCs w:val="24"/>
                <w14:ligatures w14:val="none"/>
              </w:rPr>
              <w:t>0.69</w:t>
            </w:r>
          </w:p>
        </w:tc>
        <w:tc>
          <w:tcPr>
            <w:tcW w:w="1160" w:type="dxa"/>
            <w:tcBorders>
              <w:top w:val="nil"/>
              <w:left w:val="nil"/>
              <w:bottom w:val="nil"/>
              <w:right w:val="nil"/>
            </w:tcBorders>
            <w:shd w:val="clear" w:color="000000" w:fill="94CC7E"/>
            <w:noWrap/>
            <w:vAlign w:val="bottom"/>
            <w:hideMark/>
          </w:tcPr>
          <w:p w14:paraId="050E3821" w14:textId="77777777" w:rsidR="00CE06AF" w:rsidRPr="00CE06AF" w:rsidRDefault="00CE06AF" w:rsidP="000B3EC5">
            <w:pPr>
              <w:spacing w:after="0" w:line="240" w:lineRule="auto"/>
              <w:jc w:val="both"/>
              <w:rPr>
                <w:rFonts w:ascii="Times New Roman" w:eastAsia="Times New Roman" w:hAnsi="Times New Roman" w:cs="Times New Roman"/>
                <w:color w:val="000000"/>
                <w:kern w:val="0"/>
                <w:sz w:val="24"/>
                <w:szCs w:val="24"/>
                <w14:ligatures w14:val="none"/>
              </w:rPr>
            </w:pPr>
            <w:r w:rsidRPr="00CE06AF">
              <w:rPr>
                <w:rFonts w:ascii="Times New Roman" w:eastAsia="Times New Roman" w:hAnsi="Times New Roman" w:cs="Times New Roman"/>
                <w:color w:val="000000"/>
                <w:kern w:val="0"/>
                <w:sz w:val="24"/>
                <w:szCs w:val="24"/>
                <w14:ligatures w14:val="none"/>
              </w:rPr>
              <w:t>1.96</w:t>
            </w:r>
          </w:p>
        </w:tc>
      </w:tr>
      <w:tr w:rsidR="00CE06AF" w:rsidRPr="00CE06AF" w14:paraId="01B1B438" w14:textId="77777777" w:rsidTr="004A2BEF">
        <w:trPr>
          <w:trHeight w:val="288"/>
          <w:jc w:val="center"/>
        </w:trPr>
        <w:tc>
          <w:tcPr>
            <w:tcW w:w="1600" w:type="dxa"/>
            <w:tcBorders>
              <w:top w:val="nil"/>
              <w:left w:val="nil"/>
              <w:bottom w:val="nil"/>
              <w:right w:val="nil"/>
            </w:tcBorders>
            <w:shd w:val="clear" w:color="auto" w:fill="auto"/>
            <w:noWrap/>
            <w:vAlign w:val="bottom"/>
            <w:hideMark/>
          </w:tcPr>
          <w:p w14:paraId="4FCC614A" w14:textId="77777777" w:rsidR="00CE06AF" w:rsidRPr="00CE06AF" w:rsidRDefault="00CE06AF" w:rsidP="004A2BEF">
            <w:pPr>
              <w:spacing w:after="0" w:line="240" w:lineRule="auto"/>
              <w:rPr>
                <w:rFonts w:ascii="Times New Roman" w:eastAsia="Times New Roman" w:hAnsi="Times New Roman" w:cs="Times New Roman"/>
                <w:color w:val="000000"/>
                <w:kern w:val="0"/>
                <w:sz w:val="24"/>
                <w:szCs w:val="24"/>
                <w14:ligatures w14:val="none"/>
              </w:rPr>
            </w:pPr>
            <w:r w:rsidRPr="00CE06AF">
              <w:rPr>
                <w:rFonts w:ascii="Times New Roman" w:eastAsia="Times New Roman" w:hAnsi="Times New Roman" w:cs="Times New Roman"/>
                <w:color w:val="000000"/>
                <w:kern w:val="0"/>
                <w:sz w:val="24"/>
                <w:szCs w:val="24"/>
                <w14:ligatures w14:val="none"/>
              </w:rPr>
              <w:t>Melton</w:t>
            </w:r>
          </w:p>
        </w:tc>
        <w:tc>
          <w:tcPr>
            <w:tcW w:w="1680" w:type="dxa"/>
            <w:tcBorders>
              <w:top w:val="nil"/>
              <w:left w:val="nil"/>
              <w:bottom w:val="nil"/>
              <w:right w:val="nil"/>
            </w:tcBorders>
            <w:shd w:val="clear" w:color="000000" w:fill="F8716C"/>
            <w:noWrap/>
            <w:vAlign w:val="bottom"/>
            <w:hideMark/>
          </w:tcPr>
          <w:p w14:paraId="6EBD27F3" w14:textId="77777777" w:rsidR="00CE06AF" w:rsidRPr="00CE06AF" w:rsidRDefault="00CE06AF" w:rsidP="004A2BEF">
            <w:pPr>
              <w:spacing w:after="0" w:line="240" w:lineRule="auto"/>
              <w:rPr>
                <w:rFonts w:ascii="Times New Roman" w:eastAsia="Times New Roman" w:hAnsi="Times New Roman" w:cs="Times New Roman"/>
                <w:color w:val="000000"/>
                <w:kern w:val="0"/>
                <w:sz w:val="24"/>
                <w:szCs w:val="24"/>
                <w14:ligatures w14:val="none"/>
              </w:rPr>
            </w:pPr>
            <w:r w:rsidRPr="00CE06AF">
              <w:rPr>
                <w:rFonts w:ascii="Times New Roman" w:eastAsia="Times New Roman" w:hAnsi="Times New Roman" w:cs="Times New Roman"/>
                <w:color w:val="000000"/>
                <w:kern w:val="0"/>
                <w:sz w:val="24"/>
                <w:szCs w:val="24"/>
                <w14:ligatures w14:val="none"/>
              </w:rPr>
              <w:t>0.44</w:t>
            </w:r>
          </w:p>
        </w:tc>
        <w:tc>
          <w:tcPr>
            <w:tcW w:w="500" w:type="dxa"/>
            <w:tcBorders>
              <w:top w:val="nil"/>
              <w:left w:val="nil"/>
              <w:bottom w:val="nil"/>
              <w:right w:val="nil"/>
            </w:tcBorders>
            <w:shd w:val="clear" w:color="auto" w:fill="auto"/>
            <w:noWrap/>
            <w:vAlign w:val="bottom"/>
            <w:hideMark/>
          </w:tcPr>
          <w:p w14:paraId="69B28DD6" w14:textId="77777777" w:rsidR="00CE06AF" w:rsidRPr="00CE06AF" w:rsidRDefault="00CE06AF" w:rsidP="004A2BEF">
            <w:pPr>
              <w:spacing w:after="0" w:line="240" w:lineRule="auto"/>
              <w:rPr>
                <w:rFonts w:ascii="Times New Roman" w:eastAsia="Times New Roman" w:hAnsi="Times New Roman" w:cs="Times New Roman"/>
                <w:color w:val="000000"/>
                <w:kern w:val="0"/>
                <w:sz w:val="24"/>
                <w:szCs w:val="24"/>
                <w14:ligatures w14:val="none"/>
              </w:rPr>
            </w:pPr>
          </w:p>
        </w:tc>
        <w:tc>
          <w:tcPr>
            <w:tcW w:w="500" w:type="dxa"/>
            <w:tcBorders>
              <w:top w:val="nil"/>
              <w:left w:val="nil"/>
              <w:bottom w:val="nil"/>
              <w:right w:val="nil"/>
            </w:tcBorders>
            <w:shd w:val="clear" w:color="auto" w:fill="auto"/>
            <w:noWrap/>
            <w:vAlign w:val="bottom"/>
            <w:hideMark/>
          </w:tcPr>
          <w:p w14:paraId="01F82EA0" w14:textId="77777777" w:rsidR="00CE06AF" w:rsidRPr="00CE06AF" w:rsidRDefault="00CE06AF" w:rsidP="004A2BEF">
            <w:pPr>
              <w:spacing w:after="0" w:line="240" w:lineRule="auto"/>
              <w:rPr>
                <w:rFonts w:ascii="Times New Roman" w:eastAsia="Times New Roman" w:hAnsi="Times New Roman" w:cs="Times New Roman"/>
                <w:kern w:val="0"/>
                <w:sz w:val="24"/>
                <w:szCs w:val="24"/>
                <w14:ligatures w14:val="none"/>
              </w:rPr>
            </w:pPr>
          </w:p>
        </w:tc>
        <w:tc>
          <w:tcPr>
            <w:tcW w:w="1160" w:type="dxa"/>
            <w:tcBorders>
              <w:top w:val="nil"/>
              <w:left w:val="nil"/>
              <w:bottom w:val="nil"/>
              <w:right w:val="nil"/>
            </w:tcBorders>
            <w:shd w:val="clear" w:color="000000" w:fill="F8716C"/>
            <w:noWrap/>
            <w:vAlign w:val="bottom"/>
            <w:hideMark/>
          </w:tcPr>
          <w:p w14:paraId="29216879" w14:textId="77777777" w:rsidR="00CE06AF" w:rsidRPr="00CE06AF" w:rsidRDefault="00CE06AF" w:rsidP="004A2BEF">
            <w:pPr>
              <w:spacing w:after="0" w:line="240" w:lineRule="auto"/>
              <w:rPr>
                <w:rFonts w:ascii="Times New Roman" w:eastAsia="Times New Roman" w:hAnsi="Times New Roman" w:cs="Times New Roman"/>
                <w:color w:val="000000"/>
                <w:kern w:val="0"/>
                <w:sz w:val="24"/>
                <w:szCs w:val="24"/>
                <w14:ligatures w14:val="none"/>
              </w:rPr>
            </w:pPr>
            <w:r w:rsidRPr="00CE06AF">
              <w:rPr>
                <w:rFonts w:ascii="Times New Roman" w:eastAsia="Times New Roman" w:hAnsi="Times New Roman" w:cs="Times New Roman"/>
                <w:color w:val="000000"/>
                <w:kern w:val="0"/>
                <w:sz w:val="24"/>
                <w:szCs w:val="24"/>
                <w14:ligatures w14:val="none"/>
              </w:rPr>
              <w:t>0.44</w:t>
            </w:r>
          </w:p>
        </w:tc>
      </w:tr>
      <w:tr w:rsidR="00CE06AF" w:rsidRPr="00CE06AF" w14:paraId="548B3191" w14:textId="77777777" w:rsidTr="004A2BEF">
        <w:trPr>
          <w:trHeight w:val="288"/>
          <w:jc w:val="center"/>
        </w:trPr>
        <w:tc>
          <w:tcPr>
            <w:tcW w:w="1600" w:type="dxa"/>
            <w:tcBorders>
              <w:top w:val="nil"/>
              <w:left w:val="nil"/>
              <w:bottom w:val="nil"/>
              <w:right w:val="nil"/>
            </w:tcBorders>
            <w:shd w:val="clear" w:color="auto" w:fill="auto"/>
            <w:noWrap/>
            <w:vAlign w:val="bottom"/>
            <w:hideMark/>
          </w:tcPr>
          <w:p w14:paraId="195B6CB0" w14:textId="77777777" w:rsidR="00CE06AF" w:rsidRPr="00CE06AF" w:rsidRDefault="00CE06AF" w:rsidP="004A2BEF">
            <w:pPr>
              <w:spacing w:after="0" w:line="240" w:lineRule="auto"/>
              <w:rPr>
                <w:rFonts w:ascii="Times New Roman" w:eastAsia="Times New Roman" w:hAnsi="Times New Roman" w:cs="Times New Roman"/>
                <w:color w:val="000000"/>
                <w:kern w:val="0"/>
                <w:sz w:val="24"/>
                <w:szCs w:val="24"/>
                <w14:ligatures w14:val="none"/>
              </w:rPr>
            </w:pPr>
            <w:r w:rsidRPr="00CE06AF">
              <w:rPr>
                <w:rFonts w:ascii="Times New Roman" w:eastAsia="Times New Roman" w:hAnsi="Times New Roman" w:cs="Times New Roman"/>
                <w:color w:val="000000"/>
                <w:kern w:val="0"/>
                <w:sz w:val="24"/>
                <w:szCs w:val="24"/>
                <w14:ligatures w14:val="none"/>
              </w:rPr>
              <w:t>Reservoir</w:t>
            </w:r>
          </w:p>
        </w:tc>
        <w:tc>
          <w:tcPr>
            <w:tcW w:w="1680" w:type="dxa"/>
            <w:tcBorders>
              <w:top w:val="nil"/>
              <w:left w:val="nil"/>
              <w:bottom w:val="nil"/>
              <w:right w:val="nil"/>
            </w:tcBorders>
            <w:shd w:val="clear" w:color="000000" w:fill="FDC77D"/>
            <w:noWrap/>
            <w:vAlign w:val="bottom"/>
            <w:hideMark/>
          </w:tcPr>
          <w:p w14:paraId="63655316" w14:textId="77777777" w:rsidR="00CE06AF" w:rsidRPr="00CE06AF" w:rsidRDefault="00CE06AF" w:rsidP="004A2BEF">
            <w:pPr>
              <w:spacing w:after="0" w:line="240" w:lineRule="auto"/>
              <w:rPr>
                <w:rFonts w:ascii="Times New Roman" w:eastAsia="Times New Roman" w:hAnsi="Times New Roman" w:cs="Times New Roman"/>
                <w:color w:val="000000"/>
                <w:kern w:val="0"/>
                <w:sz w:val="24"/>
                <w:szCs w:val="24"/>
                <w14:ligatures w14:val="none"/>
              </w:rPr>
            </w:pPr>
            <w:r w:rsidRPr="00CE06AF">
              <w:rPr>
                <w:rFonts w:ascii="Times New Roman" w:eastAsia="Times New Roman" w:hAnsi="Times New Roman" w:cs="Times New Roman"/>
                <w:color w:val="000000"/>
                <w:kern w:val="0"/>
                <w:sz w:val="24"/>
                <w:szCs w:val="24"/>
                <w14:ligatures w14:val="none"/>
              </w:rPr>
              <w:t>0.78</w:t>
            </w:r>
          </w:p>
        </w:tc>
        <w:tc>
          <w:tcPr>
            <w:tcW w:w="500" w:type="dxa"/>
            <w:tcBorders>
              <w:top w:val="nil"/>
              <w:left w:val="nil"/>
              <w:bottom w:val="nil"/>
              <w:right w:val="nil"/>
            </w:tcBorders>
            <w:shd w:val="clear" w:color="000000" w:fill="FA9172"/>
            <w:noWrap/>
            <w:vAlign w:val="bottom"/>
            <w:hideMark/>
          </w:tcPr>
          <w:p w14:paraId="413157D9" w14:textId="77777777" w:rsidR="00CE06AF" w:rsidRPr="00CE06AF" w:rsidRDefault="00CE06AF" w:rsidP="004A2BEF">
            <w:pPr>
              <w:spacing w:after="0" w:line="240" w:lineRule="auto"/>
              <w:rPr>
                <w:rFonts w:ascii="Times New Roman" w:eastAsia="Times New Roman" w:hAnsi="Times New Roman" w:cs="Times New Roman"/>
                <w:color w:val="000000"/>
                <w:kern w:val="0"/>
                <w:sz w:val="24"/>
                <w:szCs w:val="24"/>
                <w14:ligatures w14:val="none"/>
              </w:rPr>
            </w:pPr>
            <w:r w:rsidRPr="00CE06AF">
              <w:rPr>
                <w:rFonts w:ascii="Times New Roman" w:eastAsia="Times New Roman" w:hAnsi="Times New Roman" w:cs="Times New Roman"/>
                <w:color w:val="000000"/>
                <w:kern w:val="0"/>
                <w:sz w:val="24"/>
                <w:szCs w:val="24"/>
                <w14:ligatures w14:val="none"/>
              </w:rPr>
              <w:t>0.56</w:t>
            </w:r>
          </w:p>
        </w:tc>
        <w:tc>
          <w:tcPr>
            <w:tcW w:w="500" w:type="dxa"/>
            <w:tcBorders>
              <w:top w:val="nil"/>
              <w:left w:val="nil"/>
              <w:bottom w:val="nil"/>
              <w:right w:val="nil"/>
            </w:tcBorders>
            <w:shd w:val="clear" w:color="000000" w:fill="F8696B"/>
            <w:noWrap/>
            <w:vAlign w:val="bottom"/>
            <w:hideMark/>
          </w:tcPr>
          <w:p w14:paraId="1D03E60B" w14:textId="77777777" w:rsidR="00CE06AF" w:rsidRPr="00CE06AF" w:rsidRDefault="00CE06AF" w:rsidP="004A2BEF">
            <w:pPr>
              <w:spacing w:after="0" w:line="240" w:lineRule="auto"/>
              <w:rPr>
                <w:rFonts w:ascii="Times New Roman" w:eastAsia="Times New Roman" w:hAnsi="Times New Roman" w:cs="Times New Roman"/>
                <w:color w:val="000000"/>
                <w:kern w:val="0"/>
                <w:sz w:val="24"/>
                <w:szCs w:val="24"/>
                <w14:ligatures w14:val="none"/>
              </w:rPr>
            </w:pPr>
            <w:r w:rsidRPr="00CE06AF">
              <w:rPr>
                <w:rFonts w:ascii="Times New Roman" w:eastAsia="Times New Roman" w:hAnsi="Times New Roman" w:cs="Times New Roman"/>
                <w:color w:val="000000"/>
                <w:kern w:val="0"/>
                <w:sz w:val="24"/>
                <w:szCs w:val="24"/>
                <w14:ligatures w14:val="none"/>
              </w:rPr>
              <w:t>0.40</w:t>
            </w:r>
          </w:p>
        </w:tc>
        <w:tc>
          <w:tcPr>
            <w:tcW w:w="1160" w:type="dxa"/>
            <w:tcBorders>
              <w:top w:val="nil"/>
              <w:left w:val="nil"/>
              <w:bottom w:val="nil"/>
              <w:right w:val="nil"/>
            </w:tcBorders>
            <w:shd w:val="clear" w:color="000000" w:fill="FBAB77"/>
            <w:noWrap/>
            <w:vAlign w:val="bottom"/>
            <w:hideMark/>
          </w:tcPr>
          <w:p w14:paraId="399CEF0A" w14:textId="77777777" w:rsidR="00CE06AF" w:rsidRPr="00CE06AF" w:rsidRDefault="00CE06AF" w:rsidP="004A2BEF">
            <w:pPr>
              <w:spacing w:after="0" w:line="240" w:lineRule="auto"/>
              <w:rPr>
                <w:rFonts w:ascii="Times New Roman" w:eastAsia="Times New Roman" w:hAnsi="Times New Roman" w:cs="Times New Roman"/>
                <w:color w:val="000000"/>
                <w:kern w:val="0"/>
                <w:sz w:val="24"/>
                <w:szCs w:val="24"/>
                <w14:ligatures w14:val="none"/>
              </w:rPr>
            </w:pPr>
            <w:r w:rsidRPr="00CE06AF">
              <w:rPr>
                <w:rFonts w:ascii="Times New Roman" w:eastAsia="Times New Roman" w:hAnsi="Times New Roman" w:cs="Times New Roman"/>
                <w:color w:val="000000"/>
                <w:kern w:val="0"/>
                <w:sz w:val="24"/>
                <w:szCs w:val="24"/>
                <w14:ligatures w14:val="none"/>
              </w:rPr>
              <w:t>0.66</w:t>
            </w:r>
          </w:p>
        </w:tc>
      </w:tr>
      <w:tr w:rsidR="00CE06AF" w:rsidRPr="00CE06AF" w14:paraId="3D390AC5" w14:textId="77777777" w:rsidTr="004A2BEF">
        <w:trPr>
          <w:trHeight w:val="288"/>
          <w:jc w:val="center"/>
        </w:trPr>
        <w:tc>
          <w:tcPr>
            <w:tcW w:w="1600" w:type="dxa"/>
            <w:tcBorders>
              <w:top w:val="single" w:sz="4" w:space="0" w:color="8EA9DB"/>
              <w:left w:val="nil"/>
              <w:bottom w:val="nil"/>
              <w:right w:val="nil"/>
            </w:tcBorders>
            <w:shd w:val="clear" w:color="D9E1F2" w:fill="D9E1F2"/>
            <w:noWrap/>
            <w:vAlign w:val="bottom"/>
            <w:hideMark/>
          </w:tcPr>
          <w:p w14:paraId="7AF966D5" w14:textId="77777777" w:rsidR="00CE06AF" w:rsidRPr="00CE06AF" w:rsidRDefault="00CE06AF" w:rsidP="004A2BEF">
            <w:pPr>
              <w:spacing w:after="0" w:line="240" w:lineRule="auto"/>
              <w:jc w:val="center"/>
              <w:rPr>
                <w:rFonts w:ascii="Times New Roman" w:eastAsia="Times New Roman" w:hAnsi="Times New Roman" w:cs="Times New Roman"/>
                <w:b/>
                <w:bCs/>
                <w:color w:val="000000"/>
                <w:kern w:val="0"/>
                <w:sz w:val="24"/>
                <w:szCs w:val="24"/>
                <w14:ligatures w14:val="none"/>
              </w:rPr>
            </w:pPr>
            <w:r w:rsidRPr="00CE06AF">
              <w:rPr>
                <w:rFonts w:ascii="Times New Roman" w:eastAsia="Times New Roman" w:hAnsi="Times New Roman" w:cs="Times New Roman"/>
                <w:b/>
                <w:bCs/>
                <w:color w:val="000000"/>
                <w:kern w:val="0"/>
                <w:sz w:val="24"/>
                <w:szCs w:val="24"/>
                <w14:ligatures w14:val="none"/>
              </w:rPr>
              <w:t>Grand Total</w:t>
            </w:r>
          </w:p>
        </w:tc>
        <w:tc>
          <w:tcPr>
            <w:tcW w:w="1680" w:type="dxa"/>
            <w:tcBorders>
              <w:top w:val="single" w:sz="4" w:space="0" w:color="8EA9DB"/>
              <w:left w:val="nil"/>
              <w:bottom w:val="nil"/>
              <w:right w:val="nil"/>
            </w:tcBorders>
            <w:shd w:val="clear" w:color="D9E1F2" w:fill="D9E1F2"/>
            <w:noWrap/>
            <w:vAlign w:val="bottom"/>
            <w:hideMark/>
          </w:tcPr>
          <w:p w14:paraId="4CEAED71" w14:textId="77777777" w:rsidR="00CE06AF" w:rsidRPr="00CE06AF" w:rsidRDefault="00CE06AF" w:rsidP="004A2BEF">
            <w:pPr>
              <w:spacing w:after="0" w:line="240" w:lineRule="auto"/>
              <w:jc w:val="center"/>
              <w:rPr>
                <w:rFonts w:ascii="Times New Roman" w:eastAsia="Times New Roman" w:hAnsi="Times New Roman" w:cs="Times New Roman"/>
                <w:b/>
                <w:bCs/>
                <w:color w:val="000000"/>
                <w:kern w:val="0"/>
                <w:sz w:val="24"/>
                <w:szCs w:val="24"/>
                <w14:ligatures w14:val="none"/>
              </w:rPr>
            </w:pPr>
            <w:r w:rsidRPr="00CE06AF">
              <w:rPr>
                <w:rFonts w:ascii="Times New Roman" w:eastAsia="Times New Roman" w:hAnsi="Times New Roman" w:cs="Times New Roman"/>
                <w:b/>
                <w:bCs/>
                <w:color w:val="000000"/>
                <w:kern w:val="0"/>
                <w:sz w:val="24"/>
                <w:szCs w:val="24"/>
                <w14:ligatures w14:val="none"/>
              </w:rPr>
              <w:t>1.41</w:t>
            </w:r>
          </w:p>
        </w:tc>
        <w:tc>
          <w:tcPr>
            <w:tcW w:w="500" w:type="dxa"/>
            <w:tcBorders>
              <w:top w:val="single" w:sz="4" w:space="0" w:color="8EA9DB"/>
              <w:left w:val="nil"/>
              <w:bottom w:val="nil"/>
              <w:right w:val="nil"/>
            </w:tcBorders>
            <w:shd w:val="clear" w:color="D9E1F2" w:fill="D9E1F2"/>
            <w:noWrap/>
            <w:vAlign w:val="bottom"/>
            <w:hideMark/>
          </w:tcPr>
          <w:p w14:paraId="6BA3EFD3" w14:textId="77777777" w:rsidR="00CE06AF" w:rsidRPr="00CE06AF" w:rsidRDefault="00CE06AF" w:rsidP="004A2BEF">
            <w:pPr>
              <w:spacing w:after="0" w:line="240" w:lineRule="auto"/>
              <w:jc w:val="center"/>
              <w:rPr>
                <w:rFonts w:ascii="Times New Roman" w:eastAsia="Times New Roman" w:hAnsi="Times New Roman" w:cs="Times New Roman"/>
                <w:b/>
                <w:bCs/>
                <w:color w:val="000000"/>
                <w:kern w:val="0"/>
                <w:sz w:val="24"/>
                <w:szCs w:val="24"/>
                <w14:ligatures w14:val="none"/>
              </w:rPr>
            </w:pPr>
            <w:r w:rsidRPr="00CE06AF">
              <w:rPr>
                <w:rFonts w:ascii="Times New Roman" w:eastAsia="Times New Roman" w:hAnsi="Times New Roman" w:cs="Times New Roman"/>
                <w:b/>
                <w:bCs/>
                <w:color w:val="000000"/>
                <w:kern w:val="0"/>
                <w:sz w:val="24"/>
                <w:szCs w:val="24"/>
                <w14:ligatures w14:val="none"/>
              </w:rPr>
              <w:t>0.76</w:t>
            </w:r>
          </w:p>
        </w:tc>
        <w:tc>
          <w:tcPr>
            <w:tcW w:w="500" w:type="dxa"/>
            <w:tcBorders>
              <w:top w:val="single" w:sz="4" w:space="0" w:color="8EA9DB"/>
              <w:left w:val="nil"/>
              <w:bottom w:val="nil"/>
              <w:right w:val="nil"/>
            </w:tcBorders>
            <w:shd w:val="clear" w:color="D9E1F2" w:fill="D9E1F2"/>
            <w:noWrap/>
            <w:vAlign w:val="bottom"/>
            <w:hideMark/>
          </w:tcPr>
          <w:p w14:paraId="0B346173" w14:textId="77777777" w:rsidR="00CE06AF" w:rsidRPr="00CE06AF" w:rsidRDefault="00CE06AF" w:rsidP="004A2BEF">
            <w:pPr>
              <w:spacing w:after="0" w:line="240" w:lineRule="auto"/>
              <w:jc w:val="center"/>
              <w:rPr>
                <w:rFonts w:ascii="Times New Roman" w:eastAsia="Times New Roman" w:hAnsi="Times New Roman" w:cs="Times New Roman"/>
                <w:b/>
                <w:bCs/>
                <w:color w:val="000000"/>
                <w:kern w:val="0"/>
                <w:sz w:val="24"/>
                <w:szCs w:val="24"/>
                <w14:ligatures w14:val="none"/>
              </w:rPr>
            </w:pPr>
            <w:r w:rsidRPr="00CE06AF">
              <w:rPr>
                <w:rFonts w:ascii="Times New Roman" w:eastAsia="Times New Roman" w:hAnsi="Times New Roman" w:cs="Times New Roman"/>
                <w:b/>
                <w:bCs/>
                <w:color w:val="000000"/>
                <w:kern w:val="0"/>
                <w:sz w:val="24"/>
                <w:szCs w:val="24"/>
                <w14:ligatures w14:val="none"/>
              </w:rPr>
              <w:t>0.52</w:t>
            </w:r>
          </w:p>
        </w:tc>
        <w:tc>
          <w:tcPr>
            <w:tcW w:w="1160" w:type="dxa"/>
            <w:tcBorders>
              <w:top w:val="single" w:sz="4" w:space="0" w:color="8EA9DB"/>
              <w:left w:val="nil"/>
              <w:bottom w:val="nil"/>
              <w:right w:val="nil"/>
            </w:tcBorders>
            <w:shd w:val="clear" w:color="D9E1F2" w:fill="D9E1F2"/>
            <w:noWrap/>
            <w:vAlign w:val="bottom"/>
            <w:hideMark/>
          </w:tcPr>
          <w:p w14:paraId="738B2C8D" w14:textId="77777777" w:rsidR="00CE06AF" w:rsidRPr="00CE06AF" w:rsidRDefault="00CE06AF" w:rsidP="004A2BEF">
            <w:pPr>
              <w:spacing w:after="0" w:line="240" w:lineRule="auto"/>
              <w:jc w:val="center"/>
              <w:rPr>
                <w:rFonts w:ascii="Times New Roman" w:eastAsia="Times New Roman" w:hAnsi="Times New Roman" w:cs="Times New Roman"/>
                <w:b/>
                <w:bCs/>
                <w:color w:val="000000"/>
                <w:kern w:val="0"/>
                <w:sz w:val="24"/>
                <w:szCs w:val="24"/>
                <w14:ligatures w14:val="none"/>
              </w:rPr>
            </w:pPr>
            <w:r w:rsidRPr="00CE06AF">
              <w:rPr>
                <w:rFonts w:ascii="Times New Roman" w:eastAsia="Times New Roman" w:hAnsi="Times New Roman" w:cs="Times New Roman"/>
                <w:b/>
                <w:bCs/>
                <w:color w:val="000000"/>
                <w:kern w:val="0"/>
                <w:sz w:val="24"/>
                <w:szCs w:val="24"/>
                <w14:ligatures w14:val="none"/>
              </w:rPr>
              <w:t>1.16</w:t>
            </w:r>
          </w:p>
        </w:tc>
      </w:tr>
    </w:tbl>
    <w:p w14:paraId="609E6B45" w14:textId="26924A37" w:rsidR="00CE06AF" w:rsidRPr="000B3EC5" w:rsidRDefault="00CE06AF" w:rsidP="004A2BEF">
      <w:pPr>
        <w:ind w:left="360"/>
        <w:jc w:val="center"/>
        <w:rPr>
          <w:rFonts w:ascii="Times New Roman" w:hAnsi="Times New Roman" w:cs="Times New Roman"/>
          <w:sz w:val="24"/>
          <w:szCs w:val="24"/>
        </w:rPr>
      </w:pPr>
      <w:r w:rsidRPr="004A2BEF">
        <w:rPr>
          <w:rFonts w:ascii="Times New Roman" w:hAnsi="Times New Roman" w:cs="Times New Roman"/>
          <w:i/>
          <w:iCs/>
          <w:sz w:val="24"/>
          <w:szCs w:val="24"/>
        </w:rPr>
        <w:t>Figure 9:</w:t>
      </w:r>
      <w:r w:rsidR="0098076D" w:rsidRPr="000B3EC5">
        <w:rPr>
          <w:rFonts w:ascii="Times New Roman" w:hAnsi="Times New Roman" w:cs="Times New Roman"/>
          <w:sz w:val="24"/>
          <w:szCs w:val="24"/>
        </w:rPr>
        <w:t xml:space="preserve"> Average Property Prices by Type and Suburb</w:t>
      </w:r>
    </w:p>
    <w:p w14:paraId="63B47951" w14:textId="3C379307" w:rsidR="0098076D" w:rsidRPr="000B3EC5" w:rsidRDefault="0098076D" w:rsidP="000B3EC5">
      <w:pPr>
        <w:ind w:left="360"/>
        <w:jc w:val="both"/>
        <w:rPr>
          <w:rFonts w:ascii="Times New Roman" w:hAnsi="Times New Roman" w:cs="Times New Roman"/>
          <w:sz w:val="24"/>
          <w:szCs w:val="24"/>
        </w:rPr>
      </w:pPr>
      <w:r w:rsidRPr="000B3EC5">
        <w:rPr>
          <w:rFonts w:ascii="Times New Roman" w:hAnsi="Times New Roman" w:cs="Times New Roman"/>
          <w:sz w:val="24"/>
          <w:szCs w:val="24"/>
        </w:rPr>
        <w:t xml:space="preserve">The heat map illustrates the </w:t>
      </w:r>
      <w:r w:rsidR="000715EB">
        <w:rPr>
          <w:rFonts w:ascii="Times New Roman" w:hAnsi="Times New Roman" w:cs="Times New Roman"/>
          <w:sz w:val="24"/>
          <w:szCs w:val="24"/>
        </w:rPr>
        <w:t>fluctuations</w:t>
      </w:r>
      <w:r w:rsidRPr="000B3EC5">
        <w:rPr>
          <w:rFonts w:ascii="Times New Roman" w:hAnsi="Times New Roman" w:cs="Times New Roman"/>
          <w:sz w:val="24"/>
          <w:szCs w:val="24"/>
        </w:rPr>
        <w:t xml:space="preserve"> in </w:t>
      </w:r>
      <w:r w:rsidRPr="000B3EC5">
        <w:rPr>
          <w:rFonts w:ascii="Times New Roman" w:hAnsi="Times New Roman" w:cs="Times New Roman"/>
          <w:b/>
          <w:bCs/>
          <w:sz w:val="24"/>
          <w:szCs w:val="24"/>
        </w:rPr>
        <w:t>average property prices</w:t>
      </w:r>
      <w:r w:rsidRPr="000B3EC5">
        <w:rPr>
          <w:rFonts w:ascii="Times New Roman" w:hAnsi="Times New Roman" w:cs="Times New Roman"/>
          <w:sz w:val="24"/>
          <w:szCs w:val="24"/>
        </w:rPr>
        <w:t xml:space="preserve"> across different property prices types and suburbs.</w:t>
      </w:r>
      <w:r w:rsidR="000715EB">
        <w:rPr>
          <w:rFonts w:ascii="Times New Roman" w:hAnsi="Times New Roman" w:cs="Times New Roman"/>
          <w:b/>
          <w:bCs/>
          <w:sz w:val="24"/>
          <w:szCs w:val="24"/>
        </w:rPr>
        <w:t xml:space="preserve"> </w:t>
      </w:r>
      <w:r w:rsidR="000715EB">
        <w:rPr>
          <w:rFonts w:ascii="Times New Roman" w:hAnsi="Times New Roman" w:cs="Times New Roman"/>
          <w:sz w:val="24"/>
          <w:szCs w:val="24"/>
        </w:rPr>
        <w:t>With average prices of $2.43 million and $2.07 million respectively</w:t>
      </w:r>
      <w:r w:rsidRPr="000B3EC5">
        <w:rPr>
          <w:rFonts w:ascii="Times New Roman" w:hAnsi="Times New Roman" w:cs="Times New Roman"/>
          <w:sz w:val="24"/>
          <w:szCs w:val="24"/>
        </w:rPr>
        <w:t>.</w:t>
      </w:r>
      <w:r w:rsidR="000715EB">
        <w:rPr>
          <w:rFonts w:ascii="Times New Roman" w:hAnsi="Times New Roman" w:cs="Times New Roman"/>
          <w:sz w:val="24"/>
          <w:szCs w:val="24"/>
        </w:rPr>
        <w:t xml:space="preserve"> Kew and Albert Park turn out as the </w:t>
      </w:r>
      <w:proofErr w:type="gramStart"/>
      <w:r w:rsidR="000715EB">
        <w:rPr>
          <w:rFonts w:ascii="Times New Roman" w:hAnsi="Times New Roman" w:cs="Times New Roman"/>
          <w:sz w:val="24"/>
          <w:szCs w:val="24"/>
        </w:rPr>
        <w:t>most costly</w:t>
      </w:r>
      <w:proofErr w:type="gramEnd"/>
      <w:r w:rsidR="000715EB">
        <w:rPr>
          <w:rFonts w:ascii="Times New Roman" w:hAnsi="Times New Roman" w:cs="Times New Roman"/>
          <w:sz w:val="24"/>
          <w:szCs w:val="24"/>
        </w:rPr>
        <w:t xml:space="preserve"> suburbs for houses.</w:t>
      </w:r>
      <w:r w:rsidRPr="000B3EC5">
        <w:rPr>
          <w:rFonts w:ascii="Times New Roman" w:hAnsi="Times New Roman" w:cs="Times New Roman"/>
          <w:sz w:val="24"/>
          <w:szCs w:val="24"/>
        </w:rPr>
        <w:t xml:space="preserve"> T</w:t>
      </w:r>
      <w:r w:rsidRPr="000B3EC5">
        <w:rPr>
          <w:rFonts w:ascii="Times New Roman" w:hAnsi="Times New Roman" w:cs="Times New Roman"/>
          <w:sz w:val="24"/>
          <w:szCs w:val="24"/>
        </w:rPr>
        <w:t>own</w:t>
      </w:r>
      <w:r w:rsidRPr="000B3EC5">
        <w:rPr>
          <w:rFonts w:ascii="Times New Roman" w:hAnsi="Times New Roman" w:cs="Times New Roman"/>
          <w:sz w:val="24"/>
          <w:szCs w:val="24"/>
        </w:rPr>
        <w:t xml:space="preserve"> </w:t>
      </w:r>
      <w:r w:rsidRPr="000B3EC5">
        <w:rPr>
          <w:rFonts w:ascii="Times New Roman" w:hAnsi="Times New Roman" w:cs="Times New Roman"/>
          <w:sz w:val="24"/>
          <w:szCs w:val="24"/>
        </w:rPr>
        <w:t xml:space="preserve">house prices are consistent, around </w:t>
      </w:r>
      <w:r w:rsidRPr="000B3EC5">
        <w:rPr>
          <w:rFonts w:ascii="Times New Roman" w:hAnsi="Times New Roman" w:cs="Times New Roman"/>
          <w:b/>
          <w:bCs/>
          <w:sz w:val="24"/>
          <w:szCs w:val="24"/>
        </w:rPr>
        <w:t>$0.91 million</w:t>
      </w:r>
      <w:r w:rsidRPr="000B3EC5">
        <w:rPr>
          <w:rFonts w:ascii="Times New Roman" w:hAnsi="Times New Roman" w:cs="Times New Roman"/>
          <w:sz w:val="24"/>
          <w:szCs w:val="24"/>
        </w:rPr>
        <w:t xml:space="preserve"> to </w:t>
      </w:r>
      <w:r w:rsidRPr="000B3EC5">
        <w:rPr>
          <w:rFonts w:ascii="Times New Roman" w:hAnsi="Times New Roman" w:cs="Times New Roman"/>
          <w:b/>
          <w:bCs/>
          <w:sz w:val="24"/>
          <w:szCs w:val="24"/>
        </w:rPr>
        <w:t>$0.92 million</w:t>
      </w:r>
      <w:r w:rsidRPr="000B3EC5">
        <w:rPr>
          <w:rFonts w:ascii="Times New Roman" w:hAnsi="Times New Roman" w:cs="Times New Roman"/>
          <w:sz w:val="24"/>
          <w:szCs w:val="24"/>
        </w:rPr>
        <w:t xml:space="preserve"> in </w:t>
      </w:r>
      <w:r w:rsidRPr="000B3EC5">
        <w:rPr>
          <w:rFonts w:ascii="Times New Roman" w:hAnsi="Times New Roman" w:cs="Times New Roman"/>
          <w:b/>
          <w:bCs/>
          <w:sz w:val="24"/>
          <w:szCs w:val="24"/>
        </w:rPr>
        <w:t>Brunswick East, Fitzroy</w:t>
      </w:r>
      <w:r w:rsidRPr="000B3EC5">
        <w:rPr>
          <w:rFonts w:ascii="Times New Roman" w:hAnsi="Times New Roman" w:cs="Times New Roman"/>
          <w:sz w:val="24"/>
          <w:szCs w:val="24"/>
        </w:rPr>
        <w:t xml:space="preserve">, and </w:t>
      </w:r>
      <w:r w:rsidRPr="000B3EC5">
        <w:rPr>
          <w:rFonts w:ascii="Times New Roman" w:hAnsi="Times New Roman" w:cs="Times New Roman"/>
          <w:b/>
          <w:bCs/>
          <w:sz w:val="24"/>
          <w:szCs w:val="24"/>
        </w:rPr>
        <w:t>Kew</w:t>
      </w:r>
      <w:r w:rsidRPr="000B3EC5">
        <w:rPr>
          <w:rFonts w:ascii="Times New Roman" w:hAnsi="Times New Roman" w:cs="Times New Roman"/>
          <w:sz w:val="24"/>
          <w:szCs w:val="24"/>
        </w:rPr>
        <w:t xml:space="preserve">. Units are the least expensive, with </w:t>
      </w:r>
      <w:r w:rsidRPr="000B3EC5">
        <w:rPr>
          <w:rFonts w:ascii="Times New Roman" w:hAnsi="Times New Roman" w:cs="Times New Roman"/>
          <w:b/>
          <w:bCs/>
          <w:sz w:val="24"/>
          <w:szCs w:val="24"/>
        </w:rPr>
        <w:t>Reservoir</w:t>
      </w:r>
      <w:r w:rsidRPr="000B3EC5">
        <w:rPr>
          <w:rFonts w:ascii="Times New Roman" w:hAnsi="Times New Roman" w:cs="Times New Roman"/>
          <w:sz w:val="24"/>
          <w:szCs w:val="24"/>
        </w:rPr>
        <w:t xml:space="preserve"> and </w:t>
      </w:r>
      <w:r w:rsidRPr="000B3EC5">
        <w:rPr>
          <w:rFonts w:ascii="Times New Roman" w:hAnsi="Times New Roman" w:cs="Times New Roman"/>
          <w:b/>
          <w:bCs/>
          <w:sz w:val="24"/>
          <w:szCs w:val="24"/>
        </w:rPr>
        <w:t>Melton</w:t>
      </w:r>
      <w:r w:rsidRPr="000B3EC5">
        <w:rPr>
          <w:rFonts w:ascii="Times New Roman" w:hAnsi="Times New Roman" w:cs="Times New Roman"/>
          <w:sz w:val="24"/>
          <w:szCs w:val="24"/>
        </w:rPr>
        <w:t xml:space="preserve"> showing the lowest averages at </w:t>
      </w:r>
      <w:r w:rsidRPr="000B3EC5">
        <w:rPr>
          <w:rFonts w:ascii="Times New Roman" w:hAnsi="Times New Roman" w:cs="Times New Roman"/>
          <w:b/>
          <w:bCs/>
          <w:sz w:val="24"/>
          <w:szCs w:val="24"/>
        </w:rPr>
        <w:t xml:space="preserve">$0.40 </w:t>
      </w:r>
      <w:r w:rsidRPr="000B3EC5">
        <w:rPr>
          <w:rFonts w:ascii="Times New Roman" w:hAnsi="Times New Roman" w:cs="Times New Roman"/>
          <w:b/>
          <w:bCs/>
          <w:sz w:val="24"/>
          <w:szCs w:val="24"/>
        </w:rPr>
        <w:lastRenderedPageBreak/>
        <w:t>million</w:t>
      </w:r>
      <w:r w:rsidRPr="000B3EC5">
        <w:rPr>
          <w:rFonts w:ascii="Times New Roman" w:hAnsi="Times New Roman" w:cs="Times New Roman"/>
          <w:sz w:val="24"/>
          <w:szCs w:val="24"/>
        </w:rPr>
        <w:t xml:space="preserve"> and </w:t>
      </w:r>
      <w:r w:rsidRPr="000B3EC5">
        <w:rPr>
          <w:rFonts w:ascii="Times New Roman" w:hAnsi="Times New Roman" w:cs="Times New Roman"/>
          <w:b/>
          <w:bCs/>
          <w:sz w:val="24"/>
          <w:szCs w:val="24"/>
        </w:rPr>
        <w:t>$0.44 million</w:t>
      </w:r>
      <w:r w:rsidRPr="000B3EC5">
        <w:rPr>
          <w:rFonts w:ascii="Times New Roman" w:hAnsi="Times New Roman" w:cs="Times New Roman"/>
          <w:sz w:val="24"/>
          <w:szCs w:val="24"/>
        </w:rPr>
        <w:t xml:space="preserve">. Overall, location and property type significantly affect price, with premium suburbs like </w:t>
      </w:r>
      <w:r w:rsidRPr="000B3EC5">
        <w:rPr>
          <w:rFonts w:ascii="Times New Roman" w:hAnsi="Times New Roman" w:cs="Times New Roman"/>
          <w:b/>
          <w:bCs/>
          <w:sz w:val="24"/>
          <w:szCs w:val="24"/>
        </w:rPr>
        <w:t>Kew</w:t>
      </w:r>
      <w:r w:rsidRPr="000B3EC5">
        <w:rPr>
          <w:rFonts w:ascii="Times New Roman" w:hAnsi="Times New Roman" w:cs="Times New Roman"/>
          <w:sz w:val="24"/>
          <w:szCs w:val="24"/>
        </w:rPr>
        <w:t xml:space="preserve"> and </w:t>
      </w:r>
      <w:r w:rsidRPr="000B3EC5">
        <w:rPr>
          <w:rFonts w:ascii="Times New Roman" w:hAnsi="Times New Roman" w:cs="Times New Roman"/>
          <w:b/>
          <w:bCs/>
          <w:sz w:val="24"/>
          <w:szCs w:val="24"/>
        </w:rPr>
        <w:t>Albert Park</w:t>
      </w:r>
      <w:r w:rsidRPr="000B3EC5">
        <w:rPr>
          <w:rFonts w:ascii="Times New Roman" w:hAnsi="Times New Roman" w:cs="Times New Roman"/>
          <w:sz w:val="24"/>
          <w:szCs w:val="24"/>
        </w:rPr>
        <w:t xml:space="preserve"> commanding higher prices.</w:t>
      </w:r>
    </w:p>
    <w:p w14:paraId="2B86D315" w14:textId="42DA55D8" w:rsidR="00883E8D" w:rsidRPr="004A2BEF" w:rsidRDefault="00883E8D" w:rsidP="000B3EC5">
      <w:pPr>
        <w:ind w:left="360"/>
        <w:jc w:val="both"/>
        <w:rPr>
          <w:rFonts w:ascii="Times New Roman" w:hAnsi="Times New Roman" w:cs="Times New Roman"/>
          <w:b/>
          <w:bCs/>
          <w:sz w:val="24"/>
          <w:szCs w:val="24"/>
        </w:rPr>
      </w:pPr>
      <w:r w:rsidRPr="004A2BEF">
        <w:rPr>
          <w:rFonts w:ascii="Times New Roman" w:hAnsi="Times New Roman" w:cs="Times New Roman"/>
          <w:b/>
          <w:bCs/>
          <w:sz w:val="24"/>
          <w:szCs w:val="24"/>
        </w:rPr>
        <w:t>Question 4:</w:t>
      </w:r>
    </w:p>
    <w:p w14:paraId="4EFEA9BB" w14:textId="381F8DD8" w:rsidR="00502E0A" w:rsidRPr="000B3EC5" w:rsidRDefault="00985C43" w:rsidP="004A2BEF">
      <w:pPr>
        <w:ind w:left="360"/>
        <w:jc w:val="center"/>
        <w:rPr>
          <w:rFonts w:ascii="Times New Roman" w:hAnsi="Times New Roman" w:cs="Times New Roman"/>
          <w:sz w:val="24"/>
          <w:szCs w:val="24"/>
        </w:rPr>
      </w:pPr>
      <w:r w:rsidRPr="000B3EC5">
        <w:rPr>
          <w:rFonts w:ascii="Times New Roman" w:hAnsi="Times New Roman" w:cs="Times New Roman"/>
          <w:noProof/>
          <w:sz w:val="24"/>
          <w:szCs w:val="24"/>
        </w:rPr>
        <w:drawing>
          <wp:inline distT="0" distB="0" distL="0" distR="0" wp14:anchorId="2569BE94" wp14:editId="7BBD74A9">
            <wp:extent cx="3922644" cy="2743200"/>
            <wp:effectExtent l="0" t="0" r="1905" b="0"/>
            <wp:docPr id="1355292520" name="Chart 1">
              <a:extLst xmlns:a="http://schemas.openxmlformats.org/drawingml/2006/main">
                <a:ext uri="{FF2B5EF4-FFF2-40B4-BE49-F238E27FC236}">
                  <a16:creationId xmlns:a16="http://schemas.microsoft.com/office/drawing/2014/main" id="{2FE68B24-FAC1-BDE5-59EE-713A82D75C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A09FCD0" w14:textId="2D916386" w:rsidR="00985C43" w:rsidRPr="000B3EC5" w:rsidRDefault="00985C43" w:rsidP="004A2BEF">
      <w:pPr>
        <w:ind w:left="360"/>
        <w:jc w:val="center"/>
        <w:rPr>
          <w:rFonts w:ascii="Times New Roman" w:hAnsi="Times New Roman" w:cs="Times New Roman"/>
          <w:sz w:val="24"/>
          <w:szCs w:val="24"/>
        </w:rPr>
      </w:pPr>
      <w:r w:rsidRPr="004A2BEF">
        <w:rPr>
          <w:rFonts w:ascii="Times New Roman" w:hAnsi="Times New Roman" w:cs="Times New Roman"/>
          <w:i/>
          <w:iCs/>
          <w:sz w:val="24"/>
          <w:szCs w:val="24"/>
        </w:rPr>
        <w:t>Figure 10:</w:t>
      </w:r>
      <w:r w:rsidRPr="000B3EC5">
        <w:rPr>
          <w:rFonts w:ascii="Times New Roman" w:hAnsi="Times New Roman" w:cs="Times New Roman"/>
          <w:sz w:val="24"/>
          <w:szCs w:val="24"/>
        </w:rPr>
        <w:t xml:space="preserve"> Average Land size by Property Type and Suburb</w:t>
      </w:r>
    </w:p>
    <w:p w14:paraId="612C1984" w14:textId="7BC24EB8" w:rsidR="00985C43" w:rsidRPr="000B3EC5" w:rsidRDefault="00985C43" w:rsidP="000B3EC5">
      <w:pPr>
        <w:ind w:left="360"/>
        <w:jc w:val="both"/>
        <w:rPr>
          <w:rFonts w:ascii="Times New Roman" w:hAnsi="Times New Roman" w:cs="Times New Roman"/>
          <w:sz w:val="24"/>
          <w:szCs w:val="24"/>
        </w:rPr>
      </w:pPr>
      <w:r w:rsidRPr="000B3EC5">
        <w:rPr>
          <w:rFonts w:ascii="Times New Roman" w:hAnsi="Times New Roman" w:cs="Times New Roman"/>
          <w:sz w:val="24"/>
          <w:szCs w:val="24"/>
        </w:rPr>
        <w:t xml:space="preserve">The chart </w:t>
      </w:r>
      <w:r w:rsidRPr="000B3EC5">
        <w:rPr>
          <w:rFonts w:ascii="Times New Roman" w:hAnsi="Times New Roman" w:cs="Times New Roman"/>
          <w:sz w:val="24"/>
          <w:szCs w:val="24"/>
        </w:rPr>
        <w:t>reveals</w:t>
      </w:r>
      <w:r w:rsidRPr="000B3EC5">
        <w:rPr>
          <w:rFonts w:ascii="Times New Roman" w:hAnsi="Times New Roman" w:cs="Times New Roman"/>
          <w:sz w:val="24"/>
          <w:szCs w:val="24"/>
        </w:rPr>
        <w:t xml:space="preserve"> significant variation in </w:t>
      </w:r>
      <w:r w:rsidRPr="000B3EC5">
        <w:rPr>
          <w:rFonts w:ascii="Times New Roman" w:hAnsi="Times New Roman" w:cs="Times New Roman"/>
          <w:b/>
          <w:bCs/>
          <w:sz w:val="24"/>
          <w:szCs w:val="24"/>
        </w:rPr>
        <w:t>average land size</w:t>
      </w:r>
      <w:r w:rsidRPr="000B3EC5">
        <w:rPr>
          <w:rFonts w:ascii="Times New Roman" w:hAnsi="Times New Roman" w:cs="Times New Roman"/>
          <w:sz w:val="24"/>
          <w:szCs w:val="24"/>
        </w:rPr>
        <w:t xml:space="preserve"> across property types and suburbs. Fitzroy stands out with the largest land sizes for </w:t>
      </w:r>
      <w:r w:rsidRPr="000B3EC5">
        <w:rPr>
          <w:rFonts w:ascii="Times New Roman" w:hAnsi="Times New Roman" w:cs="Times New Roman"/>
          <w:b/>
          <w:bCs/>
          <w:sz w:val="24"/>
          <w:szCs w:val="24"/>
        </w:rPr>
        <w:t>townhouses (1425 sqm)</w:t>
      </w:r>
      <w:r w:rsidRPr="000B3EC5">
        <w:rPr>
          <w:rFonts w:ascii="Times New Roman" w:hAnsi="Times New Roman" w:cs="Times New Roman"/>
          <w:sz w:val="24"/>
          <w:szCs w:val="24"/>
        </w:rPr>
        <w:t xml:space="preserve"> and </w:t>
      </w:r>
      <w:r w:rsidRPr="000B3EC5">
        <w:rPr>
          <w:rFonts w:ascii="Times New Roman" w:hAnsi="Times New Roman" w:cs="Times New Roman"/>
          <w:b/>
          <w:bCs/>
          <w:sz w:val="24"/>
          <w:szCs w:val="24"/>
        </w:rPr>
        <w:t>units (1379 sqm),</w:t>
      </w:r>
      <w:r w:rsidRPr="000B3EC5">
        <w:rPr>
          <w:rFonts w:ascii="Times New Roman" w:hAnsi="Times New Roman" w:cs="Times New Roman"/>
          <w:sz w:val="24"/>
          <w:szCs w:val="24"/>
        </w:rPr>
        <w:t xml:space="preserve"> far exceeding other areas</w:t>
      </w:r>
      <w:r w:rsidRPr="000B3EC5">
        <w:rPr>
          <w:rFonts w:ascii="Times New Roman" w:hAnsi="Times New Roman" w:cs="Times New Roman"/>
          <w:b/>
          <w:bCs/>
          <w:sz w:val="24"/>
          <w:szCs w:val="24"/>
        </w:rPr>
        <w:t>. Kew</w:t>
      </w:r>
      <w:r w:rsidRPr="000B3EC5">
        <w:rPr>
          <w:rFonts w:ascii="Times New Roman" w:hAnsi="Times New Roman" w:cs="Times New Roman"/>
          <w:sz w:val="24"/>
          <w:szCs w:val="24"/>
        </w:rPr>
        <w:t xml:space="preserve"> and </w:t>
      </w:r>
      <w:r w:rsidRPr="000B3EC5">
        <w:rPr>
          <w:rFonts w:ascii="Times New Roman" w:hAnsi="Times New Roman" w:cs="Times New Roman"/>
          <w:b/>
          <w:bCs/>
          <w:sz w:val="24"/>
          <w:szCs w:val="24"/>
        </w:rPr>
        <w:t>Melton</w:t>
      </w:r>
      <w:r w:rsidR="000715EB">
        <w:rPr>
          <w:rFonts w:ascii="Times New Roman" w:hAnsi="Times New Roman" w:cs="Times New Roman"/>
          <w:sz w:val="24"/>
          <w:szCs w:val="24"/>
        </w:rPr>
        <w:t xml:space="preserve"> have bigger house land areas</w:t>
      </w:r>
      <w:r w:rsidRPr="000B3EC5">
        <w:rPr>
          <w:rFonts w:ascii="Times New Roman" w:hAnsi="Times New Roman" w:cs="Times New Roman"/>
          <w:sz w:val="24"/>
          <w:szCs w:val="24"/>
        </w:rPr>
        <w:t xml:space="preserve">, </w:t>
      </w:r>
      <w:r w:rsidR="000715EB">
        <w:rPr>
          <w:rFonts w:ascii="Times New Roman" w:hAnsi="Times New Roman" w:cs="Times New Roman"/>
          <w:sz w:val="24"/>
          <w:szCs w:val="24"/>
        </w:rPr>
        <w:t>with</w:t>
      </w:r>
      <w:r w:rsidRPr="000B3EC5">
        <w:rPr>
          <w:rFonts w:ascii="Times New Roman" w:hAnsi="Times New Roman" w:cs="Times New Roman"/>
          <w:sz w:val="24"/>
          <w:szCs w:val="24"/>
        </w:rPr>
        <w:t xml:space="preserve"> </w:t>
      </w:r>
      <w:r w:rsidRPr="000B3EC5">
        <w:rPr>
          <w:rFonts w:ascii="Times New Roman" w:hAnsi="Times New Roman" w:cs="Times New Roman"/>
          <w:b/>
          <w:bCs/>
          <w:sz w:val="24"/>
          <w:szCs w:val="24"/>
        </w:rPr>
        <w:t>610 sqm</w:t>
      </w:r>
      <w:r w:rsidRPr="000B3EC5">
        <w:rPr>
          <w:rFonts w:ascii="Times New Roman" w:hAnsi="Times New Roman" w:cs="Times New Roman"/>
          <w:sz w:val="24"/>
          <w:szCs w:val="24"/>
        </w:rPr>
        <w:t xml:space="preserve"> and </w:t>
      </w:r>
      <w:r w:rsidRPr="000B3EC5">
        <w:rPr>
          <w:rFonts w:ascii="Times New Roman" w:hAnsi="Times New Roman" w:cs="Times New Roman"/>
          <w:b/>
          <w:bCs/>
          <w:sz w:val="24"/>
          <w:szCs w:val="24"/>
        </w:rPr>
        <w:t>730 sqm</w:t>
      </w:r>
      <w:r w:rsidRPr="000B3EC5">
        <w:rPr>
          <w:rFonts w:ascii="Times New Roman" w:hAnsi="Times New Roman" w:cs="Times New Roman"/>
          <w:sz w:val="24"/>
          <w:szCs w:val="24"/>
        </w:rPr>
        <w:t xml:space="preserve">, respectively. In contrast, </w:t>
      </w:r>
      <w:r w:rsidRPr="000B3EC5">
        <w:rPr>
          <w:rFonts w:ascii="Times New Roman" w:hAnsi="Times New Roman" w:cs="Times New Roman"/>
          <w:b/>
          <w:bCs/>
          <w:sz w:val="24"/>
          <w:szCs w:val="24"/>
        </w:rPr>
        <w:t>Albert Park, Brunswick East</w:t>
      </w:r>
      <w:r w:rsidRPr="000B3EC5">
        <w:rPr>
          <w:rFonts w:ascii="Times New Roman" w:hAnsi="Times New Roman" w:cs="Times New Roman"/>
          <w:sz w:val="24"/>
          <w:szCs w:val="24"/>
        </w:rPr>
        <w:t xml:space="preserve">, and </w:t>
      </w:r>
      <w:r w:rsidRPr="000B3EC5">
        <w:rPr>
          <w:rFonts w:ascii="Times New Roman" w:hAnsi="Times New Roman" w:cs="Times New Roman"/>
          <w:b/>
          <w:bCs/>
          <w:sz w:val="24"/>
          <w:szCs w:val="24"/>
        </w:rPr>
        <w:t>Reservoir</w:t>
      </w:r>
      <w:r w:rsidRPr="000B3EC5">
        <w:rPr>
          <w:rFonts w:ascii="Times New Roman" w:hAnsi="Times New Roman" w:cs="Times New Roman"/>
          <w:sz w:val="24"/>
          <w:szCs w:val="24"/>
        </w:rPr>
        <w:t xml:space="preserve"> have smaller land sizes across all property types, particularly for townhouses and units. This suggests </w:t>
      </w:r>
      <w:r w:rsidRPr="000B3EC5">
        <w:rPr>
          <w:rFonts w:ascii="Times New Roman" w:hAnsi="Times New Roman" w:cs="Times New Roman"/>
          <w:b/>
          <w:bCs/>
          <w:sz w:val="24"/>
          <w:szCs w:val="24"/>
        </w:rPr>
        <w:t xml:space="preserve">Fitzroy </w:t>
      </w:r>
      <w:r w:rsidRPr="000B3EC5">
        <w:rPr>
          <w:rFonts w:ascii="Times New Roman" w:hAnsi="Times New Roman" w:cs="Times New Roman"/>
          <w:sz w:val="24"/>
          <w:szCs w:val="24"/>
        </w:rPr>
        <w:t xml:space="preserve">favors larger developments, while </w:t>
      </w:r>
      <w:r w:rsidRPr="000B3EC5">
        <w:rPr>
          <w:rFonts w:ascii="Times New Roman" w:hAnsi="Times New Roman" w:cs="Times New Roman"/>
          <w:b/>
          <w:bCs/>
          <w:sz w:val="24"/>
          <w:szCs w:val="24"/>
        </w:rPr>
        <w:t>Kew</w:t>
      </w:r>
      <w:r w:rsidRPr="000B3EC5">
        <w:rPr>
          <w:rFonts w:ascii="Times New Roman" w:hAnsi="Times New Roman" w:cs="Times New Roman"/>
          <w:sz w:val="24"/>
          <w:szCs w:val="24"/>
        </w:rPr>
        <w:t xml:space="preserve"> and </w:t>
      </w:r>
      <w:r w:rsidRPr="000B3EC5">
        <w:rPr>
          <w:rFonts w:ascii="Times New Roman" w:hAnsi="Times New Roman" w:cs="Times New Roman"/>
          <w:b/>
          <w:bCs/>
          <w:sz w:val="24"/>
          <w:szCs w:val="24"/>
        </w:rPr>
        <w:t>Melton</w:t>
      </w:r>
      <w:r w:rsidRPr="000B3EC5">
        <w:rPr>
          <w:rFonts w:ascii="Times New Roman" w:hAnsi="Times New Roman" w:cs="Times New Roman"/>
          <w:sz w:val="24"/>
          <w:szCs w:val="24"/>
        </w:rPr>
        <w:t xml:space="preserve"> focus on spacious houses, with other suburbs tending toward more compact properties.</w:t>
      </w:r>
      <w:r w:rsidRPr="000B3EC5">
        <w:rPr>
          <w:rFonts w:ascii="Times New Roman" w:hAnsi="Times New Roman" w:cs="Times New Roman"/>
          <w:sz w:val="24"/>
          <w:szCs w:val="24"/>
        </w:rPr>
        <w:t xml:space="preserve"> </w:t>
      </w:r>
    </w:p>
    <w:p w14:paraId="49518564" w14:textId="1311EC03" w:rsidR="00883E8D" w:rsidRPr="004A2BEF" w:rsidRDefault="00883E8D" w:rsidP="000B3EC5">
      <w:pPr>
        <w:ind w:left="360"/>
        <w:jc w:val="both"/>
        <w:rPr>
          <w:rFonts w:ascii="Times New Roman" w:hAnsi="Times New Roman" w:cs="Times New Roman"/>
          <w:b/>
          <w:bCs/>
          <w:sz w:val="24"/>
          <w:szCs w:val="24"/>
        </w:rPr>
      </w:pPr>
      <w:r w:rsidRPr="004A2BEF">
        <w:rPr>
          <w:rFonts w:ascii="Times New Roman" w:hAnsi="Times New Roman" w:cs="Times New Roman"/>
          <w:b/>
          <w:bCs/>
          <w:sz w:val="24"/>
          <w:szCs w:val="24"/>
        </w:rPr>
        <w:t>Question 5:</w:t>
      </w:r>
    </w:p>
    <w:p w14:paraId="34BE056C" w14:textId="4001F80D" w:rsidR="00000CC0" w:rsidRPr="000B3EC5" w:rsidRDefault="00000CC0" w:rsidP="000B3EC5">
      <w:pPr>
        <w:ind w:left="360"/>
        <w:jc w:val="both"/>
        <w:rPr>
          <w:rFonts w:ascii="Times New Roman" w:hAnsi="Times New Roman" w:cs="Times New Roman"/>
          <w:sz w:val="24"/>
          <w:szCs w:val="24"/>
        </w:rPr>
      </w:pPr>
      <w:r w:rsidRPr="000B3EC5">
        <w:rPr>
          <w:rFonts w:ascii="Times New Roman" w:hAnsi="Times New Roman" w:cs="Times New Roman"/>
          <w:noProof/>
          <w:sz w:val="24"/>
          <w:szCs w:val="24"/>
        </w:rPr>
        <w:lastRenderedPageBreak/>
        <w:drawing>
          <wp:inline distT="0" distB="0" distL="0" distR="0" wp14:anchorId="2695E649" wp14:editId="2E317CFE">
            <wp:extent cx="5340927" cy="2750128"/>
            <wp:effectExtent l="0" t="0" r="12700" b="12700"/>
            <wp:docPr id="720847280" name="Chart 1">
              <a:extLst xmlns:a="http://schemas.openxmlformats.org/drawingml/2006/main">
                <a:ext uri="{FF2B5EF4-FFF2-40B4-BE49-F238E27FC236}">
                  <a16:creationId xmlns:a16="http://schemas.microsoft.com/office/drawing/2014/main" id="{D709E6F6-1237-F207-266F-6A1FBF70681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A4EFBBB" w14:textId="5472B066" w:rsidR="00000CC0" w:rsidRPr="000B3EC5" w:rsidRDefault="00000CC0" w:rsidP="000B3EC5">
      <w:pPr>
        <w:ind w:left="360"/>
        <w:jc w:val="center"/>
        <w:rPr>
          <w:rFonts w:ascii="Times New Roman" w:hAnsi="Times New Roman" w:cs="Times New Roman"/>
          <w:sz w:val="24"/>
          <w:szCs w:val="24"/>
        </w:rPr>
      </w:pPr>
      <w:r w:rsidRPr="004A2BEF">
        <w:rPr>
          <w:rFonts w:ascii="Times New Roman" w:hAnsi="Times New Roman" w:cs="Times New Roman"/>
          <w:i/>
          <w:iCs/>
          <w:sz w:val="24"/>
          <w:szCs w:val="24"/>
        </w:rPr>
        <w:t>Figure 11:</w:t>
      </w:r>
      <w:r w:rsidRPr="000B3EC5">
        <w:rPr>
          <w:rFonts w:ascii="Times New Roman" w:hAnsi="Times New Roman" w:cs="Times New Roman"/>
          <w:sz w:val="24"/>
          <w:szCs w:val="24"/>
        </w:rPr>
        <w:t xml:space="preserve"> </w:t>
      </w:r>
      <w:r w:rsidRPr="000B3EC5">
        <w:rPr>
          <w:rFonts w:ascii="Times New Roman" w:hAnsi="Times New Roman" w:cs="Times New Roman"/>
          <w:sz w:val="24"/>
          <w:szCs w:val="24"/>
        </w:rPr>
        <w:t>Property Development Trends Near and Beyond 4 Kilometers from the CBD (1870-2020)</w:t>
      </w:r>
    </w:p>
    <w:p w14:paraId="6D60F67D" w14:textId="7E27A8C6" w:rsidR="00000CC0" w:rsidRDefault="00000CC0" w:rsidP="000B3EC5">
      <w:pPr>
        <w:ind w:left="360"/>
        <w:jc w:val="both"/>
        <w:rPr>
          <w:rFonts w:ascii="Times New Roman" w:hAnsi="Times New Roman" w:cs="Times New Roman"/>
          <w:sz w:val="24"/>
          <w:szCs w:val="24"/>
        </w:rPr>
      </w:pPr>
      <w:r w:rsidRPr="000B3EC5">
        <w:rPr>
          <w:rFonts w:ascii="Times New Roman" w:hAnsi="Times New Roman" w:cs="Times New Roman"/>
          <w:sz w:val="24"/>
          <w:szCs w:val="24"/>
        </w:rPr>
        <w:t xml:space="preserve">The line chart highlights property development trends near and far from the CBD. Suburban expansion beyond 4 kilometers surged in the late </w:t>
      </w:r>
      <w:r w:rsidRPr="000B3EC5">
        <w:rPr>
          <w:rFonts w:ascii="Times New Roman" w:hAnsi="Times New Roman" w:cs="Times New Roman"/>
          <w:b/>
          <w:bCs/>
          <w:sz w:val="24"/>
          <w:szCs w:val="24"/>
        </w:rPr>
        <w:t>1800s</w:t>
      </w:r>
      <w:r w:rsidRPr="000B3EC5">
        <w:rPr>
          <w:rFonts w:ascii="Times New Roman" w:hAnsi="Times New Roman" w:cs="Times New Roman"/>
          <w:sz w:val="24"/>
          <w:szCs w:val="24"/>
        </w:rPr>
        <w:t xml:space="preserve">, peaking around </w:t>
      </w:r>
      <w:r w:rsidRPr="000B3EC5">
        <w:rPr>
          <w:rFonts w:ascii="Times New Roman" w:hAnsi="Times New Roman" w:cs="Times New Roman"/>
          <w:b/>
          <w:bCs/>
          <w:sz w:val="24"/>
          <w:szCs w:val="24"/>
        </w:rPr>
        <w:t>1890</w:t>
      </w:r>
      <w:r w:rsidR="00883E8D" w:rsidRPr="000B3EC5">
        <w:rPr>
          <w:rFonts w:ascii="Times New Roman" w:hAnsi="Times New Roman" w:cs="Times New Roman"/>
          <w:sz w:val="24"/>
          <w:szCs w:val="24"/>
        </w:rPr>
        <w:t xml:space="preserve">. After a period of slower growth, a significant post-war boom occurred in the </w:t>
      </w:r>
      <w:r w:rsidR="00883E8D" w:rsidRPr="000B3EC5">
        <w:rPr>
          <w:rFonts w:ascii="Times New Roman" w:hAnsi="Times New Roman" w:cs="Times New Roman"/>
          <w:b/>
          <w:bCs/>
          <w:sz w:val="24"/>
          <w:szCs w:val="24"/>
        </w:rPr>
        <w:t>1950s</w:t>
      </w:r>
      <w:r w:rsidR="00883E8D" w:rsidRPr="000B3EC5">
        <w:rPr>
          <w:rFonts w:ascii="Times New Roman" w:hAnsi="Times New Roman" w:cs="Times New Roman"/>
          <w:sz w:val="24"/>
          <w:szCs w:val="24"/>
        </w:rPr>
        <w:t xml:space="preserve"> to </w:t>
      </w:r>
      <w:r w:rsidR="00883E8D" w:rsidRPr="000B3EC5">
        <w:rPr>
          <w:rFonts w:ascii="Times New Roman" w:hAnsi="Times New Roman" w:cs="Times New Roman"/>
          <w:b/>
          <w:bCs/>
          <w:sz w:val="24"/>
          <w:szCs w:val="24"/>
        </w:rPr>
        <w:t>1970s</w:t>
      </w:r>
      <w:r w:rsidR="00883E8D" w:rsidRPr="000B3EC5">
        <w:rPr>
          <w:rFonts w:ascii="Times New Roman" w:hAnsi="Times New Roman" w:cs="Times New Roman"/>
          <w:sz w:val="24"/>
          <w:szCs w:val="24"/>
        </w:rPr>
        <w:t xml:space="preserve">, particularly beyond 4 kilometers. Development within 4 kilometers remained more stable with modest growth. </w:t>
      </w:r>
      <w:r w:rsidR="008768B8" w:rsidRPr="008768B8">
        <w:rPr>
          <w:rFonts w:ascii="Times New Roman" w:hAnsi="Times New Roman" w:cs="Times New Roman"/>
          <w:sz w:val="24"/>
          <w:szCs w:val="24"/>
        </w:rPr>
        <w:t>Following 2000, both areas had increased building, with a sharper surge beyond the 4-kilometer radius, indicating sustained suburban growth and outward expansion</w:t>
      </w:r>
      <w:r w:rsidR="00883E8D" w:rsidRPr="000B3EC5">
        <w:rPr>
          <w:rFonts w:ascii="Times New Roman" w:hAnsi="Times New Roman" w:cs="Times New Roman"/>
          <w:sz w:val="24"/>
          <w:szCs w:val="24"/>
        </w:rPr>
        <w:t xml:space="preserve">. This trend reflects ongoing demand for development outside the central city area. </w:t>
      </w:r>
    </w:p>
    <w:p w14:paraId="013E4CB0" w14:textId="5D9DCE38" w:rsidR="00610371" w:rsidRDefault="00610371" w:rsidP="000B3EC5">
      <w:pPr>
        <w:ind w:left="360"/>
        <w:jc w:val="both"/>
        <w:rPr>
          <w:rFonts w:ascii="Times New Roman" w:hAnsi="Times New Roman" w:cs="Times New Roman"/>
          <w:b/>
          <w:bCs/>
          <w:sz w:val="24"/>
          <w:szCs w:val="24"/>
        </w:rPr>
      </w:pPr>
      <w:r w:rsidRPr="00610371">
        <w:rPr>
          <w:rFonts w:ascii="Times New Roman" w:hAnsi="Times New Roman" w:cs="Times New Roman"/>
          <w:b/>
          <w:bCs/>
          <w:sz w:val="24"/>
          <w:szCs w:val="24"/>
        </w:rPr>
        <w:t>Question 6:</w:t>
      </w:r>
    </w:p>
    <w:p w14:paraId="4C539D11" w14:textId="63A71CAF" w:rsidR="00061ED8" w:rsidRDefault="00061ED8" w:rsidP="000B3EC5">
      <w:pPr>
        <w:ind w:left="360"/>
        <w:jc w:val="both"/>
        <w:rPr>
          <w:rFonts w:ascii="Times New Roman" w:hAnsi="Times New Roman" w:cs="Times New Roman"/>
          <w:sz w:val="24"/>
          <w:szCs w:val="24"/>
        </w:rPr>
      </w:pPr>
      <w:r>
        <w:rPr>
          <w:rFonts w:ascii="Times New Roman" w:hAnsi="Times New Roman" w:cs="Times New Roman"/>
          <w:sz w:val="24"/>
          <w:szCs w:val="24"/>
        </w:rPr>
        <w:t xml:space="preserve">The relationship between price and variables such as number of parking spaces, </w:t>
      </w:r>
      <w:r w:rsidR="00BE6652">
        <w:rPr>
          <w:rFonts w:ascii="Times New Roman" w:hAnsi="Times New Roman" w:cs="Times New Roman"/>
          <w:sz w:val="24"/>
          <w:szCs w:val="24"/>
        </w:rPr>
        <w:t xml:space="preserve">land size, and suburb location shows the complex dynamics of Melbourne’s housing market. The price distribution for homes with two or more than two car parks (Figure 1) reveal that price with two car parks are concentrated in the $1-2 million range, while those with more than two car parks are more frequently found in the $2-$2.99 million bracket. This suggests that properties with more parking spots are larger and more expensive, owing to the additional room and luxury facilities. </w:t>
      </w:r>
      <w:r w:rsidR="00BE6652" w:rsidRPr="00BE6652">
        <w:rPr>
          <w:rFonts w:ascii="Times New Roman" w:hAnsi="Times New Roman" w:cs="Times New Roman"/>
          <w:sz w:val="24"/>
          <w:szCs w:val="24"/>
        </w:rPr>
        <w:t>The scarcity of homes with more than two car spaces indicates a supply restriction, which drives up prices for these high-end properties.</w:t>
      </w:r>
    </w:p>
    <w:p w14:paraId="491DFEDE" w14:textId="52CF3055" w:rsidR="00BE6652" w:rsidRDefault="00BE6652" w:rsidP="000B3EC5">
      <w:pPr>
        <w:ind w:left="360"/>
        <w:jc w:val="both"/>
        <w:rPr>
          <w:rFonts w:ascii="Times New Roman" w:hAnsi="Times New Roman" w:cs="Times New Roman"/>
          <w:sz w:val="24"/>
          <w:szCs w:val="24"/>
        </w:rPr>
      </w:pPr>
      <w:r>
        <w:rPr>
          <w:rFonts w:ascii="Times New Roman" w:hAnsi="Times New Roman" w:cs="Times New Roman"/>
          <w:sz w:val="24"/>
          <w:szCs w:val="24"/>
        </w:rPr>
        <w:t xml:space="preserve">Figure 2 emphasizes the role of location in determining prices. Kew has high price diversity, with numerous outliers above $5 million, indicating the presence of luxury houses. </w:t>
      </w:r>
      <w:r w:rsidR="00902CA6">
        <w:rPr>
          <w:rFonts w:ascii="Times New Roman" w:hAnsi="Times New Roman" w:cs="Times New Roman"/>
          <w:sz w:val="24"/>
          <w:szCs w:val="24"/>
        </w:rPr>
        <w:t xml:space="preserve">In contrast, Albert Park and Fitzroy have high average costs but more constant pricing, indicating a steady premium market. On the other hand, Melton and Reservoir have lower price ranges and fewer outliers, indicating more affordable areas with less price fluctuation. This means suburb status and demand have a substantial influence on property values. </w:t>
      </w:r>
    </w:p>
    <w:p w14:paraId="0A7896A8" w14:textId="54A51615" w:rsidR="00902CA6" w:rsidRDefault="00903678" w:rsidP="000B3EC5">
      <w:pPr>
        <w:ind w:left="360"/>
        <w:jc w:val="both"/>
        <w:rPr>
          <w:rFonts w:ascii="Times New Roman" w:hAnsi="Times New Roman" w:cs="Times New Roman"/>
          <w:sz w:val="24"/>
          <w:szCs w:val="24"/>
        </w:rPr>
      </w:pPr>
      <w:r w:rsidRPr="00903678">
        <w:rPr>
          <w:rFonts w:ascii="Times New Roman" w:hAnsi="Times New Roman" w:cs="Times New Roman"/>
          <w:sz w:val="24"/>
          <w:szCs w:val="24"/>
        </w:rPr>
        <w:lastRenderedPageBreak/>
        <w:t>Land size is also important, especially in premium regions like Fitzroy, where townhouses and units with bigger land amounts (e.g., 1425 sqm for townhouses) drive up costs. However, in more cheap areas such as Melton, larger land holdings do not always translate into higher costs, with the average remaining at $0.44 million. This suggests that, while land size influences value, location, market demand, and local reputation are frequently more important.</w:t>
      </w:r>
      <w:r>
        <w:rPr>
          <w:rFonts w:ascii="Times New Roman" w:hAnsi="Times New Roman" w:cs="Times New Roman"/>
          <w:sz w:val="24"/>
          <w:szCs w:val="24"/>
        </w:rPr>
        <w:t xml:space="preserve"> </w:t>
      </w:r>
    </w:p>
    <w:p w14:paraId="14424CA0" w14:textId="4FFCD75D" w:rsidR="00903678" w:rsidRPr="00061ED8" w:rsidRDefault="00903678" w:rsidP="000B3EC5">
      <w:pPr>
        <w:ind w:left="360"/>
        <w:jc w:val="both"/>
        <w:rPr>
          <w:rFonts w:ascii="Times New Roman" w:hAnsi="Times New Roman" w:cs="Times New Roman"/>
          <w:sz w:val="24"/>
          <w:szCs w:val="24"/>
        </w:rPr>
      </w:pPr>
      <w:r>
        <w:rPr>
          <w:rFonts w:ascii="Times New Roman" w:hAnsi="Times New Roman" w:cs="Times New Roman"/>
          <w:sz w:val="24"/>
          <w:szCs w:val="24"/>
        </w:rPr>
        <w:t xml:space="preserve">In conclusion, price of Melbourne’s houses determined by a combination of car parks, land size, and suburb location, with premium amenities driving higher values, especially in desirable regions. </w:t>
      </w:r>
    </w:p>
    <w:sectPr w:rsidR="00903678" w:rsidRPr="00061ED8" w:rsidSect="0090367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72722F" w14:textId="77777777" w:rsidR="000555DE" w:rsidRDefault="000555DE" w:rsidP="00856EDB">
      <w:pPr>
        <w:spacing w:after="0" w:line="240" w:lineRule="auto"/>
      </w:pPr>
      <w:r>
        <w:separator/>
      </w:r>
    </w:p>
  </w:endnote>
  <w:endnote w:type="continuationSeparator" w:id="0">
    <w:p w14:paraId="7D5ED12D" w14:textId="77777777" w:rsidR="000555DE" w:rsidRDefault="000555DE" w:rsidP="00856E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4D8BFF" w14:textId="77777777" w:rsidR="000555DE" w:rsidRDefault="000555DE" w:rsidP="00856EDB">
      <w:pPr>
        <w:spacing w:after="0" w:line="240" w:lineRule="auto"/>
      </w:pPr>
      <w:r>
        <w:separator/>
      </w:r>
    </w:p>
  </w:footnote>
  <w:footnote w:type="continuationSeparator" w:id="0">
    <w:p w14:paraId="239ABE4F" w14:textId="77777777" w:rsidR="000555DE" w:rsidRDefault="000555DE" w:rsidP="00856E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D72CD4"/>
    <w:multiLevelType w:val="hybridMultilevel"/>
    <w:tmpl w:val="CE1A5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7A14A1"/>
    <w:multiLevelType w:val="hybridMultilevel"/>
    <w:tmpl w:val="EB3C1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1015054">
    <w:abstractNumId w:val="1"/>
  </w:num>
  <w:num w:numId="2" w16cid:durableId="2073964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FCC"/>
    <w:rsid w:val="00000CC0"/>
    <w:rsid w:val="000555DE"/>
    <w:rsid w:val="00061ED8"/>
    <w:rsid w:val="000715EB"/>
    <w:rsid w:val="000B3EC5"/>
    <w:rsid w:val="000C3249"/>
    <w:rsid w:val="00133D6C"/>
    <w:rsid w:val="001B4922"/>
    <w:rsid w:val="00251FCC"/>
    <w:rsid w:val="002F4165"/>
    <w:rsid w:val="0035097A"/>
    <w:rsid w:val="003E242A"/>
    <w:rsid w:val="003E406F"/>
    <w:rsid w:val="00452930"/>
    <w:rsid w:val="004A2BEF"/>
    <w:rsid w:val="00502E0A"/>
    <w:rsid w:val="00544CFC"/>
    <w:rsid w:val="005E461E"/>
    <w:rsid w:val="00610371"/>
    <w:rsid w:val="00624819"/>
    <w:rsid w:val="00663847"/>
    <w:rsid w:val="006F708F"/>
    <w:rsid w:val="007235AE"/>
    <w:rsid w:val="008362C5"/>
    <w:rsid w:val="00856EDB"/>
    <w:rsid w:val="008768B8"/>
    <w:rsid w:val="00883E8D"/>
    <w:rsid w:val="008F325D"/>
    <w:rsid w:val="00902CA6"/>
    <w:rsid w:val="00903678"/>
    <w:rsid w:val="0094295D"/>
    <w:rsid w:val="0098076D"/>
    <w:rsid w:val="00985C43"/>
    <w:rsid w:val="00A74B10"/>
    <w:rsid w:val="00B05A63"/>
    <w:rsid w:val="00B40796"/>
    <w:rsid w:val="00BE6652"/>
    <w:rsid w:val="00CE06AF"/>
    <w:rsid w:val="00E07141"/>
    <w:rsid w:val="00E46FE1"/>
    <w:rsid w:val="00F23D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1B5E"/>
  <w15:chartTrackingRefBased/>
  <w15:docId w15:val="{48CC2B25-1413-4AB8-A47B-DBF71E0FA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56E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6EDB"/>
  </w:style>
  <w:style w:type="paragraph" w:styleId="Footer">
    <w:name w:val="footer"/>
    <w:basedOn w:val="Normal"/>
    <w:link w:val="FooterChar"/>
    <w:uiPriority w:val="99"/>
    <w:unhideWhenUsed/>
    <w:rsid w:val="00856E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6EDB"/>
  </w:style>
  <w:style w:type="paragraph" w:styleId="ListParagraph">
    <w:name w:val="List Paragraph"/>
    <w:basedOn w:val="Normal"/>
    <w:uiPriority w:val="34"/>
    <w:qFormat/>
    <w:rsid w:val="00856EDB"/>
    <w:pPr>
      <w:ind w:left="720"/>
      <w:contextualSpacing/>
    </w:pPr>
  </w:style>
  <w:style w:type="paragraph" w:styleId="NoSpacing">
    <w:name w:val="No Spacing"/>
    <w:link w:val="NoSpacingChar"/>
    <w:uiPriority w:val="1"/>
    <w:qFormat/>
    <w:rsid w:val="00903678"/>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903678"/>
    <w:rPr>
      <w:rFonts w:eastAsiaTheme="minorEastAsia"/>
      <w:kern w:val="0"/>
      <w14:ligatures w14:val="none"/>
    </w:rPr>
  </w:style>
  <w:style w:type="table" w:styleId="TableGrid">
    <w:name w:val="Table Grid"/>
    <w:basedOn w:val="TableNormal"/>
    <w:uiPriority w:val="39"/>
    <w:rsid w:val="009036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9818677">
      <w:bodyDiv w:val="1"/>
      <w:marLeft w:val="0"/>
      <w:marRight w:val="0"/>
      <w:marTop w:val="0"/>
      <w:marBottom w:val="0"/>
      <w:divBdr>
        <w:top w:val="none" w:sz="0" w:space="0" w:color="auto"/>
        <w:left w:val="none" w:sz="0" w:space="0" w:color="auto"/>
        <w:bottom w:val="none" w:sz="0" w:space="0" w:color="auto"/>
        <w:right w:val="none" w:sz="0" w:space="0" w:color="auto"/>
      </w:divBdr>
      <w:divsChild>
        <w:div w:id="901409411">
          <w:marLeft w:val="0"/>
          <w:marRight w:val="0"/>
          <w:marTop w:val="0"/>
          <w:marBottom w:val="0"/>
          <w:divBdr>
            <w:top w:val="none" w:sz="0" w:space="0" w:color="auto"/>
            <w:left w:val="none" w:sz="0" w:space="0" w:color="auto"/>
            <w:bottom w:val="none" w:sz="0" w:space="0" w:color="auto"/>
            <w:right w:val="none" w:sz="0" w:space="0" w:color="auto"/>
          </w:divBdr>
          <w:divsChild>
            <w:div w:id="833028858">
              <w:marLeft w:val="0"/>
              <w:marRight w:val="0"/>
              <w:marTop w:val="0"/>
              <w:marBottom w:val="0"/>
              <w:divBdr>
                <w:top w:val="none" w:sz="0" w:space="0" w:color="auto"/>
                <w:left w:val="none" w:sz="0" w:space="0" w:color="auto"/>
                <w:bottom w:val="none" w:sz="0" w:space="0" w:color="auto"/>
                <w:right w:val="none" w:sz="0" w:space="0" w:color="auto"/>
              </w:divBdr>
              <w:divsChild>
                <w:div w:id="2019110406">
                  <w:marLeft w:val="0"/>
                  <w:marRight w:val="0"/>
                  <w:marTop w:val="0"/>
                  <w:marBottom w:val="0"/>
                  <w:divBdr>
                    <w:top w:val="none" w:sz="0" w:space="0" w:color="auto"/>
                    <w:left w:val="none" w:sz="0" w:space="0" w:color="auto"/>
                    <w:bottom w:val="none" w:sz="0" w:space="0" w:color="auto"/>
                    <w:right w:val="none" w:sz="0" w:space="0" w:color="auto"/>
                  </w:divBdr>
                  <w:divsChild>
                    <w:div w:id="137770695">
                      <w:marLeft w:val="0"/>
                      <w:marRight w:val="0"/>
                      <w:marTop w:val="0"/>
                      <w:marBottom w:val="0"/>
                      <w:divBdr>
                        <w:top w:val="none" w:sz="0" w:space="0" w:color="auto"/>
                        <w:left w:val="none" w:sz="0" w:space="0" w:color="auto"/>
                        <w:bottom w:val="none" w:sz="0" w:space="0" w:color="auto"/>
                        <w:right w:val="none" w:sz="0" w:space="0" w:color="auto"/>
                      </w:divBdr>
                      <w:divsChild>
                        <w:div w:id="285814110">
                          <w:marLeft w:val="0"/>
                          <w:marRight w:val="0"/>
                          <w:marTop w:val="0"/>
                          <w:marBottom w:val="0"/>
                          <w:divBdr>
                            <w:top w:val="none" w:sz="0" w:space="0" w:color="auto"/>
                            <w:left w:val="none" w:sz="0" w:space="0" w:color="auto"/>
                            <w:bottom w:val="none" w:sz="0" w:space="0" w:color="auto"/>
                            <w:right w:val="none" w:sz="0" w:space="0" w:color="auto"/>
                          </w:divBdr>
                          <w:divsChild>
                            <w:div w:id="156344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6893136">
      <w:bodyDiv w:val="1"/>
      <w:marLeft w:val="0"/>
      <w:marRight w:val="0"/>
      <w:marTop w:val="0"/>
      <w:marBottom w:val="0"/>
      <w:divBdr>
        <w:top w:val="none" w:sz="0" w:space="0" w:color="auto"/>
        <w:left w:val="none" w:sz="0" w:space="0" w:color="auto"/>
        <w:bottom w:val="none" w:sz="0" w:space="0" w:color="auto"/>
        <w:right w:val="none" w:sz="0" w:space="0" w:color="auto"/>
      </w:divBdr>
    </w:div>
    <w:div w:id="1610160845">
      <w:bodyDiv w:val="1"/>
      <w:marLeft w:val="0"/>
      <w:marRight w:val="0"/>
      <w:marTop w:val="0"/>
      <w:marBottom w:val="0"/>
      <w:divBdr>
        <w:top w:val="none" w:sz="0" w:space="0" w:color="auto"/>
        <w:left w:val="none" w:sz="0" w:space="0" w:color="auto"/>
        <w:bottom w:val="none" w:sz="0" w:space="0" w:color="auto"/>
        <w:right w:val="none" w:sz="0" w:space="0" w:color="auto"/>
      </w:divBdr>
      <w:divsChild>
        <w:div w:id="784425810">
          <w:marLeft w:val="0"/>
          <w:marRight w:val="0"/>
          <w:marTop w:val="0"/>
          <w:marBottom w:val="0"/>
          <w:divBdr>
            <w:top w:val="none" w:sz="0" w:space="0" w:color="auto"/>
            <w:left w:val="none" w:sz="0" w:space="0" w:color="auto"/>
            <w:bottom w:val="none" w:sz="0" w:space="0" w:color="auto"/>
            <w:right w:val="none" w:sz="0" w:space="0" w:color="auto"/>
          </w:divBdr>
          <w:divsChild>
            <w:div w:id="392969021">
              <w:marLeft w:val="0"/>
              <w:marRight w:val="0"/>
              <w:marTop w:val="0"/>
              <w:marBottom w:val="0"/>
              <w:divBdr>
                <w:top w:val="none" w:sz="0" w:space="0" w:color="auto"/>
                <w:left w:val="none" w:sz="0" w:space="0" w:color="auto"/>
                <w:bottom w:val="none" w:sz="0" w:space="0" w:color="auto"/>
                <w:right w:val="none" w:sz="0" w:space="0" w:color="auto"/>
              </w:divBdr>
              <w:divsChild>
                <w:div w:id="811093582">
                  <w:marLeft w:val="0"/>
                  <w:marRight w:val="0"/>
                  <w:marTop w:val="0"/>
                  <w:marBottom w:val="0"/>
                  <w:divBdr>
                    <w:top w:val="none" w:sz="0" w:space="0" w:color="auto"/>
                    <w:left w:val="none" w:sz="0" w:space="0" w:color="auto"/>
                    <w:bottom w:val="none" w:sz="0" w:space="0" w:color="auto"/>
                    <w:right w:val="none" w:sz="0" w:space="0" w:color="auto"/>
                  </w:divBdr>
                  <w:divsChild>
                    <w:div w:id="1744373558">
                      <w:marLeft w:val="0"/>
                      <w:marRight w:val="0"/>
                      <w:marTop w:val="0"/>
                      <w:marBottom w:val="0"/>
                      <w:divBdr>
                        <w:top w:val="none" w:sz="0" w:space="0" w:color="auto"/>
                        <w:left w:val="none" w:sz="0" w:space="0" w:color="auto"/>
                        <w:bottom w:val="none" w:sz="0" w:space="0" w:color="auto"/>
                        <w:right w:val="none" w:sz="0" w:space="0" w:color="auto"/>
                      </w:divBdr>
                      <w:divsChild>
                        <w:div w:id="294411140">
                          <w:marLeft w:val="0"/>
                          <w:marRight w:val="0"/>
                          <w:marTop w:val="0"/>
                          <w:marBottom w:val="0"/>
                          <w:divBdr>
                            <w:top w:val="none" w:sz="0" w:space="0" w:color="auto"/>
                            <w:left w:val="none" w:sz="0" w:space="0" w:color="auto"/>
                            <w:bottom w:val="none" w:sz="0" w:space="0" w:color="auto"/>
                            <w:right w:val="none" w:sz="0" w:space="0" w:color="auto"/>
                          </w:divBdr>
                          <w:divsChild>
                            <w:div w:id="189781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5952346">
      <w:bodyDiv w:val="1"/>
      <w:marLeft w:val="0"/>
      <w:marRight w:val="0"/>
      <w:marTop w:val="0"/>
      <w:marBottom w:val="0"/>
      <w:divBdr>
        <w:top w:val="none" w:sz="0" w:space="0" w:color="auto"/>
        <w:left w:val="none" w:sz="0" w:space="0" w:color="auto"/>
        <w:bottom w:val="none" w:sz="0" w:space="0" w:color="auto"/>
        <w:right w:val="none" w:sz="0" w:space="0" w:color="auto"/>
      </w:divBdr>
      <w:divsChild>
        <w:div w:id="31463482">
          <w:marLeft w:val="0"/>
          <w:marRight w:val="0"/>
          <w:marTop w:val="0"/>
          <w:marBottom w:val="0"/>
          <w:divBdr>
            <w:top w:val="none" w:sz="0" w:space="0" w:color="auto"/>
            <w:left w:val="none" w:sz="0" w:space="0" w:color="auto"/>
            <w:bottom w:val="none" w:sz="0" w:space="0" w:color="auto"/>
            <w:right w:val="none" w:sz="0" w:space="0" w:color="auto"/>
          </w:divBdr>
          <w:divsChild>
            <w:div w:id="995493945">
              <w:marLeft w:val="0"/>
              <w:marRight w:val="0"/>
              <w:marTop w:val="0"/>
              <w:marBottom w:val="0"/>
              <w:divBdr>
                <w:top w:val="none" w:sz="0" w:space="0" w:color="auto"/>
                <w:left w:val="none" w:sz="0" w:space="0" w:color="auto"/>
                <w:bottom w:val="none" w:sz="0" w:space="0" w:color="auto"/>
                <w:right w:val="none" w:sz="0" w:space="0" w:color="auto"/>
              </w:divBdr>
              <w:divsChild>
                <w:div w:id="816654871">
                  <w:marLeft w:val="0"/>
                  <w:marRight w:val="0"/>
                  <w:marTop w:val="0"/>
                  <w:marBottom w:val="0"/>
                  <w:divBdr>
                    <w:top w:val="none" w:sz="0" w:space="0" w:color="auto"/>
                    <w:left w:val="none" w:sz="0" w:space="0" w:color="auto"/>
                    <w:bottom w:val="none" w:sz="0" w:space="0" w:color="auto"/>
                    <w:right w:val="none" w:sz="0" w:space="0" w:color="auto"/>
                  </w:divBdr>
                  <w:divsChild>
                    <w:div w:id="533621542">
                      <w:marLeft w:val="0"/>
                      <w:marRight w:val="0"/>
                      <w:marTop w:val="0"/>
                      <w:marBottom w:val="0"/>
                      <w:divBdr>
                        <w:top w:val="none" w:sz="0" w:space="0" w:color="auto"/>
                        <w:left w:val="none" w:sz="0" w:space="0" w:color="auto"/>
                        <w:bottom w:val="none" w:sz="0" w:space="0" w:color="auto"/>
                        <w:right w:val="none" w:sz="0" w:space="0" w:color="auto"/>
                      </w:divBdr>
                      <w:divsChild>
                        <w:div w:id="2074428178">
                          <w:marLeft w:val="0"/>
                          <w:marRight w:val="0"/>
                          <w:marTop w:val="0"/>
                          <w:marBottom w:val="0"/>
                          <w:divBdr>
                            <w:top w:val="none" w:sz="0" w:space="0" w:color="auto"/>
                            <w:left w:val="none" w:sz="0" w:space="0" w:color="auto"/>
                            <w:bottom w:val="none" w:sz="0" w:space="0" w:color="auto"/>
                            <w:right w:val="none" w:sz="0" w:space="0" w:color="auto"/>
                          </w:divBdr>
                          <w:divsChild>
                            <w:div w:id="199586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9653167">
      <w:bodyDiv w:val="1"/>
      <w:marLeft w:val="0"/>
      <w:marRight w:val="0"/>
      <w:marTop w:val="0"/>
      <w:marBottom w:val="0"/>
      <w:divBdr>
        <w:top w:val="none" w:sz="0" w:space="0" w:color="auto"/>
        <w:left w:val="none" w:sz="0" w:space="0" w:color="auto"/>
        <w:bottom w:val="none" w:sz="0" w:space="0" w:color="auto"/>
        <w:right w:val="none" w:sz="0" w:space="0" w:color="auto"/>
      </w:divBdr>
      <w:divsChild>
        <w:div w:id="1485003919">
          <w:marLeft w:val="0"/>
          <w:marRight w:val="0"/>
          <w:marTop w:val="0"/>
          <w:marBottom w:val="0"/>
          <w:divBdr>
            <w:top w:val="none" w:sz="0" w:space="0" w:color="auto"/>
            <w:left w:val="none" w:sz="0" w:space="0" w:color="auto"/>
            <w:bottom w:val="none" w:sz="0" w:space="0" w:color="auto"/>
            <w:right w:val="none" w:sz="0" w:space="0" w:color="auto"/>
          </w:divBdr>
          <w:divsChild>
            <w:div w:id="2143187194">
              <w:marLeft w:val="0"/>
              <w:marRight w:val="0"/>
              <w:marTop w:val="0"/>
              <w:marBottom w:val="0"/>
              <w:divBdr>
                <w:top w:val="none" w:sz="0" w:space="0" w:color="auto"/>
                <w:left w:val="none" w:sz="0" w:space="0" w:color="auto"/>
                <w:bottom w:val="none" w:sz="0" w:space="0" w:color="auto"/>
                <w:right w:val="none" w:sz="0" w:space="0" w:color="auto"/>
              </w:divBdr>
              <w:divsChild>
                <w:div w:id="1315917909">
                  <w:marLeft w:val="0"/>
                  <w:marRight w:val="0"/>
                  <w:marTop w:val="0"/>
                  <w:marBottom w:val="0"/>
                  <w:divBdr>
                    <w:top w:val="none" w:sz="0" w:space="0" w:color="auto"/>
                    <w:left w:val="none" w:sz="0" w:space="0" w:color="auto"/>
                    <w:bottom w:val="none" w:sz="0" w:space="0" w:color="auto"/>
                    <w:right w:val="none" w:sz="0" w:space="0" w:color="auto"/>
                  </w:divBdr>
                  <w:divsChild>
                    <w:div w:id="937444549">
                      <w:marLeft w:val="0"/>
                      <w:marRight w:val="0"/>
                      <w:marTop w:val="0"/>
                      <w:marBottom w:val="0"/>
                      <w:divBdr>
                        <w:top w:val="none" w:sz="0" w:space="0" w:color="auto"/>
                        <w:left w:val="none" w:sz="0" w:space="0" w:color="auto"/>
                        <w:bottom w:val="none" w:sz="0" w:space="0" w:color="auto"/>
                        <w:right w:val="none" w:sz="0" w:space="0" w:color="auto"/>
                      </w:divBdr>
                      <w:divsChild>
                        <w:div w:id="1575359030">
                          <w:marLeft w:val="0"/>
                          <w:marRight w:val="0"/>
                          <w:marTop w:val="0"/>
                          <w:marBottom w:val="0"/>
                          <w:divBdr>
                            <w:top w:val="none" w:sz="0" w:space="0" w:color="auto"/>
                            <w:left w:val="none" w:sz="0" w:space="0" w:color="auto"/>
                            <w:bottom w:val="none" w:sz="0" w:space="0" w:color="auto"/>
                            <w:right w:val="none" w:sz="0" w:space="0" w:color="auto"/>
                          </w:divBdr>
                          <w:divsChild>
                            <w:div w:id="180068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hart" Target="charts/chart2.xml"/><Relationship Id="rId18" Type="http://schemas.openxmlformats.org/officeDocument/2006/relationships/chart" Target="charts/chart7.xml"/><Relationship Id="rId3" Type="http://schemas.openxmlformats.org/officeDocument/2006/relationships/settings" Target="settings.xml"/><Relationship Id="rId21" Type="http://schemas.openxmlformats.org/officeDocument/2006/relationships/glossaryDocument" Target="glossary/document.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chart" Target="charts/chart6.xml"/><Relationship Id="rId2" Type="http://schemas.openxmlformats.org/officeDocument/2006/relationships/styles" Target="styles.xml"/><Relationship Id="rId16" Type="http://schemas.openxmlformats.org/officeDocument/2006/relationships/chart" Target="charts/chart5.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0.png"/><Relationship Id="rId5" Type="http://schemas.openxmlformats.org/officeDocument/2006/relationships/footnotes" Target="footnotes.xml"/><Relationship Id="rId15" Type="http://schemas.openxmlformats.org/officeDocument/2006/relationships/chart" Target="charts/chart4.xml"/><Relationship Id="rId10" Type="http://schemas.microsoft.com/office/2014/relationships/chartEx" Target="charts/chartEx1.xml"/><Relationship Id="rId19" Type="http://schemas.openxmlformats.org/officeDocument/2006/relationships/chart" Target="charts/chart8.xml"/><Relationship Id="rId4" Type="http://schemas.openxmlformats.org/officeDocument/2006/relationships/webSettings" Target="webSettings.xml"/><Relationship Id="rId9" Type="http://schemas.openxmlformats.org/officeDocument/2006/relationships/chart" Target="charts/chart1.xml"/><Relationship Id="rId14" Type="http://schemas.openxmlformats.org/officeDocument/2006/relationships/chart" Target="charts/chart3.xm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Admin\AppData\Roaming\Microsoft\Excel\Asm1%20(version%201).xlsb"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dmin\Documents\Business%20Analytis\Asm1.xlsx" TargetMode="External"/><Relationship Id="rId2" Type="http://schemas.microsoft.com/office/2011/relationships/chartColorStyle" Target="colors3.xml"/><Relationship Id="rId1" Type="http://schemas.microsoft.com/office/2011/relationships/chartStyle" Target="style3.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dmin\Documents\Business%20Analytis\Asm1.xlsx" TargetMode="External"/><Relationship Id="rId2" Type="http://schemas.microsoft.com/office/2011/relationships/chartColorStyle" Target="colors4.xml"/><Relationship Id="rId1" Type="http://schemas.microsoft.com/office/2011/relationships/chartStyle" Target="style4.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Admin\Documents\Business%20Analytis\Asm1.xlsx" TargetMode="External"/><Relationship Id="rId2" Type="http://schemas.microsoft.com/office/2011/relationships/chartColorStyle" Target="colors5.xml"/><Relationship Id="rId1" Type="http://schemas.microsoft.com/office/2011/relationships/chartStyle" Target="style5.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Admin\Documents\Business%20Analytis\Asm1.xlsx" TargetMode="External"/><Relationship Id="rId2" Type="http://schemas.microsoft.com/office/2011/relationships/chartColorStyle" Target="colors6.xml"/><Relationship Id="rId1" Type="http://schemas.microsoft.com/office/2011/relationships/chartStyle" Target="style6.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Admin\Documents\Business%20Analytis\Asm1.xlsx" TargetMode="External"/><Relationship Id="rId2" Type="http://schemas.microsoft.com/office/2011/relationships/chartColorStyle" Target="colors7.xml"/><Relationship Id="rId1" Type="http://schemas.microsoft.com/office/2011/relationships/chartStyle" Target="style7.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Admin\Documents\Business%20Analytis\Asm1.xlsx" TargetMode="External"/><Relationship Id="rId2" Type="http://schemas.microsoft.com/office/2011/relationships/chartColorStyle" Target="colors8.xml"/><Relationship Id="rId1" Type="http://schemas.microsoft.com/office/2011/relationships/chartStyle" Target="style8.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Admin\Documents\Business%20Analytis\Asm1.xlsx" TargetMode="External"/><Relationship Id="rId2" Type="http://schemas.microsoft.com/office/2011/relationships/chartColorStyle" Target="colors9.xml"/><Relationship Id="rId1" Type="http://schemas.microsoft.com/office/2011/relationships/chartStyle" Target="style9.xml"/></Relationships>
</file>

<file path=word/charts/_rels/chartEx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Admin\AppData\Roaming\Microsoft\Excel\Asm1%20(version%201).xlsb"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'Chart 1'!$M$2</c:f>
              <c:strCache>
                <c:ptCount val="1"/>
                <c:pt idx="0">
                  <c:v>Two car parks</c:v>
                </c:pt>
              </c:strCache>
            </c:strRef>
          </c:tx>
          <c:spPr>
            <a:solidFill>
              <a:schemeClr val="accent1"/>
            </a:solidFill>
            <a:ln>
              <a:noFill/>
            </a:ln>
            <a:effectLst/>
          </c:spPr>
          <c:invertIfNegative val="0"/>
          <c:cat>
            <c:strRef>
              <c:f>'Chart 1'!$L$3:$L$9</c:f>
              <c:strCache>
                <c:ptCount val="7"/>
                <c:pt idx="0">
                  <c:v>1-1.99</c:v>
                </c:pt>
                <c:pt idx="1">
                  <c:v>2-2.99</c:v>
                </c:pt>
                <c:pt idx="2">
                  <c:v>3-3.99</c:v>
                </c:pt>
                <c:pt idx="3">
                  <c:v>4-4.99</c:v>
                </c:pt>
                <c:pt idx="4">
                  <c:v>5-5.99</c:v>
                </c:pt>
                <c:pt idx="5">
                  <c:v>6-6.99</c:v>
                </c:pt>
                <c:pt idx="6">
                  <c:v>7-7.99</c:v>
                </c:pt>
              </c:strCache>
            </c:strRef>
          </c:cat>
          <c:val>
            <c:numRef>
              <c:f>'Chart 1'!$M$3:$M$9</c:f>
              <c:numCache>
                <c:formatCode>General</c:formatCode>
                <c:ptCount val="7"/>
                <c:pt idx="0">
                  <c:v>94</c:v>
                </c:pt>
                <c:pt idx="1">
                  <c:v>45</c:v>
                </c:pt>
                <c:pt idx="2">
                  <c:v>21</c:v>
                </c:pt>
                <c:pt idx="3">
                  <c:v>6</c:v>
                </c:pt>
                <c:pt idx="4">
                  <c:v>2</c:v>
                </c:pt>
                <c:pt idx="5">
                  <c:v>1</c:v>
                </c:pt>
                <c:pt idx="6">
                  <c:v>0</c:v>
                </c:pt>
              </c:numCache>
            </c:numRef>
          </c:val>
          <c:extLst>
            <c:ext xmlns:c16="http://schemas.microsoft.com/office/drawing/2014/chart" uri="{C3380CC4-5D6E-409C-BE32-E72D297353CC}">
              <c16:uniqueId val="{00000000-C5E5-4533-8C55-B1371BB5D813}"/>
            </c:ext>
          </c:extLst>
        </c:ser>
        <c:ser>
          <c:idx val="1"/>
          <c:order val="1"/>
          <c:tx>
            <c:strRef>
              <c:f>'Chart 1'!$N$2</c:f>
              <c:strCache>
                <c:ptCount val="1"/>
                <c:pt idx="0">
                  <c:v>More than two car parks</c:v>
                </c:pt>
              </c:strCache>
            </c:strRef>
          </c:tx>
          <c:spPr>
            <a:solidFill>
              <a:schemeClr val="accent2"/>
            </a:solidFill>
            <a:ln>
              <a:noFill/>
            </a:ln>
            <a:effectLst/>
          </c:spPr>
          <c:invertIfNegative val="0"/>
          <c:cat>
            <c:strRef>
              <c:f>'Chart 1'!$L$3:$L$9</c:f>
              <c:strCache>
                <c:ptCount val="7"/>
                <c:pt idx="0">
                  <c:v>1-1.99</c:v>
                </c:pt>
                <c:pt idx="1">
                  <c:v>2-2.99</c:v>
                </c:pt>
                <c:pt idx="2">
                  <c:v>3-3.99</c:v>
                </c:pt>
                <c:pt idx="3">
                  <c:v>4-4.99</c:v>
                </c:pt>
                <c:pt idx="4">
                  <c:v>5-5.99</c:v>
                </c:pt>
                <c:pt idx="5">
                  <c:v>6-6.99</c:v>
                </c:pt>
                <c:pt idx="6">
                  <c:v>7-7.99</c:v>
                </c:pt>
              </c:strCache>
            </c:strRef>
          </c:cat>
          <c:val>
            <c:numRef>
              <c:f>'Chart 1'!$N$3:$N$9</c:f>
              <c:numCache>
                <c:formatCode>General</c:formatCode>
                <c:ptCount val="7"/>
                <c:pt idx="0">
                  <c:v>24</c:v>
                </c:pt>
                <c:pt idx="1">
                  <c:v>8</c:v>
                </c:pt>
                <c:pt idx="2">
                  <c:v>3</c:v>
                </c:pt>
                <c:pt idx="3">
                  <c:v>6</c:v>
                </c:pt>
                <c:pt idx="4">
                  <c:v>1</c:v>
                </c:pt>
                <c:pt idx="5">
                  <c:v>0</c:v>
                </c:pt>
                <c:pt idx="6">
                  <c:v>1</c:v>
                </c:pt>
              </c:numCache>
            </c:numRef>
          </c:val>
          <c:extLst>
            <c:ext xmlns:c16="http://schemas.microsoft.com/office/drawing/2014/chart" uri="{C3380CC4-5D6E-409C-BE32-E72D297353CC}">
              <c16:uniqueId val="{00000001-C5E5-4533-8C55-B1371BB5D813}"/>
            </c:ext>
          </c:extLst>
        </c:ser>
        <c:dLbls>
          <c:showLegendKey val="0"/>
          <c:showVal val="0"/>
          <c:showCatName val="0"/>
          <c:showSerName val="0"/>
          <c:showPercent val="0"/>
          <c:showBubbleSize val="0"/>
        </c:dLbls>
        <c:gapWidth val="219"/>
        <c:overlap val="-27"/>
        <c:axId val="210466896"/>
        <c:axId val="210467376"/>
      </c:barChart>
      <c:catAx>
        <c:axId val="2104668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Price</a:t>
                </a:r>
                <a:r>
                  <a:rPr lang="en-US" baseline="0"/>
                  <a:t> in millions</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0467376"/>
        <c:crosses val="autoZero"/>
        <c:auto val="1"/>
        <c:lblAlgn val="ctr"/>
        <c:lblOffset val="100"/>
        <c:noMultiLvlLbl val="0"/>
      </c:catAx>
      <c:valAx>
        <c:axId val="2104673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aseline="0"/>
                  <a:t> Number of houses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04668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Brunswick</a:t>
            </a:r>
            <a:r>
              <a:rPr lang="en-US" baseline="0"/>
              <a:t> East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'Scattler Plot'!$C$1</c:f>
              <c:strCache>
                <c:ptCount val="1"/>
                <c:pt idx="0">
                  <c:v>Landsize</c:v>
                </c:pt>
              </c:strCache>
            </c:strRef>
          </c:tx>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'Scattler Plot'!$B$2:$B$430</c:f>
              <c:numCache>
                <c:formatCode>General</c:formatCode>
                <c:ptCount val="52"/>
                <c:pt idx="0">
                  <c:v>1310000</c:v>
                </c:pt>
                <c:pt idx="1">
                  <c:v>856000</c:v>
                </c:pt>
                <c:pt idx="2">
                  <c:v>580000</c:v>
                </c:pt>
                <c:pt idx="3">
                  <c:v>940000</c:v>
                </c:pt>
                <c:pt idx="4">
                  <c:v>1495000</c:v>
                </c:pt>
                <c:pt idx="5">
                  <c:v>1550000</c:v>
                </c:pt>
                <c:pt idx="6">
                  <c:v>1815000</c:v>
                </c:pt>
                <c:pt idx="7">
                  <c:v>1625000</c:v>
                </c:pt>
                <c:pt idx="8">
                  <c:v>899000</c:v>
                </c:pt>
                <c:pt idx="9">
                  <c:v>435000</c:v>
                </c:pt>
                <c:pt idx="10">
                  <c:v>1080000</c:v>
                </c:pt>
                <c:pt idx="11">
                  <c:v>656000</c:v>
                </c:pt>
                <c:pt idx="12">
                  <c:v>1574000</c:v>
                </c:pt>
                <c:pt idx="13">
                  <c:v>665000</c:v>
                </c:pt>
                <c:pt idx="14">
                  <c:v>590000</c:v>
                </c:pt>
                <c:pt idx="15">
                  <c:v>1679000</c:v>
                </c:pt>
                <c:pt idx="16">
                  <c:v>1050000</c:v>
                </c:pt>
                <c:pt idx="17">
                  <c:v>825000</c:v>
                </c:pt>
                <c:pt idx="18">
                  <c:v>998000</c:v>
                </c:pt>
                <c:pt idx="19">
                  <c:v>1010000</c:v>
                </c:pt>
                <c:pt idx="20">
                  <c:v>1050000</c:v>
                </c:pt>
                <c:pt idx="21">
                  <c:v>1600000</c:v>
                </c:pt>
                <c:pt idx="22">
                  <c:v>1325000</c:v>
                </c:pt>
                <c:pt idx="23">
                  <c:v>1335000</c:v>
                </c:pt>
                <c:pt idx="24">
                  <c:v>805000</c:v>
                </c:pt>
                <c:pt idx="25">
                  <c:v>1310000</c:v>
                </c:pt>
                <c:pt idx="26">
                  <c:v>1283000</c:v>
                </c:pt>
                <c:pt idx="27">
                  <c:v>1015000</c:v>
                </c:pt>
                <c:pt idx="28">
                  <c:v>435000</c:v>
                </c:pt>
                <c:pt idx="29">
                  <c:v>835000</c:v>
                </c:pt>
                <c:pt idx="30">
                  <c:v>1500000</c:v>
                </c:pt>
                <c:pt idx="31">
                  <c:v>1105000</c:v>
                </c:pt>
                <c:pt idx="32">
                  <c:v>1210000</c:v>
                </c:pt>
                <c:pt idx="33">
                  <c:v>1330000</c:v>
                </c:pt>
                <c:pt idx="34">
                  <c:v>937000</c:v>
                </c:pt>
                <c:pt idx="35">
                  <c:v>290000</c:v>
                </c:pt>
                <c:pt idx="36">
                  <c:v>702500</c:v>
                </c:pt>
                <c:pt idx="37">
                  <c:v>390500</c:v>
                </c:pt>
                <c:pt idx="38">
                  <c:v>620000</c:v>
                </c:pt>
                <c:pt idx="39">
                  <c:v>683000</c:v>
                </c:pt>
                <c:pt idx="40">
                  <c:v>501000</c:v>
                </c:pt>
                <c:pt idx="41">
                  <c:v>615000</c:v>
                </c:pt>
                <c:pt idx="42">
                  <c:v>950000</c:v>
                </c:pt>
                <c:pt idx="43">
                  <c:v>320000</c:v>
                </c:pt>
                <c:pt idx="44">
                  <c:v>959000</c:v>
                </c:pt>
                <c:pt idx="45">
                  <c:v>1200000</c:v>
                </c:pt>
                <c:pt idx="46">
                  <c:v>1326000</c:v>
                </c:pt>
                <c:pt idx="47">
                  <c:v>907000</c:v>
                </c:pt>
                <c:pt idx="48">
                  <c:v>1475000</c:v>
                </c:pt>
                <c:pt idx="49">
                  <c:v>1895000</c:v>
                </c:pt>
                <c:pt idx="50">
                  <c:v>1190000</c:v>
                </c:pt>
                <c:pt idx="51">
                  <c:v>2300000</c:v>
                </c:pt>
              </c:numCache>
            </c:numRef>
          </c:xVal>
          <c:yVal>
            <c:numRef>
              <c:f>'Scattler Plot'!$C$2:$C$430</c:f>
              <c:numCache>
                <c:formatCode>General</c:formatCode>
                <c:ptCount val="52"/>
                <c:pt idx="0">
                  <c:v>456</c:v>
                </c:pt>
                <c:pt idx="1">
                  <c:v>136</c:v>
                </c:pt>
                <c:pt idx="2">
                  <c:v>0</c:v>
                </c:pt>
                <c:pt idx="3">
                  <c:v>213</c:v>
                </c:pt>
                <c:pt idx="4">
                  <c:v>259</c:v>
                </c:pt>
                <c:pt idx="5">
                  <c:v>470</c:v>
                </c:pt>
                <c:pt idx="6">
                  <c:v>233</c:v>
                </c:pt>
                <c:pt idx="7">
                  <c:v>822</c:v>
                </c:pt>
                <c:pt idx="8">
                  <c:v>116</c:v>
                </c:pt>
                <c:pt idx="9">
                  <c:v>197</c:v>
                </c:pt>
                <c:pt idx="10">
                  <c:v>193</c:v>
                </c:pt>
                <c:pt idx="11">
                  <c:v>0</c:v>
                </c:pt>
                <c:pt idx="12">
                  <c:v>336</c:v>
                </c:pt>
                <c:pt idx="13">
                  <c:v>0</c:v>
                </c:pt>
                <c:pt idx="14">
                  <c:v>0</c:v>
                </c:pt>
                <c:pt idx="15">
                  <c:v>326</c:v>
                </c:pt>
                <c:pt idx="16">
                  <c:v>87</c:v>
                </c:pt>
                <c:pt idx="17">
                  <c:v>213</c:v>
                </c:pt>
                <c:pt idx="18">
                  <c:v>104</c:v>
                </c:pt>
                <c:pt idx="19">
                  <c:v>0</c:v>
                </c:pt>
                <c:pt idx="20">
                  <c:v>279</c:v>
                </c:pt>
                <c:pt idx="21">
                  <c:v>812</c:v>
                </c:pt>
                <c:pt idx="22">
                  <c:v>190</c:v>
                </c:pt>
                <c:pt idx="23">
                  <c:v>308</c:v>
                </c:pt>
                <c:pt idx="24">
                  <c:v>0</c:v>
                </c:pt>
                <c:pt idx="25">
                  <c:v>449</c:v>
                </c:pt>
                <c:pt idx="26">
                  <c:v>263</c:v>
                </c:pt>
                <c:pt idx="27">
                  <c:v>137</c:v>
                </c:pt>
                <c:pt idx="28">
                  <c:v>0</c:v>
                </c:pt>
                <c:pt idx="29">
                  <c:v>0</c:v>
                </c:pt>
                <c:pt idx="30">
                  <c:v>446</c:v>
                </c:pt>
                <c:pt idx="31">
                  <c:v>173</c:v>
                </c:pt>
                <c:pt idx="32">
                  <c:v>425</c:v>
                </c:pt>
                <c:pt idx="33">
                  <c:v>161</c:v>
                </c:pt>
                <c:pt idx="34">
                  <c:v>110</c:v>
                </c:pt>
                <c:pt idx="35">
                  <c:v>197</c:v>
                </c:pt>
                <c:pt idx="36">
                  <c:v>65</c:v>
                </c:pt>
                <c:pt idx="37">
                  <c:v>0</c:v>
                </c:pt>
                <c:pt idx="38">
                  <c:v>123</c:v>
                </c:pt>
                <c:pt idx="39">
                  <c:v>0</c:v>
                </c:pt>
                <c:pt idx="40">
                  <c:v>71</c:v>
                </c:pt>
                <c:pt idx="41">
                  <c:v>0</c:v>
                </c:pt>
                <c:pt idx="42">
                  <c:v>224</c:v>
                </c:pt>
                <c:pt idx="43">
                  <c:v>682</c:v>
                </c:pt>
                <c:pt idx="44">
                  <c:v>138</c:v>
                </c:pt>
                <c:pt idx="45">
                  <c:v>182</c:v>
                </c:pt>
                <c:pt idx="46">
                  <c:v>217</c:v>
                </c:pt>
                <c:pt idx="47">
                  <c:v>132</c:v>
                </c:pt>
                <c:pt idx="48">
                  <c:v>216</c:v>
                </c:pt>
                <c:pt idx="49">
                  <c:v>451</c:v>
                </c:pt>
                <c:pt idx="50">
                  <c:v>160</c:v>
                </c:pt>
                <c:pt idx="51">
                  <c:v>416</c:v>
                </c:pt>
              </c:numCache>
            </c:numRef>
          </c:yVal>
          <c:smooth val="0"/>
          <c:extLst>
            <c:ext xmlns:c16="http://schemas.microsoft.com/office/drawing/2014/chart" uri="{C3380CC4-5D6E-409C-BE32-E72D297353CC}">
              <c16:uniqueId val="{00000001-8701-4C62-A728-CB18133DE872}"/>
            </c:ext>
          </c:extLst>
        </c:ser>
        <c:dLbls>
          <c:showLegendKey val="0"/>
          <c:showVal val="0"/>
          <c:showCatName val="0"/>
          <c:showSerName val="0"/>
          <c:showPercent val="0"/>
          <c:showBubbleSize val="0"/>
        </c:dLbls>
        <c:axId val="1344496463"/>
        <c:axId val="1817611327"/>
      </c:scatterChart>
      <c:valAx>
        <c:axId val="134449646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Price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7611327"/>
        <c:crosses val="autoZero"/>
        <c:crossBetween val="midCat"/>
        <c:dispUnits>
          <c:builtInUnit val="millions"/>
          <c:dispUnitsLbl>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valAx>
        <c:axId val="181761132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Landsize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4496463"/>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Kew</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Kew!$C$1</c:f>
              <c:strCache>
                <c:ptCount val="1"/>
                <c:pt idx="0">
                  <c:v>Landsize</c:v>
                </c:pt>
              </c:strCache>
            </c:strRef>
          </c:tx>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Kew!$B$2:$B$432</c:f>
              <c:numCache>
                <c:formatCode>General</c:formatCode>
                <c:ptCount val="102"/>
                <c:pt idx="0">
                  <c:v>610000</c:v>
                </c:pt>
                <c:pt idx="1">
                  <c:v>882000</c:v>
                </c:pt>
                <c:pt idx="2">
                  <c:v>3550000</c:v>
                </c:pt>
                <c:pt idx="3">
                  <c:v>1326000</c:v>
                </c:pt>
                <c:pt idx="4">
                  <c:v>1950000</c:v>
                </c:pt>
                <c:pt idx="5">
                  <c:v>2550000</c:v>
                </c:pt>
                <c:pt idx="6">
                  <c:v>1878000</c:v>
                </c:pt>
                <c:pt idx="7">
                  <c:v>1910000</c:v>
                </c:pt>
                <c:pt idx="8">
                  <c:v>1410000</c:v>
                </c:pt>
                <c:pt idx="9">
                  <c:v>2310000</c:v>
                </c:pt>
                <c:pt idx="10">
                  <c:v>2315000</c:v>
                </c:pt>
                <c:pt idx="11">
                  <c:v>800000</c:v>
                </c:pt>
                <c:pt idx="12">
                  <c:v>4850000</c:v>
                </c:pt>
                <c:pt idx="13">
                  <c:v>6500000</c:v>
                </c:pt>
                <c:pt idx="14">
                  <c:v>580000</c:v>
                </c:pt>
                <c:pt idx="15">
                  <c:v>1905000</c:v>
                </c:pt>
                <c:pt idx="16">
                  <c:v>478000</c:v>
                </c:pt>
                <c:pt idx="17">
                  <c:v>672000</c:v>
                </c:pt>
                <c:pt idx="18">
                  <c:v>2286000</c:v>
                </c:pt>
                <c:pt idx="19">
                  <c:v>1575000</c:v>
                </c:pt>
                <c:pt idx="20">
                  <c:v>590000</c:v>
                </c:pt>
                <c:pt idx="21">
                  <c:v>2350000</c:v>
                </c:pt>
                <c:pt idx="22">
                  <c:v>1312000</c:v>
                </c:pt>
                <c:pt idx="23">
                  <c:v>890000</c:v>
                </c:pt>
                <c:pt idx="24">
                  <c:v>1331000</c:v>
                </c:pt>
                <c:pt idx="25">
                  <c:v>1800000</c:v>
                </c:pt>
                <c:pt idx="26">
                  <c:v>1476000</c:v>
                </c:pt>
                <c:pt idx="27">
                  <c:v>2590000</c:v>
                </c:pt>
                <c:pt idx="28">
                  <c:v>2625000</c:v>
                </c:pt>
                <c:pt idx="29">
                  <c:v>2265000</c:v>
                </c:pt>
                <c:pt idx="30">
                  <c:v>1975000</c:v>
                </c:pt>
                <c:pt idx="31">
                  <c:v>2550000</c:v>
                </c:pt>
                <c:pt idx="32">
                  <c:v>1330000</c:v>
                </c:pt>
                <c:pt idx="33">
                  <c:v>1450000</c:v>
                </c:pt>
                <c:pt idx="34">
                  <c:v>3650000</c:v>
                </c:pt>
                <c:pt idx="35">
                  <c:v>551000</c:v>
                </c:pt>
                <c:pt idx="36">
                  <c:v>2460000</c:v>
                </c:pt>
                <c:pt idx="37">
                  <c:v>2850000</c:v>
                </c:pt>
                <c:pt idx="38">
                  <c:v>2425000</c:v>
                </c:pt>
                <c:pt idx="39">
                  <c:v>610000</c:v>
                </c:pt>
                <c:pt idx="40">
                  <c:v>955000</c:v>
                </c:pt>
                <c:pt idx="41">
                  <c:v>707500</c:v>
                </c:pt>
                <c:pt idx="42">
                  <c:v>732000</c:v>
                </c:pt>
                <c:pt idx="43">
                  <c:v>2875000</c:v>
                </c:pt>
                <c:pt idx="44">
                  <c:v>1500000</c:v>
                </c:pt>
                <c:pt idx="45">
                  <c:v>1750000</c:v>
                </c:pt>
                <c:pt idx="46">
                  <c:v>1100000</c:v>
                </c:pt>
                <c:pt idx="47">
                  <c:v>1440000</c:v>
                </c:pt>
                <c:pt idx="48">
                  <c:v>2560000</c:v>
                </c:pt>
                <c:pt idx="49">
                  <c:v>2600000</c:v>
                </c:pt>
                <c:pt idx="50">
                  <c:v>3280000</c:v>
                </c:pt>
                <c:pt idx="51">
                  <c:v>620000</c:v>
                </c:pt>
                <c:pt idx="52">
                  <c:v>2600000</c:v>
                </c:pt>
                <c:pt idx="53">
                  <c:v>2800000</c:v>
                </c:pt>
                <c:pt idx="54">
                  <c:v>1420000</c:v>
                </c:pt>
                <c:pt idx="55">
                  <c:v>1800000</c:v>
                </c:pt>
                <c:pt idx="56">
                  <c:v>395000</c:v>
                </c:pt>
                <c:pt idx="57">
                  <c:v>2250000</c:v>
                </c:pt>
                <c:pt idx="58">
                  <c:v>3800000</c:v>
                </c:pt>
                <c:pt idx="59">
                  <c:v>752000</c:v>
                </c:pt>
                <c:pt idx="60">
                  <c:v>690000</c:v>
                </c:pt>
                <c:pt idx="61">
                  <c:v>2600000</c:v>
                </c:pt>
                <c:pt idx="62">
                  <c:v>4515000</c:v>
                </c:pt>
                <c:pt idx="63">
                  <c:v>820000</c:v>
                </c:pt>
                <c:pt idx="64">
                  <c:v>835000</c:v>
                </c:pt>
                <c:pt idx="65">
                  <c:v>942000</c:v>
                </c:pt>
                <c:pt idx="66">
                  <c:v>515000</c:v>
                </c:pt>
                <c:pt idx="67">
                  <c:v>3175000</c:v>
                </c:pt>
                <c:pt idx="68">
                  <c:v>825000</c:v>
                </c:pt>
                <c:pt idx="69">
                  <c:v>1410000</c:v>
                </c:pt>
                <c:pt idx="70">
                  <c:v>1510000</c:v>
                </c:pt>
                <c:pt idx="71">
                  <c:v>1007000</c:v>
                </c:pt>
                <c:pt idx="72">
                  <c:v>860000</c:v>
                </c:pt>
                <c:pt idx="73">
                  <c:v>1080000</c:v>
                </c:pt>
                <c:pt idx="74">
                  <c:v>591000</c:v>
                </c:pt>
                <c:pt idx="75">
                  <c:v>1405000</c:v>
                </c:pt>
                <c:pt idx="76">
                  <c:v>3015000</c:v>
                </c:pt>
                <c:pt idx="77">
                  <c:v>1690000</c:v>
                </c:pt>
                <c:pt idx="78">
                  <c:v>2180000</c:v>
                </c:pt>
                <c:pt idx="79">
                  <c:v>2450000</c:v>
                </c:pt>
                <c:pt idx="80">
                  <c:v>955000</c:v>
                </c:pt>
                <c:pt idx="81">
                  <c:v>1630000</c:v>
                </c:pt>
                <c:pt idx="82">
                  <c:v>3300000</c:v>
                </c:pt>
                <c:pt idx="83">
                  <c:v>1750000</c:v>
                </c:pt>
                <c:pt idx="84">
                  <c:v>3450000</c:v>
                </c:pt>
                <c:pt idx="85">
                  <c:v>1720000</c:v>
                </c:pt>
                <c:pt idx="86">
                  <c:v>1752000</c:v>
                </c:pt>
                <c:pt idx="87">
                  <c:v>2000000</c:v>
                </c:pt>
                <c:pt idx="88">
                  <c:v>3385000</c:v>
                </c:pt>
                <c:pt idx="89">
                  <c:v>1625000</c:v>
                </c:pt>
                <c:pt idx="90">
                  <c:v>2900000</c:v>
                </c:pt>
                <c:pt idx="91">
                  <c:v>2015000</c:v>
                </c:pt>
                <c:pt idx="92">
                  <c:v>1900000</c:v>
                </c:pt>
                <c:pt idx="93">
                  <c:v>5200000</c:v>
                </c:pt>
                <c:pt idx="94">
                  <c:v>3275000</c:v>
                </c:pt>
                <c:pt idx="95">
                  <c:v>2280000</c:v>
                </c:pt>
                <c:pt idx="96">
                  <c:v>2695000</c:v>
                </c:pt>
                <c:pt idx="97">
                  <c:v>1925000</c:v>
                </c:pt>
                <c:pt idx="98">
                  <c:v>2600000</c:v>
                </c:pt>
                <c:pt idx="99">
                  <c:v>3900000</c:v>
                </c:pt>
                <c:pt idx="100">
                  <c:v>1350000</c:v>
                </c:pt>
                <c:pt idx="101">
                  <c:v>2905000</c:v>
                </c:pt>
              </c:numCache>
            </c:numRef>
          </c:xVal>
          <c:yVal>
            <c:numRef>
              <c:f>Kew!$C$2:$C$432</c:f>
              <c:numCache>
                <c:formatCode>General</c:formatCode>
                <c:ptCount val="102"/>
                <c:pt idx="0">
                  <c:v>745</c:v>
                </c:pt>
                <c:pt idx="1">
                  <c:v>0</c:v>
                </c:pt>
                <c:pt idx="2">
                  <c:v>992</c:v>
                </c:pt>
                <c:pt idx="3">
                  <c:v>405</c:v>
                </c:pt>
                <c:pt idx="4">
                  <c:v>400</c:v>
                </c:pt>
                <c:pt idx="5">
                  <c:v>603</c:v>
                </c:pt>
                <c:pt idx="6">
                  <c:v>392</c:v>
                </c:pt>
                <c:pt idx="7">
                  <c:v>277</c:v>
                </c:pt>
                <c:pt idx="8">
                  <c:v>304</c:v>
                </c:pt>
                <c:pt idx="9">
                  <c:v>782</c:v>
                </c:pt>
                <c:pt idx="10">
                  <c:v>364</c:v>
                </c:pt>
                <c:pt idx="11">
                  <c:v>848</c:v>
                </c:pt>
                <c:pt idx="12">
                  <c:v>957</c:v>
                </c:pt>
                <c:pt idx="13">
                  <c:v>1334</c:v>
                </c:pt>
                <c:pt idx="14">
                  <c:v>0</c:v>
                </c:pt>
                <c:pt idx="15">
                  <c:v>591</c:v>
                </c:pt>
                <c:pt idx="16">
                  <c:v>0</c:v>
                </c:pt>
                <c:pt idx="17">
                  <c:v>0</c:v>
                </c:pt>
                <c:pt idx="18">
                  <c:v>712</c:v>
                </c:pt>
                <c:pt idx="19">
                  <c:v>397</c:v>
                </c:pt>
                <c:pt idx="20">
                  <c:v>0</c:v>
                </c:pt>
                <c:pt idx="21">
                  <c:v>861</c:v>
                </c:pt>
                <c:pt idx="22">
                  <c:v>687</c:v>
                </c:pt>
                <c:pt idx="23">
                  <c:v>89</c:v>
                </c:pt>
                <c:pt idx="24">
                  <c:v>424</c:v>
                </c:pt>
                <c:pt idx="25">
                  <c:v>586</c:v>
                </c:pt>
                <c:pt idx="26">
                  <c:v>288</c:v>
                </c:pt>
                <c:pt idx="27">
                  <c:v>660</c:v>
                </c:pt>
                <c:pt idx="28">
                  <c:v>717</c:v>
                </c:pt>
                <c:pt idx="29">
                  <c:v>650</c:v>
                </c:pt>
                <c:pt idx="30">
                  <c:v>531</c:v>
                </c:pt>
                <c:pt idx="31">
                  <c:v>597</c:v>
                </c:pt>
                <c:pt idx="32">
                  <c:v>205</c:v>
                </c:pt>
                <c:pt idx="33">
                  <c:v>247</c:v>
                </c:pt>
                <c:pt idx="34">
                  <c:v>1353</c:v>
                </c:pt>
                <c:pt idx="35">
                  <c:v>0</c:v>
                </c:pt>
                <c:pt idx="36">
                  <c:v>737</c:v>
                </c:pt>
                <c:pt idx="37">
                  <c:v>690</c:v>
                </c:pt>
                <c:pt idx="38">
                  <c:v>534</c:v>
                </c:pt>
                <c:pt idx="39">
                  <c:v>745</c:v>
                </c:pt>
                <c:pt idx="40">
                  <c:v>140</c:v>
                </c:pt>
                <c:pt idx="41">
                  <c:v>124</c:v>
                </c:pt>
                <c:pt idx="42">
                  <c:v>904</c:v>
                </c:pt>
                <c:pt idx="43">
                  <c:v>1065</c:v>
                </c:pt>
                <c:pt idx="44">
                  <c:v>857</c:v>
                </c:pt>
                <c:pt idx="45">
                  <c:v>641</c:v>
                </c:pt>
                <c:pt idx="46">
                  <c:v>0</c:v>
                </c:pt>
                <c:pt idx="47">
                  <c:v>298</c:v>
                </c:pt>
                <c:pt idx="48">
                  <c:v>670</c:v>
                </c:pt>
                <c:pt idx="49">
                  <c:v>674</c:v>
                </c:pt>
                <c:pt idx="50">
                  <c:v>480</c:v>
                </c:pt>
                <c:pt idx="51">
                  <c:v>0</c:v>
                </c:pt>
                <c:pt idx="52">
                  <c:v>700</c:v>
                </c:pt>
                <c:pt idx="53">
                  <c:v>920</c:v>
                </c:pt>
                <c:pt idx="54">
                  <c:v>275</c:v>
                </c:pt>
                <c:pt idx="55">
                  <c:v>336</c:v>
                </c:pt>
                <c:pt idx="56">
                  <c:v>0</c:v>
                </c:pt>
                <c:pt idx="57">
                  <c:v>741</c:v>
                </c:pt>
                <c:pt idx="58">
                  <c:v>609</c:v>
                </c:pt>
                <c:pt idx="59">
                  <c:v>0</c:v>
                </c:pt>
                <c:pt idx="60">
                  <c:v>111</c:v>
                </c:pt>
                <c:pt idx="61">
                  <c:v>320</c:v>
                </c:pt>
                <c:pt idx="62">
                  <c:v>800</c:v>
                </c:pt>
                <c:pt idx="63">
                  <c:v>826</c:v>
                </c:pt>
                <c:pt idx="64">
                  <c:v>247</c:v>
                </c:pt>
                <c:pt idx="65">
                  <c:v>0</c:v>
                </c:pt>
                <c:pt idx="66">
                  <c:v>0</c:v>
                </c:pt>
                <c:pt idx="67">
                  <c:v>769</c:v>
                </c:pt>
                <c:pt idx="68">
                  <c:v>193</c:v>
                </c:pt>
                <c:pt idx="69">
                  <c:v>404</c:v>
                </c:pt>
                <c:pt idx="70">
                  <c:v>446</c:v>
                </c:pt>
                <c:pt idx="71">
                  <c:v>0</c:v>
                </c:pt>
                <c:pt idx="72">
                  <c:v>0</c:v>
                </c:pt>
                <c:pt idx="73">
                  <c:v>151</c:v>
                </c:pt>
                <c:pt idx="74">
                  <c:v>0</c:v>
                </c:pt>
                <c:pt idx="75">
                  <c:v>325</c:v>
                </c:pt>
                <c:pt idx="76">
                  <c:v>813</c:v>
                </c:pt>
                <c:pt idx="77">
                  <c:v>350</c:v>
                </c:pt>
                <c:pt idx="78">
                  <c:v>372</c:v>
                </c:pt>
                <c:pt idx="79">
                  <c:v>399</c:v>
                </c:pt>
                <c:pt idx="80">
                  <c:v>2835</c:v>
                </c:pt>
                <c:pt idx="81">
                  <c:v>284</c:v>
                </c:pt>
                <c:pt idx="82">
                  <c:v>741</c:v>
                </c:pt>
                <c:pt idx="83">
                  <c:v>431</c:v>
                </c:pt>
                <c:pt idx="84">
                  <c:v>668</c:v>
                </c:pt>
                <c:pt idx="85">
                  <c:v>714</c:v>
                </c:pt>
                <c:pt idx="86">
                  <c:v>339</c:v>
                </c:pt>
                <c:pt idx="87">
                  <c:v>595</c:v>
                </c:pt>
                <c:pt idx="88">
                  <c:v>531</c:v>
                </c:pt>
                <c:pt idx="89">
                  <c:v>342</c:v>
                </c:pt>
                <c:pt idx="90">
                  <c:v>920</c:v>
                </c:pt>
                <c:pt idx="91">
                  <c:v>566</c:v>
                </c:pt>
                <c:pt idx="92">
                  <c:v>491</c:v>
                </c:pt>
                <c:pt idx="93">
                  <c:v>1642</c:v>
                </c:pt>
                <c:pt idx="94">
                  <c:v>780</c:v>
                </c:pt>
                <c:pt idx="95">
                  <c:v>715</c:v>
                </c:pt>
                <c:pt idx="96">
                  <c:v>369</c:v>
                </c:pt>
                <c:pt idx="97">
                  <c:v>612</c:v>
                </c:pt>
                <c:pt idx="98">
                  <c:v>660</c:v>
                </c:pt>
                <c:pt idx="99">
                  <c:v>774</c:v>
                </c:pt>
                <c:pt idx="100">
                  <c:v>323</c:v>
                </c:pt>
                <c:pt idx="101">
                  <c:v>855</c:v>
                </c:pt>
              </c:numCache>
            </c:numRef>
          </c:yVal>
          <c:smooth val="0"/>
          <c:extLst>
            <c:ext xmlns:c16="http://schemas.microsoft.com/office/drawing/2014/chart" uri="{C3380CC4-5D6E-409C-BE32-E72D297353CC}">
              <c16:uniqueId val="{00000001-9293-4612-BA26-461799FA0DAF}"/>
            </c:ext>
          </c:extLst>
        </c:ser>
        <c:dLbls>
          <c:showLegendKey val="0"/>
          <c:showVal val="0"/>
          <c:showCatName val="0"/>
          <c:showSerName val="0"/>
          <c:showPercent val="0"/>
          <c:showBubbleSize val="0"/>
        </c:dLbls>
        <c:axId val="1344491663"/>
        <c:axId val="1344493103"/>
      </c:scatterChart>
      <c:valAx>
        <c:axId val="134449166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Price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4493103"/>
        <c:crosses val="autoZero"/>
        <c:crossBetween val="midCat"/>
        <c:dispUnits>
          <c:builtInUnit val="millions"/>
          <c:dispUnitsLbl>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valAx>
        <c:axId val="134449310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Landsize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4491663"/>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Fitzroy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Fitzroy!$C$1</c:f>
              <c:strCache>
                <c:ptCount val="1"/>
                <c:pt idx="0">
                  <c:v>Landsize</c:v>
                </c:pt>
              </c:strCache>
            </c:strRef>
          </c:tx>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Fitzroy!$B$2:$B$398</c:f>
              <c:numCache>
                <c:formatCode>General</c:formatCode>
                <c:ptCount val="35"/>
                <c:pt idx="0">
                  <c:v>1252000</c:v>
                </c:pt>
                <c:pt idx="1">
                  <c:v>810000</c:v>
                </c:pt>
                <c:pt idx="2">
                  <c:v>947500</c:v>
                </c:pt>
                <c:pt idx="3">
                  <c:v>1460000</c:v>
                </c:pt>
                <c:pt idx="4">
                  <c:v>880000</c:v>
                </c:pt>
                <c:pt idx="5">
                  <c:v>3310000</c:v>
                </c:pt>
                <c:pt idx="6">
                  <c:v>1250000</c:v>
                </c:pt>
                <c:pt idx="7">
                  <c:v>1950000</c:v>
                </c:pt>
                <c:pt idx="8">
                  <c:v>465000</c:v>
                </c:pt>
                <c:pt idx="9">
                  <c:v>1620000</c:v>
                </c:pt>
                <c:pt idx="10">
                  <c:v>850000</c:v>
                </c:pt>
                <c:pt idx="11">
                  <c:v>1122000</c:v>
                </c:pt>
                <c:pt idx="12">
                  <c:v>1300000</c:v>
                </c:pt>
                <c:pt idx="13">
                  <c:v>420000</c:v>
                </c:pt>
                <c:pt idx="14">
                  <c:v>715000</c:v>
                </c:pt>
                <c:pt idx="15">
                  <c:v>800000</c:v>
                </c:pt>
                <c:pt idx="16">
                  <c:v>710000</c:v>
                </c:pt>
                <c:pt idx="17">
                  <c:v>630000</c:v>
                </c:pt>
                <c:pt idx="18">
                  <c:v>4011000</c:v>
                </c:pt>
                <c:pt idx="19">
                  <c:v>1100000</c:v>
                </c:pt>
                <c:pt idx="20">
                  <c:v>1350000</c:v>
                </c:pt>
                <c:pt idx="21">
                  <c:v>1350000</c:v>
                </c:pt>
                <c:pt idx="22">
                  <c:v>1394000</c:v>
                </c:pt>
                <c:pt idx="23">
                  <c:v>700000</c:v>
                </c:pt>
                <c:pt idx="24">
                  <c:v>790000</c:v>
                </c:pt>
                <c:pt idx="25">
                  <c:v>830000</c:v>
                </c:pt>
                <c:pt idx="26">
                  <c:v>456000</c:v>
                </c:pt>
                <c:pt idx="27">
                  <c:v>545000</c:v>
                </c:pt>
                <c:pt idx="28">
                  <c:v>490000</c:v>
                </c:pt>
                <c:pt idx="29">
                  <c:v>2300000</c:v>
                </c:pt>
                <c:pt idx="30">
                  <c:v>580000</c:v>
                </c:pt>
                <c:pt idx="31">
                  <c:v>1300000</c:v>
                </c:pt>
                <c:pt idx="32">
                  <c:v>1625000</c:v>
                </c:pt>
                <c:pt idx="33">
                  <c:v>2790000</c:v>
                </c:pt>
                <c:pt idx="34">
                  <c:v>1305000</c:v>
                </c:pt>
              </c:numCache>
            </c:numRef>
          </c:xVal>
          <c:yVal>
            <c:numRef>
              <c:f>Fitzroy!$C$2:$C$398</c:f>
              <c:numCache>
                <c:formatCode>General</c:formatCode>
                <c:ptCount val="35"/>
                <c:pt idx="0">
                  <c:v>0</c:v>
                </c:pt>
                <c:pt idx="1">
                  <c:v>0</c:v>
                </c:pt>
                <c:pt idx="2">
                  <c:v>87</c:v>
                </c:pt>
                <c:pt idx="3">
                  <c:v>0</c:v>
                </c:pt>
                <c:pt idx="4">
                  <c:v>0</c:v>
                </c:pt>
                <c:pt idx="5">
                  <c:v>337</c:v>
                </c:pt>
                <c:pt idx="6">
                  <c:v>113</c:v>
                </c:pt>
                <c:pt idx="7">
                  <c:v>177</c:v>
                </c:pt>
                <c:pt idx="8">
                  <c:v>0</c:v>
                </c:pt>
                <c:pt idx="9">
                  <c:v>132</c:v>
                </c:pt>
                <c:pt idx="10">
                  <c:v>2782</c:v>
                </c:pt>
                <c:pt idx="11">
                  <c:v>106</c:v>
                </c:pt>
                <c:pt idx="12">
                  <c:v>157</c:v>
                </c:pt>
                <c:pt idx="13">
                  <c:v>782</c:v>
                </c:pt>
                <c:pt idx="14">
                  <c:v>0</c:v>
                </c:pt>
                <c:pt idx="15">
                  <c:v>64</c:v>
                </c:pt>
                <c:pt idx="16">
                  <c:v>0</c:v>
                </c:pt>
                <c:pt idx="17">
                  <c:v>0</c:v>
                </c:pt>
                <c:pt idx="18">
                  <c:v>286</c:v>
                </c:pt>
                <c:pt idx="19">
                  <c:v>81</c:v>
                </c:pt>
                <c:pt idx="20">
                  <c:v>6261</c:v>
                </c:pt>
                <c:pt idx="21">
                  <c:v>131</c:v>
                </c:pt>
                <c:pt idx="22">
                  <c:v>60</c:v>
                </c:pt>
                <c:pt idx="23">
                  <c:v>470</c:v>
                </c:pt>
                <c:pt idx="24">
                  <c:v>6367</c:v>
                </c:pt>
                <c:pt idx="25">
                  <c:v>4421</c:v>
                </c:pt>
                <c:pt idx="26">
                  <c:v>0</c:v>
                </c:pt>
                <c:pt idx="27">
                  <c:v>1730</c:v>
                </c:pt>
                <c:pt idx="28">
                  <c:v>0</c:v>
                </c:pt>
                <c:pt idx="29">
                  <c:v>203</c:v>
                </c:pt>
                <c:pt idx="30">
                  <c:v>782</c:v>
                </c:pt>
                <c:pt idx="31">
                  <c:v>125</c:v>
                </c:pt>
                <c:pt idx="32">
                  <c:v>150</c:v>
                </c:pt>
                <c:pt idx="33">
                  <c:v>304</c:v>
                </c:pt>
                <c:pt idx="34">
                  <c:v>506</c:v>
                </c:pt>
              </c:numCache>
            </c:numRef>
          </c:yVal>
          <c:smooth val="0"/>
          <c:extLst>
            <c:ext xmlns:c16="http://schemas.microsoft.com/office/drawing/2014/chart" uri="{C3380CC4-5D6E-409C-BE32-E72D297353CC}">
              <c16:uniqueId val="{00000001-6178-4642-95E2-5BB04816EDEA}"/>
            </c:ext>
          </c:extLst>
        </c:ser>
        <c:dLbls>
          <c:showLegendKey val="0"/>
          <c:showVal val="0"/>
          <c:showCatName val="0"/>
          <c:showSerName val="0"/>
          <c:showPercent val="0"/>
          <c:showBubbleSize val="0"/>
        </c:dLbls>
        <c:axId val="1334629583"/>
        <c:axId val="1334631503"/>
      </c:scatterChart>
      <c:valAx>
        <c:axId val="133462958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Price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34631503"/>
        <c:crosses val="autoZero"/>
        <c:crossBetween val="midCat"/>
        <c:dispUnits>
          <c:builtInUnit val="millions"/>
          <c:dispUnitsLbl>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valAx>
        <c:axId val="133463150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Landsize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34629583"/>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Melton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Melton!$C$1</c:f>
              <c:strCache>
                <c:ptCount val="1"/>
                <c:pt idx="0">
                  <c:v>Landsize</c:v>
                </c:pt>
              </c:strCache>
            </c:strRef>
          </c:tx>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Melton!$B$2:$B$433</c:f>
              <c:numCache>
                <c:formatCode>General</c:formatCode>
                <c:ptCount val="16"/>
                <c:pt idx="0">
                  <c:v>320000</c:v>
                </c:pt>
                <c:pt idx="1">
                  <c:v>480000</c:v>
                </c:pt>
                <c:pt idx="2">
                  <c:v>420000</c:v>
                </c:pt>
                <c:pt idx="3">
                  <c:v>405000</c:v>
                </c:pt>
                <c:pt idx="4">
                  <c:v>295000</c:v>
                </c:pt>
                <c:pt idx="5">
                  <c:v>550000</c:v>
                </c:pt>
                <c:pt idx="6">
                  <c:v>373500</c:v>
                </c:pt>
                <c:pt idx="7">
                  <c:v>430000</c:v>
                </c:pt>
                <c:pt idx="8">
                  <c:v>283000</c:v>
                </c:pt>
                <c:pt idx="9">
                  <c:v>710000</c:v>
                </c:pt>
                <c:pt idx="10">
                  <c:v>395000</c:v>
                </c:pt>
                <c:pt idx="11">
                  <c:v>710000</c:v>
                </c:pt>
                <c:pt idx="12">
                  <c:v>385000</c:v>
                </c:pt>
                <c:pt idx="13">
                  <c:v>350000</c:v>
                </c:pt>
                <c:pt idx="14">
                  <c:v>415000</c:v>
                </c:pt>
                <c:pt idx="15">
                  <c:v>500000</c:v>
                </c:pt>
              </c:numCache>
            </c:numRef>
          </c:xVal>
          <c:yVal>
            <c:numRef>
              <c:f>Melton!$C$2:$C$433</c:f>
              <c:numCache>
                <c:formatCode>General</c:formatCode>
                <c:ptCount val="16"/>
                <c:pt idx="0">
                  <c:v>547</c:v>
                </c:pt>
                <c:pt idx="1">
                  <c:v>900</c:v>
                </c:pt>
                <c:pt idx="2">
                  <c:v>642</c:v>
                </c:pt>
                <c:pt idx="3">
                  <c:v>590</c:v>
                </c:pt>
                <c:pt idx="4">
                  <c:v>600</c:v>
                </c:pt>
                <c:pt idx="5">
                  <c:v>1241</c:v>
                </c:pt>
                <c:pt idx="6">
                  <c:v>586</c:v>
                </c:pt>
                <c:pt idx="7">
                  <c:v>583</c:v>
                </c:pt>
                <c:pt idx="8">
                  <c:v>362</c:v>
                </c:pt>
                <c:pt idx="9">
                  <c:v>1670</c:v>
                </c:pt>
                <c:pt idx="10">
                  <c:v>650</c:v>
                </c:pt>
                <c:pt idx="11">
                  <c:v>960</c:v>
                </c:pt>
                <c:pt idx="12">
                  <c:v>580</c:v>
                </c:pt>
                <c:pt idx="13">
                  <c:v>580</c:v>
                </c:pt>
                <c:pt idx="14">
                  <c:v>616</c:v>
                </c:pt>
                <c:pt idx="15">
                  <c:v>600</c:v>
                </c:pt>
              </c:numCache>
            </c:numRef>
          </c:yVal>
          <c:smooth val="0"/>
          <c:extLst>
            <c:ext xmlns:c16="http://schemas.microsoft.com/office/drawing/2014/chart" uri="{C3380CC4-5D6E-409C-BE32-E72D297353CC}">
              <c16:uniqueId val="{00000001-17CD-41ED-9848-E851285A7F22}"/>
            </c:ext>
          </c:extLst>
        </c:ser>
        <c:dLbls>
          <c:showLegendKey val="0"/>
          <c:showVal val="0"/>
          <c:showCatName val="0"/>
          <c:showSerName val="0"/>
          <c:showPercent val="0"/>
          <c:showBubbleSize val="0"/>
        </c:dLbls>
        <c:axId val="1534789487"/>
        <c:axId val="1216731007"/>
      </c:scatterChart>
      <c:valAx>
        <c:axId val="153478948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Price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16731007"/>
        <c:crosses val="autoZero"/>
        <c:crossBetween val="midCat"/>
        <c:dispUnits>
          <c:builtInUnit val="millions"/>
          <c:dispUnitsLbl>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valAx>
        <c:axId val="121673100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Landsize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34789487"/>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Reservoir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Reservoir!$C$1</c:f>
              <c:strCache>
                <c:ptCount val="1"/>
                <c:pt idx="0">
                  <c:v>Landsize</c:v>
                </c:pt>
              </c:strCache>
            </c:strRef>
          </c:tx>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Reservoir!$B$2:$B$434</c:f>
              <c:numCache>
                <c:formatCode>General</c:formatCode>
                <c:ptCount val="194"/>
                <c:pt idx="0">
                  <c:v>475000</c:v>
                </c:pt>
                <c:pt idx="1">
                  <c:v>415000</c:v>
                </c:pt>
                <c:pt idx="2">
                  <c:v>731000</c:v>
                </c:pt>
                <c:pt idx="3">
                  <c:v>352000</c:v>
                </c:pt>
                <c:pt idx="4">
                  <c:v>723000</c:v>
                </c:pt>
                <c:pt idx="5">
                  <c:v>336000</c:v>
                </c:pt>
                <c:pt idx="6">
                  <c:v>685000</c:v>
                </c:pt>
                <c:pt idx="7">
                  <c:v>1025000</c:v>
                </c:pt>
                <c:pt idx="8">
                  <c:v>490000</c:v>
                </c:pt>
                <c:pt idx="9">
                  <c:v>805000</c:v>
                </c:pt>
                <c:pt idx="10">
                  <c:v>1005000</c:v>
                </c:pt>
                <c:pt idx="11">
                  <c:v>535000</c:v>
                </c:pt>
                <c:pt idx="12">
                  <c:v>800000</c:v>
                </c:pt>
                <c:pt idx="13">
                  <c:v>510000</c:v>
                </c:pt>
                <c:pt idx="14">
                  <c:v>651000</c:v>
                </c:pt>
                <c:pt idx="15">
                  <c:v>365000</c:v>
                </c:pt>
                <c:pt idx="16">
                  <c:v>405000</c:v>
                </c:pt>
                <c:pt idx="17">
                  <c:v>620500</c:v>
                </c:pt>
                <c:pt idx="18">
                  <c:v>260000</c:v>
                </c:pt>
                <c:pt idx="19">
                  <c:v>625000</c:v>
                </c:pt>
                <c:pt idx="20">
                  <c:v>427500</c:v>
                </c:pt>
                <c:pt idx="21">
                  <c:v>851000</c:v>
                </c:pt>
                <c:pt idx="22">
                  <c:v>998000</c:v>
                </c:pt>
                <c:pt idx="23">
                  <c:v>1030000</c:v>
                </c:pt>
                <c:pt idx="24">
                  <c:v>410000</c:v>
                </c:pt>
                <c:pt idx="25">
                  <c:v>1015000</c:v>
                </c:pt>
                <c:pt idx="26">
                  <c:v>915000</c:v>
                </c:pt>
                <c:pt idx="27">
                  <c:v>380000</c:v>
                </c:pt>
                <c:pt idx="28">
                  <c:v>530000</c:v>
                </c:pt>
                <c:pt idx="29">
                  <c:v>592000</c:v>
                </c:pt>
                <c:pt idx="30">
                  <c:v>440000</c:v>
                </c:pt>
                <c:pt idx="31">
                  <c:v>650000</c:v>
                </c:pt>
                <c:pt idx="32">
                  <c:v>416000</c:v>
                </c:pt>
                <c:pt idx="33">
                  <c:v>301000</c:v>
                </c:pt>
                <c:pt idx="34">
                  <c:v>865000</c:v>
                </c:pt>
                <c:pt idx="35">
                  <c:v>650000</c:v>
                </c:pt>
                <c:pt idx="36">
                  <c:v>401000</c:v>
                </c:pt>
                <c:pt idx="37">
                  <c:v>491000</c:v>
                </c:pt>
                <c:pt idx="38">
                  <c:v>810000</c:v>
                </c:pt>
                <c:pt idx="39">
                  <c:v>555000</c:v>
                </c:pt>
                <c:pt idx="40">
                  <c:v>350000</c:v>
                </c:pt>
                <c:pt idx="41">
                  <c:v>540000</c:v>
                </c:pt>
                <c:pt idx="42">
                  <c:v>682000</c:v>
                </c:pt>
                <c:pt idx="43">
                  <c:v>380000</c:v>
                </c:pt>
                <c:pt idx="44">
                  <c:v>350000</c:v>
                </c:pt>
                <c:pt idx="45">
                  <c:v>750000</c:v>
                </c:pt>
                <c:pt idx="46">
                  <c:v>495000</c:v>
                </c:pt>
                <c:pt idx="47">
                  <c:v>500000</c:v>
                </c:pt>
                <c:pt idx="48">
                  <c:v>350000</c:v>
                </c:pt>
                <c:pt idx="49">
                  <c:v>335000</c:v>
                </c:pt>
                <c:pt idx="50">
                  <c:v>546000</c:v>
                </c:pt>
                <c:pt idx="51">
                  <c:v>400000</c:v>
                </c:pt>
                <c:pt idx="52">
                  <c:v>360000</c:v>
                </c:pt>
                <c:pt idx="53">
                  <c:v>410000</c:v>
                </c:pt>
                <c:pt idx="54">
                  <c:v>836000</c:v>
                </c:pt>
                <c:pt idx="55">
                  <c:v>440000</c:v>
                </c:pt>
                <c:pt idx="56">
                  <c:v>376000</c:v>
                </c:pt>
                <c:pt idx="57">
                  <c:v>323000</c:v>
                </c:pt>
                <c:pt idx="58">
                  <c:v>680000</c:v>
                </c:pt>
                <c:pt idx="59">
                  <c:v>530000</c:v>
                </c:pt>
                <c:pt idx="60">
                  <c:v>786000</c:v>
                </c:pt>
                <c:pt idx="61">
                  <c:v>390000</c:v>
                </c:pt>
                <c:pt idx="62">
                  <c:v>650000</c:v>
                </c:pt>
                <c:pt idx="63">
                  <c:v>800000</c:v>
                </c:pt>
                <c:pt idx="64">
                  <c:v>330000</c:v>
                </c:pt>
                <c:pt idx="65">
                  <c:v>539000</c:v>
                </c:pt>
                <c:pt idx="66">
                  <c:v>622500</c:v>
                </c:pt>
                <c:pt idx="67">
                  <c:v>767500</c:v>
                </c:pt>
                <c:pt idx="68">
                  <c:v>780000</c:v>
                </c:pt>
                <c:pt idx="69">
                  <c:v>668000</c:v>
                </c:pt>
                <c:pt idx="70">
                  <c:v>470000</c:v>
                </c:pt>
                <c:pt idx="71">
                  <c:v>655000</c:v>
                </c:pt>
                <c:pt idx="72">
                  <c:v>440000</c:v>
                </c:pt>
                <c:pt idx="73">
                  <c:v>703000</c:v>
                </c:pt>
                <c:pt idx="74">
                  <c:v>424000</c:v>
                </c:pt>
                <c:pt idx="75">
                  <c:v>613000</c:v>
                </c:pt>
                <c:pt idx="76">
                  <c:v>475000</c:v>
                </c:pt>
                <c:pt idx="77">
                  <c:v>950000</c:v>
                </c:pt>
                <c:pt idx="78">
                  <c:v>730000</c:v>
                </c:pt>
                <c:pt idx="79">
                  <c:v>905000</c:v>
                </c:pt>
                <c:pt idx="80">
                  <c:v>480000</c:v>
                </c:pt>
                <c:pt idx="81">
                  <c:v>767000</c:v>
                </c:pt>
                <c:pt idx="82">
                  <c:v>450000</c:v>
                </c:pt>
                <c:pt idx="83">
                  <c:v>921500</c:v>
                </c:pt>
                <c:pt idx="84">
                  <c:v>490000</c:v>
                </c:pt>
                <c:pt idx="85">
                  <c:v>787000</c:v>
                </c:pt>
                <c:pt idx="86">
                  <c:v>300000</c:v>
                </c:pt>
                <c:pt idx="87">
                  <c:v>335000</c:v>
                </c:pt>
                <c:pt idx="88">
                  <c:v>475000</c:v>
                </c:pt>
                <c:pt idx="89">
                  <c:v>440000</c:v>
                </c:pt>
                <c:pt idx="90">
                  <c:v>216000</c:v>
                </c:pt>
                <c:pt idx="91">
                  <c:v>220000</c:v>
                </c:pt>
                <c:pt idx="92">
                  <c:v>340000</c:v>
                </c:pt>
                <c:pt idx="93">
                  <c:v>395000</c:v>
                </c:pt>
                <c:pt idx="94">
                  <c:v>790000</c:v>
                </c:pt>
                <c:pt idx="95">
                  <c:v>601000</c:v>
                </c:pt>
                <c:pt idx="96">
                  <c:v>300000</c:v>
                </c:pt>
                <c:pt idx="97">
                  <c:v>420000</c:v>
                </c:pt>
                <c:pt idx="98">
                  <c:v>885000</c:v>
                </c:pt>
                <c:pt idx="99">
                  <c:v>815000</c:v>
                </c:pt>
                <c:pt idx="100">
                  <c:v>882500</c:v>
                </c:pt>
                <c:pt idx="101">
                  <c:v>793000</c:v>
                </c:pt>
                <c:pt idx="102">
                  <c:v>550000</c:v>
                </c:pt>
                <c:pt idx="103">
                  <c:v>433000</c:v>
                </c:pt>
                <c:pt idx="104">
                  <c:v>680000</c:v>
                </c:pt>
                <c:pt idx="105">
                  <c:v>851000</c:v>
                </c:pt>
                <c:pt idx="106">
                  <c:v>1025000</c:v>
                </c:pt>
                <c:pt idx="107">
                  <c:v>784000</c:v>
                </c:pt>
                <c:pt idx="108">
                  <c:v>1186000</c:v>
                </c:pt>
                <c:pt idx="109">
                  <c:v>885000</c:v>
                </c:pt>
                <c:pt idx="110">
                  <c:v>718500</c:v>
                </c:pt>
                <c:pt idx="111">
                  <c:v>762500</c:v>
                </c:pt>
                <c:pt idx="112">
                  <c:v>610000</c:v>
                </c:pt>
                <c:pt idx="113">
                  <c:v>680000</c:v>
                </c:pt>
                <c:pt idx="114">
                  <c:v>390000</c:v>
                </c:pt>
                <c:pt idx="115">
                  <c:v>595000</c:v>
                </c:pt>
                <c:pt idx="116">
                  <c:v>905000</c:v>
                </c:pt>
                <c:pt idx="117">
                  <c:v>845000</c:v>
                </c:pt>
                <c:pt idx="118">
                  <c:v>815000</c:v>
                </c:pt>
                <c:pt idx="119">
                  <c:v>770000</c:v>
                </c:pt>
                <c:pt idx="120">
                  <c:v>610000</c:v>
                </c:pt>
                <c:pt idx="121">
                  <c:v>861500</c:v>
                </c:pt>
                <c:pt idx="122">
                  <c:v>801000</c:v>
                </c:pt>
                <c:pt idx="123">
                  <c:v>490000</c:v>
                </c:pt>
                <c:pt idx="124">
                  <c:v>605000</c:v>
                </c:pt>
                <c:pt idx="125">
                  <c:v>652000</c:v>
                </c:pt>
                <c:pt idx="126">
                  <c:v>375000</c:v>
                </c:pt>
                <c:pt idx="127">
                  <c:v>505000</c:v>
                </c:pt>
                <c:pt idx="128">
                  <c:v>840000</c:v>
                </c:pt>
                <c:pt idx="129">
                  <c:v>668500</c:v>
                </c:pt>
                <c:pt idx="130">
                  <c:v>521000</c:v>
                </c:pt>
                <c:pt idx="131">
                  <c:v>857700</c:v>
                </c:pt>
                <c:pt idx="132">
                  <c:v>642500</c:v>
                </c:pt>
                <c:pt idx="133">
                  <c:v>510000</c:v>
                </c:pt>
                <c:pt idx="134">
                  <c:v>780000</c:v>
                </c:pt>
                <c:pt idx="135">
                  <c:v>912000</c:v>
                </c:pt>
                <c:pt idx="136">
                  <c:v>685000</c:v>
                </c:pt>
                <c:pt idx="137">
                  <c:v>270000</c:v>
                </c:pt>
                <c:pt idx="138">
                  <c:v>575000</c:v>
                </c:pt>
                <c:pt idx="139">
                  <c:v>635000</c:v>
                </c:pt>
                <c:pt idx="140">
                  <c:v>860000</c:v>
                </c:pt>
                <c:pt idx="141">
                  <c:v>351000</c:v>
                </c:pt>
                <c:pt idx="142">
                  <c:v>935000</c:v>
                </c:pt>
                <c:pt idx="143">
                  <c:v>510000</c:v>
                </c:pt>
                <c:pt idx="144">
                  <c:v>755000</c:v>
                </c:pt>
                <c:pt idx="145">
                  <c:v>1200000</c:v>
                </c:pt>
                <c:pt idx="146">
                  <c:v>953000</c:v>
                </c:pt>
                <c:pt idx="147">
                  <c:v>468000</c:v>
                </c:pt>
                <c:pt idx="148">
                  <c:v>710000</c:v>
                </c:pt>
                <c:pt idx="149">
                  <c:v>502000</c:v>
                </c:pt>
                <c:pt idx="150">
                  <c:v>320000</c:v>
                </c:pt>
                <c:pt idx="151">
                  <c:v>617500</c:v>
                </c:pt>
                <c:pt idx="152">
                  <c:v>1282500</c:v>
                </c:pt>
                <c:pt idx="153">
                  <c:v>672000</c:v>
                </c:pt>
                <c:pt idx="154">
                  <c:v>861000</c:v>
                </c:pt>
                <c:pt idx="155">
                  <c:v>612500</c:v>
                </c:pt>
                <c:pt idx="156">
                  <c:v>900000</c:v>
                </c:pt>
                <c:pt idx="157">
                  <c:v>755000</c:v>
                </c:pt>
                <c:pt idx="158">
                  <c:v>465000</c:v>
                </c:pt>
                <c:pt idx="159">
                  <c:v>920000</c:v>
                </c:pt>
                <c:pt idx="160">
                  <c:v>876000</c:v>
                </c:pt>
                <c:pt idx="161">
                  <c:v>866000</c:v>
                </c:pt>
                <c:pt idx="162">
                  <c:v>775500</c:v>
                </c:pt>
                <c:pt idx="163">
                  <c:v>1000000</c:v>
                </c:pt>
                <c:pt idx="164">
                  <c:v>1400000</c:v>
                </c:pt>
                <c:pt idx="165">
                  <c:v>640000</c:v>
                </c:pt>
                <c:pt idx="166">
                  <c:v>1112000</c:v>
                </c:pt>
                <c:pt idx="167">
                  <c:v>852000</c:v>
                </c:pt>
                <c:pt idx="168">
                  <c:v>800000</c:v>
                </c:pt>
                <c:pt idx="169">
                  <c:v>625500</c:v>
                </c:pt>
                <c:pt idx="170">
                  <c:v>825000</c:v>
                </c:pt>
                <c:pt idx="171">
                  <c:v>945000</c:v>
                </c:pt>
                <c:pt idx="172">
                  <c:v>725000</c:v>
                </c:pt>
                <c:pt idx="173">
                  <c:v>650000</c:v>
                </c:pt>
                <c:pt idx="174">
                  <c:v>1000000</c:v>
                </c:pt>
                <c:pt idx="175">
                  <c:v>570000</c:v>
                </c:pt>
                <c:pt idx="176">
                  <c:v>821000</c:v>
                </c:pt>
                <c:pt idx="177">
                  <c:v>1076000</c:v>
                </c:pt>
                <c:pt idx="178">
                  <c:v>780000</c:v>
                </c:pt>
                <c:pt idx="179">
                  <c:v>600000</c:v>
                </c:pt>
                <c:pt idx="180">
                  <c:v>900000</c:v>
                </c:pt>
                <c:pt idx="181">
                  <c:v>810000</c:v>
                </c:pt>
                <c:pt idx="182">
                  <c:v>920000</c:v>
                </c:pt>
                <c:pt idx="183">
                  <c:v>775000</c:v>
                </c:pt>
                <c:pt idx="184">
                  <c:v>980000</c:v>
                </c:pt>
                <c:pt idx="185">
                  <c:v>980000</c:v>
                </c:pt>
                <c:pt idx="186">
                  <c:v>990000</c:v>
                </c:pt>
                <c:pt idx="187">
                  <c:v>610000</c:v>
                </c:pt>
                <c:pt idx="188">
                  <c:v>460000</c:v>
                </c:pt>
                <c:pt idx="189">
                  <c:v>650000</c:v>
                </c:pt>
                <c:pt idx="190">
                  <c:v>880000</c:v>
                </c:pt>
                <c:pt idx="191">
                  <c:v>980000</c:v>
                </c:pt>
                <c:pt idx="192">
                  <c:v>445000</c:v>
                </c:pt>
                <c:pt idx="193">
                  <c:v>1285000</c:v>
                </c:pt>
              </c:numCache>
            </c:numRef>
          </c:xVal>
          <c:yVal>
            <c:numRef>
              <c:f>Reservoir!$C$2:$C$434</c:f>
              <c:numCache>
                <c:formatCode>General</c:formatCode>
                <c:ptCount val="194"/>
                <c:pt idx="0">
                  <c:v>191</c:v>
                </c:pt>
                <c:pt idx="1">
                  <c:v>189</c:v>
                </c:pt>
                <c:pt idx="2">
                  <c:v>779</c:v>
                </c:pt>
                <c:pt idx="3">
                  <c:v>117</c:v>
                </c:pt>
                <c:pt idx="4">
                  <c:v>535</c:v>
                </c:pt>
                <c:pt idx="5">
                  <c:v>99</c:v>
                </c:pt>
                <c:pt idx="6">
                  <c:v>1262</c:v>
                </c:pt>
                <c:pt idx="7">
                  <c:v>676</c:v>
                </c:pt>
                <c:pt idx="8">
                  <c:v>91</c:v>
                </c:pt>
                <c:pt idx="9">
                  <c:v>227</c:v>
                </c:pt>
                <c:pt idx="10">
                  <c:v>466</c:v>
                </c:pt>
                <c:pt idx="11">
                  <c:v>234</c:v>
                </c:pt>
                <c:pt idx="12">
                  <c:v>4679</c:v>
                </c:pt>
                <c:pt idx="13">
                  <c:v>543</c:v>
                </c:pt>
                <c:pt idx="14">
                  <c:v>649</c:v>
                </c:pt>
                <c:pt idx="15">
                  <c:v>360</c:v>
                </c:pt>
                <c:pt idx="16">
                  <c:v>171</c:v>
                </c:pt>
                <c:pt idx="17">
                  <c:v>158</c:v>
                </c:pt>
                <c:pt idx="18">
                  <c:v>141</c:v>
                </c:pt>
                <c:pt idx="19">
                  <c:v>267</c:v>
                </c:pt>
                <c:pt idx="20">
                  <c:v>146</c:v>
                </c:pt>
                <c:pt idx="21">
                  <c:v>581</c:v>
                </c:pt>
                <c:pt idx="22">
                  <c:v>479</c:v>
                </c:pt>
                <c:pt idx="23">
                  <c:v>630</c:v>
                </c:pt>
                <c:pt idx="24">
                  <c:v>180</c:v>
                </c:pt>
                <c:pt idx="25">
                  <c:v>518</c:v>
                </c:pt>
                <c:pt idx="26">
                  <c:v>618</c:v>
                </c:pt>
                <c:pt idx="27">
                  <c:v>149</c:v>
                </c:pt>
                <c:pt idx="28">
                  <c:v>229</c:v>
                </c:pt>
                <c:pt idx="29">
                  <c:v>270</c:v>
                </c:pt>
                <c:pt idx="30">
                  <c:v>132</c:v>
                </c:pt>
                <c:pt idx="31">
                  <c:v>620</c:v>
                </c:pt>
                <c:pt idx="32">
                  <c:v>159</c:v>
                </c:pt>
                <c:pt idx="33">
                  <c:v>0</c:v>
                </c:pt>
                <c:pt idx="34">
                  <c:v>560</c:v>
                </c:pt>
                <c:pt idx="35">
                  <c:v>700</c:v>
                </c:pt>
                <c:pt idx="36">
                  <c:v>184</c:v>
                </c:pt>
                <c:pt idx="37">
                  <c:v>168</c:v>
                </c:pt>
                <c:pt idx="38">
                  <c:v>564</c:v>
                </c:pt>
                <c:pt idx="39">
                  <c:v>229</c:v>
                </c:pt>
                <c:pt idx="40">
                  <c:v>0</c:v>
                </c:pt>
                <c:pt idx="41">
                  <c:v>215</c:v>
                </c:pt>
                <c:pt idx="42">
                  <c:v>750</c:v>
                </c:pt>
                <c:pt idx="43">
                  <c:v>83</c:v>
                </c:pt>
                <c:pt idx="44">
                  <c:v>96</c:v>
                </c:pt>
                <c:pt idx="45">
                  <c:v>820</c:v>
                </c:pt>
                <c:pt idx="46">
                  <c:v>96</c:v>
                </c:pt>
                <c:pt idx="47">
                  <c:v>359</c:v>
                </c:pt>
                <c:pt idx="48">
                  <c:v>102</c:v>
                </c:pt>
                <c:pt idx="49">
                  <c:v>0</c:v>
                </c:pt>
                <c:pt idx="50">
                  <c:v>592</c:v>
                </c:pt>
                <c:pt idx="51">
                  <c:v>172</c:v>
                </c:pt>
                <c:pt idx="52">
                  <c:v>132</c:v>
                </c:pt>
                <c:pt idx="53">
                  <c:v>250</c:v>
                </c:pt>
                <c:pt idx="54">
                  <c:v>931</c:v>
                </c:pt>
                <c:pt idx="55">
                  <c:v>132</c:v>
                </c:pt>
                <c:pt idx="56">
                  <c:v>104</c:v>
                </c:pt>
                <c:pt idx="57">
                  <c:v>0</c:v>
                </c:pt>
                <c:pt idx="58">
                  <c:v>527</c:v>
                </c:pt>
                <c:pt idx="59">
                  <c:v>0</c:v>
                </c:pt>
                <c:pt idx="60">
                  <c:v>595</c:v>
                </c:pt>
                <c:pt idx="61">
                  <c:v>122</c:v>
                </c:pt>
                <c:pt idx="62">
                  <c:v>468</c:v>
                </c:pt>
                <c:pt idx="63">
                  <c:v>574</c:v>
                </c:pt>
                <c:pt idx="64">
                  <c:v>90</c:v>
                </c:pt>
                <c:pt idx="65">
                  <c:v>474</c:v>
                </c:pt>
                <c:pt idx="66">
                  <c:v>456</c:v>
                </c:pt>
                <c:pt idx="67">
                  <c:v>834</c:v>
                </c:pt>
                <c:pt idx="68">
                  <c:v>464</c:v>
                </c:pt>
                <c:pt idx="69">
                  <c:v>618</c:v>
                </c:pt>
                <c:pt idx="70">
                  <c:v>159</c:v>
                </c:pt>
                <c:pt idx="71">
                  <c:v>456</c:v>
                </c:pt>
                <c:pt idx="72">
                  <c:v>183</c:v>
                </c:pt>
                <c:pt idx="73">
                  <c:v>597</c:v>
                </c:pt>
                <c:pt idx="74">
                  <c:v>141</c:v>
                </c:pt>
                <c:pt idx="75">
                  <c:v>745</c:v>
                </c:pt>
                <c:pt idx="76">
                  <c:v>535</c:v>
                </c:pt>
                <c:pt idx="77">
                  <c:v>565</c:v>
                </c:pt>
                <c:pt idx="78">
                  <c:v>770</c:v>
                </c:pt>
                <c:pt idx="79">
                  <c:v>950</c:v>
                </c:pt>
                <c:pt idx="80">
                  <c:v>145</c:v>
                </c:pt>
                <c:pt idx="81">
                  <c:v>561</c:v>
                </c:pt>
                <c:pt idx="82">
                  <c:v>179</c:v>
                </c:pt>
                <c:pt idx="83">
                  <c:v>527</c:v>
                </c:pt>
                <c:pt idx="84">
                  <c:v>126</c:v>
                </c:pt>
                <c:pt idx="85">
                  <c:v>563</c:v>
                </c:pt>
                <c:pt idx="86">
                  <c:v>0</c:v>
                </c:pt>
                <c:pt idx="87">
                  <c:v>0</c:v>
                </c:pt>
                <c:pt idx="88">
                  <c:v>521</c:v>
                </c:pt>
                <c:pt idx="89">
                  <c:v>153</c:v>
                </c:pt>
                <c:pt idx="90">
                  <c:v>0</c:v>
                </c:pt>
                <c:pt idx="91">
                  <c:v>0</c:v>
                </c:pt>
                <c:pt idx="92">
                  <c:v>151</c:v>
                </c:pt>
                <c:pt idx="93">
                  <c:v>94</c:v>
                </c:pt>
                <c:pt idx="94">
                  <c:v>585</c:v>
                </c:pt>
                <c:pt idx="95">
                  <c:v>460</c:v>
                </c:pt>
                <c:pt idx="96">
                  <c:v>87</c:v>
                </c:pt>
                <c:pt idx="97">
                  <c:v>153</c:v>
                </c:pt>
                <c:pt idx="98">
                  <c:v>936</c:v>
                </c:pt>
                <c:pt idx="99">
                  <c:v>550</c:v>
                </c:pt>
                <c:pt idx="100">
                  <c:v>681</c:v>
                </c:pt>
                <c:pt idx="101">
                  <c:v>589</c:v>
                </c:pt>
                <c:pt idx="102">
                  <c:v>260</c:v>
                </c:pt>
                <c:pt idx="103">
                  <c:v>236</c:v>
                </c:pt>
                <c:pt idx="104">
                  <c:v>750</c:v>
                </c:pt>
                <c:pt idx="105">
                  <c:v>826</c:v>
                </c:pt>
                <c:pt idx="106">
                  <c:v>670</c:v>
                </c:pt>
                <c:pt idx="107">
                  <c:v>602</c:v>
                </c:pt>
                <c:pt idx="108">
                  <c:v>895</c:v>
                </c:pt>
                <c:pt idx="109">
                  <c:v>508</c:v>
                </c:pt>
                <c:pt idx="110">
                  <c:v>807</c:v>
                </c:pt>
                <c:pt idx="111">
                  <c:v>548</c:v>
                </c:pt>
                <c:pt idx="112">
                  <c:v>383</c:v>
                </c:pt>
                <c:pt idx="113">
                  <c:v>561</c:v>
                </c:pt>
                <c:pt idx="114">
                  <c:v>133</c:v>
                </c:pt>
                <c:pt idx="115">
                  <c:v>490</c:v>
                </c:pt>
                <c:pt idx="116">
                  <c:v>696</c:v>
                </c:pt>
                <c:pt idx="117">
                  <c:v>676</c:v>
                </c:pt>
                <c:pt idx="118">
                  <c:v>213</c:v>
                </c:pt>
                <c:pt idx="119">
                  <c:v>697</c:v>
                </c:pt>
                <c:pt idx="120">
                  <c:v>435</c:v>
                </c:pt>
                <c:pt idx="121">
                  <c:v>419</c:v>
                </c:pt>
                <c:pt idx="122">
                  <c:v>551</c:v>
                </c:pt>
                <c:pt idx="123">
                  <c:v>143</c:v>
                </c:pt>
                <c:pt idx="124">
                  <c:v>371</c:v>
                </c:pt>
                <c:pt idx="125">
                  <c:v>254</c:v>
                </c:pt>
                <c:pt idx="126">
                  <c:v>101</c:v>
                </c:pt>
                <c:pt idx="127">
                  <c:v>110</c:v>
                </c:pt>
                <c:pt idx="128">
                  <c:v>614</c:v>
                </c:pt>
                <c:pt idx="129">
                  <c:v>138</c:v>
                </c:pt>
                <c:pt idx="130">
                  <c:v>0</c:v>
                </c:pt>
                <c:pt idx="131">
                  <c:v>325</c:v>
                </c:pt>
                <c:pt idx="132">
                  <c:v>160</c:v>
                </c:pt>
                <c:pt idx="133">
                  <c:v>178</c:v>
                </c:pt>
                <c:pt idx="134">
                  <c:v>893</c:v>
                </c:pt>
                <c:pt idx="135">
                  <c:v>890</c:v>
                </c:pt>
                <c:pt idx="136">
                  <c:v>494</c:v>
                </c:pt>
                <c:pt idx="137">
                  <c:v>0</c:v>
                </c:pt>
                <c:pt idx="138">
                  <c:v>151</c:v>
                </c:pt>
                <c:pt idx="139">
                  <c:v>289</c:v>
                </c:pt>
                <c:pt idx="140">
                  <c:v>627</c:v>
                </c:pt>
                <c:pt idx="141">
                  <c:v>168</c:v>
                </c:pt>
                <c:pt idx="142">
                  <c:v>529</c:v>
                </c:pt>
                <c:pt idx="143">
                  <c:v>292</c:v>
                </c:pt>
                <c:pt idx="144">
                  <c:v>479</c:v>
                </c:pt>
                <c:pt idx="145">
                  <c:v>499</c:v>
                </c:pt>
                <c:pt idx="146">
                  <c:v>743</c:v>
                </c:pt>
                <c:pt idx="147">
                  <c:v>0</c:v>
                </c:pt>
                <c:pt idx="148">
                  <c:v>126</c:v>
                </c:pt>
                <c:pt idx="149">
                  <c:v>230</c:v>
                </c:pt>
                <c:pt idx="150">
                  <c:v>89</c:v>
                </c:pt>
                <c:pt idx="151">
                  <c:v>0</c:v>
                </c:pt>
                <c:pt idx="152">
                  <c:v>499</c:v>
                </c:pt>
                <c:pt idx="153">
                  <c:v>243</c:v>
                </c:pt>
                <c:pt idx="154">
                  <c:v>488</c:v>
                </c:pt>
                <c:pt idx="155">
                  <c:v>170</c:v>
                </c:pt>
                <c:pt idx="156">
                  <c:v>646</c:v>
                </c:pt>
                <c:pt idx="157">
                  <c:v>482</c:v>
                </c:pt>
                <c:pt idx="158">
                  <c:v>676</c:v>
                </c:pt>
                <c:pt idx="159">
                  <c:v>665</c:v>
                </c:pt>
                <c:pt idx="160">
                  <c:v>653</c:v>
                </c:pt>
                <c:pt idx="161">
                  <c:v>576</c:v>
                </c:pt>
                <c:pt idx="162">
                  <c:v>586</c:v>
                </c:pt>
                <c:pt idx="163">
                  <c:v>892</c:v>
                </c:pt>
                <c:pt idx="164">
                  <c:v>667</c:v>
                </c:pt>
                <c:pt idx="165">
                  <c:v>224</c:v>
                </c:pt>
                <c:pt idx="166">
                  <c:v>1002</c:v>
                </c:pt>
                <c:pt idx="167">
                  <c:v>527</c:v>
                </c:pt>
                <c:pt idx="168">
                  <c:v>585</c:v>
                </c:pt>
                <c:pt idx="169">
                  <c:v>343</c:v>
                </c:pt>
                <c:pt idx="170">
                  <c:v>663</c:v>
                </c:pt>
                <c:pt idx="171">
                  <c:v>469</c:v>
                </c:pt>
                <c:pt idx="172">
                  <c:v>289</c:v>
                </c:pt>
                <c:pt idx="173">
                  <c:v>491</c:v>
                </c:pt>
                <c:pt idx="174">
                  <c:v>646</c:v>
                </c:pt>
                <c:pt idx="175">
                  <c:v>284</c:v>
                </c:pt>
                <c:pt idx="176">
                  <c:v>493</c:v>
                </c:pt>
                <c:pt idx="177">
                  <c:v>601</c:v>
                </c:pt>
                <c:pt idx="178">
                  <c:v>767</c:v>
                </c:pt>
                <c:pt idx="179">
                  <c:v>534</c:v>
                </c:pt>
                <c:pt idx="180">
                  <c:v>485</c:v>
                </c:pt>
                <c:pt idx="181">
                  <c:v>186</c:v>
                </c:pt>
                <c:pt idx="182">
                  <c:v>680</c:v>
                </c:pt>
                <c:pt idx="183">
                  <c:v>275</c:v>
                </c:pt>
                <c:pt idx="184">
                  <c:v>694</c:v>
                </c:pt>
                <c:pt idx="185">
                  <c:v>683</c:v>
                </c:pt>
                <c:pt idx="186">
                  <c:v>289</c:v>
                </c:pt>
                <c:pt idx="187">
                  <c:v>609</c:v>
                </c:pt>
                <c:pt idx="188">
                  <c:v>176</c:v>
                </c:pt>
                <c:pt idx="189">
                  <c:v>581</c:v>
                </c:pt>
                <c:pt idx="190">
                  <c:v>697</c:v>
                </c:pt>
                <c:pt idx="191">
                  <c:v>560</c:v>
                </c:pt>
                <c:pt idx="192">
                  <c:v>144</c:v>
                </c:pt>
                <c:pt idx="193">
                  <c:v>551</c:v>
                </c:pt>
              </c:numCache>
            </c:numRef>
          </c:yVal>
          <c:smooth val="0"/>
          <c:extLst>
            <c:ext xmlns:c16="http://schemas.microsoft.com/office/drawing/2014/chart" uri="{C3380CC4-5D6E-409C-BE32-E72D297353CC}">
              <c16:uniqueId val="{00000001-AAE3-4AF0-B407-876E5D75F1AE}"/>
            </c:ext>
          </c:extLst>
        </c:ser>
        <c:dLbls>
          <c:showLegendKey val="0"/>
          <c:showVal val="0"/>
          <c:showCatName val="0"/>
          <c:showSerName val="0"/>
          <c:showPercent val="0"/>
          <c:showBubbleSize val="0"/>
        </c:dLbls>
        <c:axId val="1825880607"/>
        <c:axId val="1825879647"/>
      </c:scatterChart>
      <c:valAx>
        <c:axId val="182588060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Price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25879647"/>
        <c:crosses val="autoZero"/>
        <c:crossBetween val="midCat"/>
        <c:dispUnits>
          <c:builtInUnit val="millions"/>
          <c:dispUnitsLbl>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valAx>
        <c:axId val="182587964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Landsize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25880607"/>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[ExcelFile_BusinessAnalytics_NguyenDangKhoa_s3891931.xlsx]Relation type suburb price!PivotTable6</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'Relation type suburb price'!$I$2:$I$3</c:f>
              <c:strCache>
                <c:ptCount val="1"/>
                <c:pt idx="0">
                  <c:v>h</c:v>
                </c:pt>
              </c:strCache>
            </c:strRef>
          </c:tx>
          <c:spPr>
            <a:solidFill>
              <a:schemeClr val="accent1"/>
            </a:solidFill>
            <a:ln>
              <a:noFill/>
            </a:ln>
            <a:effectLst/>
          </c:spPr>
          <c:invertIfNegative val="0"/>
          <c:cat>
            <c:strRef>
              <c:f>'Relation type suburb price'!$H$4:$H$9</c:f>
              <c:strCache>
                <c:ptCount val="6"/>
                <c:pt idx="0">
                  <c:v>Albert Park</c:v>
                </c:pt>
                <c:pt idx="1">
                  <c:v>Brunswick East</c:v>
                </c:pt>
                <c:pt idx="2">
                  <c:v>Fitzroy</c:v>
                </c:pt>
                <c:pt idx="3">
                  <c:v>Kew</c:v>
                </c:pt>
                <c:pt idx="4">
                  <c:v>Melton</c:v>
                </c:pt>
                <c:pt idx="5">
                  <c:v>Reservoir</c:v>
                </c:pt>
              </c:strCache>
            </c:strRef>
          </c:cat>
          <c:val>
            <c:numRef>
              <c:f>'Relation type suburb price'!$I$4:$I$9</c:f>
              <c:numCache>
                <c:formatCode>0.00</c:formatCode>
                <c:ptCount val="6"/>
                <c:pt idx="0">
                  <c:v>157.29032258064515</c:v>
                </c:pt>
                <c:pt idx="1">
                  <c:v>275.97058823529414</c:v>
                </c:pt>
                <c:pt idx="2">
                  <c:v>163.22222222222223</c:v>
                </c:pt>
                <c:pt idx="3">
                  <c:v>609.78082191780823</c:v>
                </c:pt>
                <c:pt idx="4">
                  <c:v>731.6875</c:v>
                </c:pt>
                <c:pt idx="5">
                  <c:v>582.02380952380952</c:v>
                </c:pt>
              </c:numCache>
            </c:numRef>
          </c:val>
          <c:extLst>
            <c:ext xmlns:c16="http://schemas.microsoft.com/office/drawing/2014/chart" uri="{C3380CC4-5D6E-409C-BE32-E72D297353CC}">
              <c16:uniqueId val="{00000000-B241-4579-82E6-5AA39D0B9B03}"/>
            </c:ext>
          </c:extLst>
        </c:ser>
        <c:ser>
          <c:idx val="1"/>
          <c:order val="1"/>
          <c:tx>
            <c:strRef>
              <c:f>'Relation type suburb price'!$J$2:$J$3</c:f>
              <c:strCache>
                <c:ptCount val="1"/>
                <c:pt idx="0">
                  <c:v>t</c:v>
                </c:pt>
              </c:strCache>
            </c:strRef>
          </c:tx>
          <c:spPr>
            <a:solidFill>
              <a:schemeClr val="accent2"/>
            </a:solidFill>
            <a:ln>
              <a:noFill/>
            </a:ln>
            <a:effectLst/>
          </c:spPr>
          <c:invertIfNegative val="0"/>
          <c:cat>
            <c:strRef>
              <c:f>'Relation type suburb price'!$H$4:$H$9</c:f>
              <c:strCache>
                <c:ptCount val="6"/>
                <c:pt idx="0">
                  <c:v>Albert Park</c:v>
                </c:pt>
                <c:pt idx="1">
                  <c:v>Brunswick East</c:v>
                </c:pt>
                <c:pt idx="2">
                  <c:v>Fitzroy</c:v>
                </c:pt>
                <c:pt idx="3">
                  <c:v>Kew</c:v>
                </c:pt>
                <c:pt idx="4">
                  <c:v>Melton</c:v>
                </c:pt>
                <c:pt idx="5">
                  <c:v>Reservoir</c:v>
                </c:pt>
              </c:strCache>
            </c:strRef>
          </c:cat>
          <c:val>
            <c:numRef>
              <c:f>'Relation type suburb price'!$J$4:$J$9</c:f>
              <c:numCache>
                <c:formatCode>0.00</c:formatCode>
                <c:ptCount val="6"/>
                <c:pt idx="1">
                  <c:v>91.125</c:v>
                </c:pt>
                <c:pt idx="2">
                  <c:v>1424.8</c:v>
                </c:pt>
                <c:pt idx="3">
                  <c:v>482.66666666666669</c:v>
                </c:pt>
                <c:pt idx="5">
                  <c:v>136.85714285714286</c:v>
                </c:pt>
              </c:numCache>
            </c:numRef>
          </c:val>
          <c:extLst>
            <c:ext xmlns:c16="http://schemas.microsoft.com/office/drawing/2014/chart" uri="{C3380CC4-5D6E-409C-BE32-E72D297353CC}">
              <c16:uniqueId val="{00000001-B241-4579-82E6-5AA39D0B9B03}"/>
            </c:ext>
          </c:extLst>
        </c:ser>
        <c:ser>
          <c:idx val="2"/>
          <c:order val="2"/>
          <c:tx>
            <c:strRef>
              <c:f>'Relation type suburb price'!$K$2:$K$3</c:f>
              <c:strCache>
                <c:ptCount val="1"/>
                <c:pt idx="0">
                  <c:v>u</c:v>
                </c:pt>
              </c:strCache>
            </c:strRef>
          </c:tx>
          <c:spPr>
            <a:solidFill>
              <a:schemeClr val="accent3"/>
            </a:solidFill>
            <a:ln>
              <a:noFill/>
            </a:ln>
            <a:effectLst/>
          </c:spPr>
          <c:invertIfNegative val="0"/>
          <c:cat>
            <c:strRef>
              <c:f>'Relation type suburb price'!$H$4:$H$9</c:f>
              <c:strCache>
                <c:ptCount val="6"/>
                <c:pt idx="0">
                  <c:v>Albert Park</c:v>
                </c:pt>
                <c:pt idx="1">
                  <c:v>Brunswick East</c:v>
                </c:pt>
                <c:pt idx="2">
                  <c:v>Fitzroy</c:v>
                </c:pt>
                <c:pt idx="3">
                  <c:v>Kew</c:v>
                </c:pt>
                <c:pt idx="4">
                  <c:v>Melton</c:v>
                </c:pt>
                <c:pt idx="5">
                  <c:v>Reservoir</c:v>
                </c:pt>
              </c:strCache>
            </c:strRef>
          </c:cat>
          <c:val>
            <c:numRef>
              <c:f>'Relation type suburb price'!$K$4:$K$9</c:f>
              <c:numCache>
                <c:formatCode>0.00</c:formatCode>
                <c:ptCount val="6"/>
                <c:pt idx="0">
                  <c:v>108</c:v>
                </c:pt>
                <c:pt idx="1">
                  <c:v>107.6</c:v>
                </c:pt>
                <c:pt idx="2">
                  <c:v>1379.3333333333333</c:v>
                </c:pt>
                <c:pt idx="3">
                  <c:v>149.70588235294119</c:v>
                </c:pt>
                <c:pt idx="5">
                  <c:v>148.48936170212767</c:v>
                </c:pt>
              </c:numCache>
            </c:numRef>
          </c:val>
          <c:extLst>
            <c:ext xmlns:c16="http://schemas.microsoft.com/office/drawing/2014/chart" uri="{C3380CC4-5D6E-409C-BE32-E72D297353CC}">
              <c16:uniqueId val="{00000002-B241-4579-82E6-5AA39D0B9B03}"/>
            </c:ext>
          </c:extLst>
        </c:ser>
        <c:dLbls>
          <c:showLegendKey val="0"/>
          <c:showVal val="0"/>
          <c:showCatName val="0"/>
          <c:showSerName val="0"/>
          <c:showPercent val="0"/>
          <c:showBubbleSize val="0"/>
        </c:dLbls>
        <c:gapWidth val="219"/>
        <c:overlap val="-27"/>
        <c:axId val="1208370687"/>
        <c:axId val="1334629103"/>
      </c:barChart>
      <c:catAx>
        <c:axId val="1208370687"/>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34629103"/>
        <c:crosses val="autoZero"/>
        <c:auto val="1"/>
        <c:lblAlgn val="ctr"/>
        <c:lblOffset val="100"/>
        <c:noMultiLvlLbl val="0"/>
      </c:catAx>
      <c:valAx>
        <c:axId val="1334629103"/>
        <c:scaling>
          <c:orientation val="minMax"/>
        </c:scaling>
        <c:delete val="0"/>
        <c:axPos val="l"/>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0837068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6551778333097568E-2"/>
          <c:y val="6.2048606790968276E-2"/>
          <c:w val="0.87877410533264178"/>
          <c:h val="0.7054987765355516"/>
        </c:manualLayout>
      </c:layout>
      <c:lineChart>
        <c:grouping val="stacked"/>
        <c:varyColors val="0"/>
        <c:ser>
          <c:idx val="0"/>
          <c:order val="0"/>
          <c:tx>
            <c:strRef>
              <c:f>'Two-series line chart'!$E$2</c:f>
              <c:strCache>
                <c:ptCount val="1"/>
                <c:pt idx="0">
                  <c:v>Within 4km </c:v>
                </c:pt>
              </c:strCache>
            </c:strRef>
          </c:tx>
          <c:spPr>
            <a:ln w="28575" cap="rnd">
              <a:solidFill>
                <a:schemeClr val="accent1"/>
              </a:solidFill>
              <a:round/>
            </a:ln>
            <a:effectLst/>
          </c:spPr>
          <c:marker>
            <c:symbol val="none"/>
          </c:marker>
          <c:cat>
            <c:numRef>
              <c:f>'Two-series line chart'!$D$3:$D$18</c:f>
              <c:numCache>
                <c:formatCode>General</c:formatCode>
                <c:ptCount val="16"/>
                <c:pt idx="0">
                  <c:v>1870</c:v>
                </c:pt>
                <c:pt idx="1">
                  <c:v>1880</c:v>
                </c:pt>
                <c:pt idx="2">
                  <c:v>1890</c:v>
                </c:pt>
                <c:pt idx="3">
                  <c:v>1900</c:v>
                </c:pt>
                <c:pt idx="4">
                  <c:v>1910</c:v>
                </c:pt>
                <c:pt idx="5">
                  <c:v>1920</c:v>
                </c:pt>
                <c:pt idx="6">
                  <c:v>1930</c:v>
                </c:pt>
                <c:pt idx="7">
                  <c:v>1940</c:v>
                </c:pt>
                <c:pt idx="8">
                  <c:v>1950</c:v>
                </c:pt>
                <c:pt idx="9">
                  <c:v>1960</c:v>
                </c:pt>
                <c:pt idx="10">
                  <c:v>1970</c:v>
                </c:pt>
                <c:pt idx="11">
                  <c:v>1980</c:v>
                </c:pt>
                <c:pt idx="12">
                  <c:v>1990</c:v>
                </c:pt>
                <c:pt idx="13">
                  <c:v>2000</c:v>
                </c:pt>
                <c:pt idx="14">
                  <c:v>2010</c:v>
                </c:pt>
                <c:pt idx="15">
                  <c:v>2020</c:v>
                </c:pt>
              </c:numCache>
            </c:numRef>
          </c:cat>
          <c:val>
            <c:numRef>
              <c:f>'Two-series line chart'!$E$3:$E$18</c:f>
              <c:numCache>
                <c:formatCode>General</c:formatCode>
                <c:ptCount val="16"/>
                <c:pt idx="0">
                  <c:v>1</c:v>
                </c:pt>
                <c:pt idx="1">
                  <c:v>7</c:v>
                </c:pt>
                <c:pt idx="2">
                  <c:v>37</c:v>
                </c:pt>
                <c:pt idx="3">
                  <c:v>14</c:v>
                </c:pt>
                <c:pt idx="4">
                  <c:v>11</c:v>
                </c:pt>
                <c:pt idx="5">
                  <c:v>15</c:v>
                </c:pt>
                <c:pt idx="6">
                  <c:v>13</c:v>
                </c:pt>
                <c:pt idx="7">
                  <c:v>19</c:v>
                </c:pt>
                <c:pt idx="8">
                  <c:v>32</c:v>
                </c:pt>
                <c:pt idx="9">
                  <c:v>38</c:v>
                </c:pt>
                <c:pt idx="10">
                  <c:v>50</c:v>
                </c:pt>
                <c:pt idx="11">
                  <c:v>33</c:v>
                </c:pt>
                <c:pt idx="12">
                  <c:v>9</c:v>
                </c:pt>
                <c:pt idx="13">
                  <c:v>26</c:v>
                </c:pt>
                <c:pt idx="14">
                  <c:v>41</c:v>
                </c:pt>
                <c:pt idx="15">
                  <c:v>44</c:v>
                </c:pt>
              </c:numCache>
            </c:numRef>
          </c:val>
          <c:smooth val="0"/>
          <c:extLst>
            <c:ext xmlns:c16="http://schemas.microsoft.com/office/drawing/2014/chart" uri="{C3380CC4-5D6E-409C-BE32-E72D297353CC}">
              <c16:uniqueId val="{00000000-8907-439B-A3BA-BE10A39F794E}"/>
            </c:ext>
          </c:extLst>
        </c:ser>
        <c:ser>
          <c:idx val="1"/>
          <c:order val="1"/>
          <c:tx>
            <c:strRef>
              <c:f>'Two-series line chart'!$F$2</c:f>
              <c:strCache>
                <c:ptCount val="1"/>
                <c:pt idx="0">
                  <c:v>Beyond 4km</c:v>
                </c:pt>
              </c:strCache>
            </c:strRef>
          </c:tx>
          <c:spPr>
            <a:ln w="28575" cap="rnd">
              <a:solidFill>
                <a:schemeClr val="accent2"/>
              </a:solidFill>
              <a:round/>
            </a:ln>
            <a:effectLst/>
          </c:spPr>
          <c:marker>
            <c:symbol val="none"/>
          </c:marker>
          <c:cat>
            <c:numRef>
              <c:f>'Two-series line chart'!$D$3:$D$18</c:f>
              <c:numCache>
                <c:formatCode>General</c:formatCode>
                <c:ptCount val="16"/>
                <c:pt idx="0">
                  <c:v>1870</c:v>
                </c:pt>
                <c:pt idx="1">
                  <c:v>1880</c:v>
                </c:pt>
                <c:pt idx="2">
                  <c:v>1890</c:v>
                </c:pt>
                <c:pt idx="3">
                  <c:v>1900</c:v>
                </c:pt>
                <c:pt idx="4">
                  <c:v>1910</c:v>
                </c:pt>
                <c:pt idx="5">
                  <c:v>1920</c:v>
                </c:pt>
                <c:pt idx="6">
                  <c:v>1930</c:v>
                </c:pt>
                <c:pt idx="7">
                  <c:v>1940</c:v>
                </c:pt>
                <c:pt idx="8">
                  <c:v>1950</c:v>
                </c:pt>
                <c:pt idx="9">
                  <c:v>1960</c:v>
                </c:pt>
                <c:pt idx="10">
                  <c:v>1970</c:v>
                </c:pt>
                <c:pt idx="11">
                  <c:v>1980</c:v>
                </c:pt>
                <c:pt idx="12">
                  <c:v>1990</c:v>
                </c:pt>
                <c:pt idx="13">
                  <c:v>2000</c:v>
                </c:pt>
                <c:pt idx="14">
                  <c:v>2010</c:v>
                </c:pt>
                <c:pt idx="15">
                  <c:v>2020</c:v>
                </c:pt>
              </c:numCache>
            </c:numRef>
          </c:cat>
          <c:val>
            <c:numRef>
              <c:f>'Two-series line chart'!$F$3:$F$18</c:f>
              <c:numCache>
                <c:formatCode>General</c:formatCode>
                <c:ptCount val="16"/>
                <c:pt idx="0">
                  <c:v>0</c:v>
                </c:pt>
                <c:pt idx="1">
                  <c:v>5</c:v>
                </c:pt>
                <c:pt idx="2">
                  <c:v>22</c:v>
                </c:pt>
                <c:pt idx="3">
                  <c:v>10</c:v>
                </c:pt>
                <c:pt idx="4">
                  <c:v>9</c:v>
                </c:pt>
                <c:pt idx="5">
                  <c:v>19</c:v>
                </c:pt>
                <c:pt idx="6">
                  <c:v>11</c:v>
                </c:pt>
                <c:pt idx="7">
                  <c:v>16</c:v>
                </c:pt>
                <c:pt idx="8">
                  <c:v>39</c:v>
                </c:pt>
                <c:pt idx="9">
                  <c:v>38</c:v>
                </c:pt>
                <c:pt idx="10">
                  <c:v>46</c:v>
                </c:pt>
                <c:pt idx="11">
                  <c:v>31</c:v>
                </c:pt>
                <c:pt idx="12">
                  <c:v>9</c:v>
                </c:pt>
                <c:pt idx="13">
                  <c:v>19</c:v>
                </c:pt>
                <c:pt idx="14">
                  <c:v>41</c:v>
                </c:pt>
                <c:pt idx="15">
                  <c:v>42</c:v>
                </c:pt>
              </c:numCache>
            </c:numRef>
          </c:val>
          <c:smooth val="0"/>
          <c:extLst>
            <c:ext xmlns:c16="http://schemas.microsoft.com/office/drawing/2014/chart" uri="{C3380CC4-5D6E-409C-BE32-E72D297353CC}">
              <c16:uniqueId val="{00000001-8907-439B-A3BA-BE10A39F794E}"/>
            </c:ext>
          </c:extLst>
        </c:ser>
        <c:dLbls>
          <c:showLegendKey val="0"/>
          <c:showVal val="0"/>
          <c:showCatName val="0"/>
          <c:showSerName val="0"/>
          <c:showPercent val="0"/>
          <c:showBubbleSize val="0"/>
        </c:dLbls>
        <c:smooth val="0"/>
        <c:axId val="2117217263"/>
        <c:axId val="2117222543"/>
      </c:lineChart>
      <c:catAx>
        <c:axId val="211721726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17222543"/>
        <c:crosses val="autoZero"/>
        <c:auto val="1"/>
        <c:lblAlgn val="ctr"/>
        <c:lblOffset val="100"/>
        <c:noMultiLvlLbl val="0"/>
      </c:catAx>
      <c:valAx>
        <c:axId val="211722254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a:t>
                </a:r>
                <a:r>
                  <a:rPr lang="en-US" baseline="0"/>
                  <a:t> with Property Constructed</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1721726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'Chart 3'!$A$2:$A$434</cx:f>
        <cx:lvl ptCount="433">
          <cx:pt idx="0">Albert Park</cx:pt>
          <cx:pt idx="1">Albert Park</cx:pt>
          <cx:pt idx="2">Albert Park</cx:pt>
          <cx:pt idx="3">Albert Park</cx:pt>
          <cx:pt idx="4">Albert Park</cx:pt>
          <cx:pt idx="5">Albert Park</cx:pt>
          <cx:pt idx="6">Albert Park</cx:pt>
          <cx:pt idx="7">Albert Park</cx:pt>
          <cx:pt idx="8">Albert Park</cx:pt>
          <cx:pt idx="9">Albert Park</cx:pt>
          <cx:pt idx="10">Albert Park</cx:pt>
          <cx:pt idx="11">Albert Park</cx:pt>
          <cx:pt idx="12">Albert Park</cx:pt>
          <cx:pt idx="13">Albert Park</cx:pt>
          <cx:pt idx="14">Albert Park</cx:pt>
          <cx:pt idx="15">Albert Park</cx:pt>
          <cx:pt idx="16">Albert Park</cx:pt>
          <cx:pt idx="17">Albert Park</cx:pt>
          <cx:pt idx="18">Albert Park</cx:pt>
          <cx:pt idx="19">Albert Park</cx:pt>
          <cx:pt idx="20">Albert Park</cx:pt>
          <cx:pt idx="21">Albert Park</cx:pt>
          <cx:pt idx="22">Albert Park</cx:pt>
          <cx:pt idx="23">Fitzroy</cx:pt>
          <cx:pt idx="24">Fitzroy</cx:pt>
          <cx:pt idx="25">Fitzroy</cx:pt>
          <cx:pt idx="26">Fitzroy</cx:pt>
          <cx:pt idx="27">Fitzroy</cx:pt>
          <cx:pt idx="28">Fitzroy</cx:pt>
          <cx:pt idx="29">Fitzroy</cx:pt>
          <cx:pt idx="30">Fitzroy</cx:pt>
          <cx:pt idx="31">Fitzroy</cx:pt>
          <cx:pt idx="32">Fitzroy</cx:pt>
          <cx:pt idx="33">Fitzroy</cx:pt>
          <cx:pt idx="34">Fitzroy</cx:pt>
          <cx:pt idx="35">Fitzroy</cx:pt>
          <cx:pt idx="36">Fitzroy</cx:pt>
          <cx:pt idx="37">Fitzroy</cx:pt>
          <cx:pt idx="38">Fitzroy</cx:pt>
          <cx:pt idx="39">Fitzroy</cx:pt>
          <cx:pt idx="40">Fitzroy</cx:pt>
          <cx:pt idx="41">Fitzroy</cx:pt>
          <cx:pt idx="42">Kew</cx:pt>
          <cx:pt idx="43">Kew</cx:pt>
          <cx:pt idx="44">Kew</cx:pt>
          <cx:pt idx="45">Kew</cx:pt>
          <cx:pt idx="46">Kew</cx:pt>
          <cx:pt idx="47">Kew</cx:pt>
          <cx:pt idx="48">Kew</cx:pt>
          <cx:pt idx="49">Kew</cx:pt>
          <cx:pt idx="50">Kew</cx:pt>
          <cx:pt idx="51">Kew</cx:pt>
          <cx:pt idx="52">Kew</cx:pt>
          <cx:pt idx="53">Kew</cx:pt>
          <cx:pt idx="54">Kew</cx:pt>
          <cx:pt idx="55">Kew</cx:pt>
          <cx:pt idx="56">Kew</cx:pt>
          <cx:pt idx="57">Kew</cx:pt>
          <cx:pt idx="58">Kew</cx:pt>
          <cx:pt idx="59">Kew</cx:pt>
          <cx:pt idx="60">Kew</cx:pt>
          <cx:pt idx="61">Kew</cx:pt>
          <cx:pt idx="62">Kew</cx:pt>
          <cx:pt idx="63">Kew</cx:pt>
          <cx:pt idx="64">Kew</cx:pt>
          <cx:pt idx="65">Kew</cx:pt>
          <cx:pt idx="66">Kew</cx:pt>
          <cx:pt idx="67">Kew</cx:pt>
          <cx:pt idx="68">Kew</cx:pt>
          <cx:pt idx="69">Kew</cx:pt>
          <cx:pt idx="70">Kew</cx:pt>
          <cx:pt idx="71">Kew</cx:pt>
          <cx:pt idx="72">Kew</cx:pt>
          <cx:pt idx="73">Kew</cx:pt>
          <cx:pt idx="74">Kew</cx:pt>
          <cx:pt idx="75">Kew</cx:pt>
          <cx:pt idx="76">Kew</cx:pt>
          <cx:pt idx="77">Kew</cx:pt>
          <cx:pt idx="78">Kew</cx:pt>
          <cx:pt idx="79">Kew</cx:pt>
          <cx:pt idx="80">Kew</cx:pt>
          <cx:pt idx="81">Kew</cx:pt>
          <cx:pt idx="82">Kew</cx:pt>
          <cx:pt idx="83">Kew</cx:pt>
          <cx:pt idx="84">Kew</cx:pt>
          <cx:pt idx="85">Kew</cx:pt>
          <cx:pt idx="86">Kew</cx:pt>
          <cx:pt idx="87">Kew</cx:pt>
          <cx:pt idx="88">Kew</cx:pt>
          <cx:pt idx="89">Kew</cx:pt>
          <cx:pt idx="90">Kew</cx:pt>
          <cx:pt idx="91">Kew</cx:pt>
          <cx:pt idx="92">Kew</cx:pt>
          <cx:pt idx="93">Kew</cx:pt>
          <cx:pt idx="94">Kew</cx:pt>
          <cx:pt idx="95">Kew</cx:pt>
          <cx:pt idx="96">Kew</cx:pt>
          <cx:pt idx="97">Kew</cx:pt>
          <cx:pt idx="98">Kew</cx:pt>
          <cx:pt idx="99">Kew</cx:pt>
          <cx:pt idx="100">Reservoir</cx:pt>
          <cx:pt idx="101">Reservoir</cx:pt>
          <cx:pt idx="102">Reservoir</cx:pt>
          <cx:pt idx="103">Reservoir</cx:pt>
          <cx:pt idx="104">Reservoir</cx:pt>
          <cx:pt idx="105">Reservoir</cx:pt>
          <cx:pt idx="106">Reservoir</cx:pt>
          <cx:pt idx="107">Reservoir</cx:pt>
          <cx:pt idx="108">Reservoir</cx:pt>
          <cx:pt idx="109">Reservoir</cx:pt>
          <cx:pt idx="110">Reservoir</cx:pt>
          <cx:pt idx="111">Reservoir</cx:pt>
          <cx:pt idx="112">Reservoir</cx:pt>
          <cx:pt idx="113">Reservoir</cx:pt>
          <cx:pt idx="114">Reservoir</cx:pt>
          <cx:pt idx="115">Reservoir</cx:pt>
          <cx:pt idx="116">Reservoir</cx:pt>
          <cx:pt idx="117">Reservoir</cx:pt>
          <cx:pt idx="118">Reservoir</cx:pt>
          <cx:pt idx="119">Reservoir</cx:pt>
          <cx:pt idx="120">Reservoir</cx:pt>
          <cx:pt idx="121">Reservoir</cx:pt>
          <cx:pt idx="122">Reservoir</cx:pt>
          <cx:pt idx="123">Reservoir</cx:pt>
          <cx:pt idx="124">Reservoir</cx:pt>
          <cx:pt idx="125">Reservoir</cx:pt>
          <cx:pt idx="126">Reservoir</cx:pt>
          <cx:pt idx="127">Reservoir</cx:pt>
          <cx:pt idx="128">Reservoir</cx:pt>
          <cx:pt idx="129">Reservoir</cx:pt>
          <cx:pt idx="130">Reservoir</cx:pt>
          <cx:pt idx="131">Reservoir</cx:pt>
          <cx:pt idx="132">Reservoir</cx:pt>
          <cx:pt idx="133">Reservoir</cx:pt>
          <cx:pt idx="134">Reservoir</cx:pt>
          <cx:pt idx="135">Reservoir</cx:pt>
          <cx:pt idx="136">Reservoir</cx:pt>
          <cx:pt idx="137">Reservoir</cx:pt>
          <cx:pt idx="138">Reservoir</cx:pt>
          <cx:pt idx="139">Reservoir</cx:pt>
          <cx:pt idx="140">Reservoir</cx:pt>
          <cx:pt idx="141">Reservoir</cx:pt>
          <cx:pt idx="142">Reservoir</cx:pt>
          <cx:pt idx="143">Reservoir</cx:pt>
          <cx:pt idx="144">Reservoir</cx:pt>
          <cx:pt idx="145">Reservoir</cx:pt>
          <cx:pt idx="146">Reservoir</cx:pt>
          <cx:pt idx="147">Reservoir</cx:pt>
          <cx:pt idx="148">Reservoir</cx:pt>
          <cx:pt idx="149">Reservoir</cx:pt>
          <cx:pt idx="150">Reservoir</cx:pt>
          <cx:pt idx="151">Reservoir</cx:pt>
          <cx:pt idx="152">Reservoir</cx:pt>
          <cx:pt idx="153">Reservoir</cx:pt>
          <cx:pt idx="154">Reservoir</cx:pt>
          <cx:pt idx="155">Reservoir</cx:pt>
          <cx:pt idx="156">Reservoir</cx:pt>
          <cx:pt idx="157">Reservoir</cx:pt>
          <cx:pt idx="158">Reservoir</cx:pt>
          <cx:pt idx="159">Reservoir</cx:pt>
          <cx:pt idx="160">Reservoir</cx:pt>
          <cx:pt idx="161">Reservoir</cx:pt>
          <cx:pt idx="162">Reservoir</cx:pt>
          <cx:pt idx="163">Reservoir</cx:pt>
          <cx:pt idx="164">Reservoir</cx:pt>
          <cx:pt idx="165">Reservoir</cx:pt>
          <cx:pt idx="166">Reservoir</cx:pt>
          <cx:pt idx="167">Reservoir</cx:pt>
          <cx:pt idx="168">Reservoir</cx:pt>
          <cx:pt idx="169">Reservoir</cx:pt>
          <cx:pt idx="170">Reservoir</cx:pt>
          <cx:pt idx="171">Reservoir</cx:pt>
          <cx:pt idx="172">Reservoir</cx:pt>
          <cx:pt idx="173">Reservoir</cx:pt>
          <cx:pt idx="174">Reservoir</cx:pt>
          <cx:pt idx="175">Reservoir</cx:pt>
          <cx:pt idx="176">Reservoir</cx:pt>
          <cx:pt idx="177">Reservoir</cx:pt>
          <cx:pt idx="178">Reservoir</cx:pt>
          <cx:pt idx="179">Reservoir</cx:pt>
          <cx:pt idx="180">Reservoir</cx:pt>
          <cx:pt idx="181">Reservoir</cx:pt>
          <cx:pt idx="182">Reservoir</cx:pt>
          <cx:pt idx="183">Reservoir</cx:pt>
          <cx:pt idx="184">Reservoir</cx:pt>
          <cx:pt idx="185">Reservoir</cx:pt>
          <cx:pt idx="186">Reservoir</cx:pt>
          <cx:pt idx="187">Reservoir</cx:pt>
          <cx:pt idx="188">Reservoir</cx:pt>
          <cx:pt idx="189">Reservoir</cx:pt>
          <cx:pt idx="190">Reservoir</cx:pt>
          <cx:pt idx="191">Reservoir</cx:pt>
          <cx:pt idx="192">Reservoir</cx:pt>
          <cx:pt idx="193">Reservoir</cx:pt>
          <cx:pt idx="194">Reservoir</cx:pt>
          <cx:pt idx="195">Reservoir</cx:pt>
          <cx:pt idx="196">Reservoir</cx:pt>
          <cx:pt idx="197">Reservoir</cx:pt>
          <cx:pt idx="198">Reservoir</cx:pt>
          <cx:pt idx="199">Reservoir</cx:pt>
          <cx:pt idx="200">Reservoir</cx:pt>
          <cx:pt idx="201">Reservoir</cx:pt>
          <cx:pt idx="202">Reservoir</cx:pt>
          <cx:pt idx="203">Reservoir</cx:pt>
          <cx:pt idx="204">Reservoir</cx:pt>
          <cx:pt idx="205">Reservoir</cx:pt>
          <cx:pt idx="206">Reservoir</cx:pt>
          <cx:pt idx="207">Reservoir</cx:pt>
          <cx:pt idx="208">Reservoir</cx:pt>
          <cx:pt idx="209">Reservoir</cx:pt>
          <cx:pt idx="210">Reservoir</cx:pt>
          <cx:pt idx="211">Reservoir</cx:pt>
          <cx:pt idx="212">Reservoir</cx:pt>
          <cx:pt idx="213">Reservoir</cx:pt>
          <cx:pt idx="214">Reservoir</cx:pt>
          <cx:pt idx="215">Brunswick East</cx:pt>
          <cx:pt idx="216">Brunswick East</cx:pt>
          <cx:pt idx="217">Brunswick East</cx:pt>
          <cx:pt idx="218">Brunswick East</cx:pt>
          <cx:pt idx="219">Brunswick East</cx:pt>
          <cx:pt idx="220">Brunswick East</cx:pt>
          <cx:pt idx="221">Brunswick East</cx:pt>
          <cx:pt idx="222">Brunswick East</cx:pt>
          <cx:pt idx="223">Brunswick East</cx:pt>
          <cx:pt idx="224">Brunswick East</cx:pt>
          <cx:pt idx="225">Brunswick East</cx:pt>
          <cx:pt idx="226">Brunswick East</cx:pt>
          <cx:pt idx="227">Brunswick East</cx:pt>
          <cx:pt idx="228">Brunswick East</cx:pt>
          <cx:pt idx="229">Brunswick East</cx:pt>
          <cx:pt idx="230">Brunswick East</cx:pt>
          <cx:pt idx="231">Brunswick East</cx:pt>
          <cx:pt idx="232">Brunswick East</cx:pt>
          <cx:pt idx="233">Brunswick East</cx:pt>
          <cx:pt idx="234">Brunswick East</cx:pt>
          <cx:pt idx="235">Brunswick East</cx:pt>
          <cx:pt idx="236">Brunswick East</cx:pt>
          <cx:pt idx="237">Brunswick East</cx:pt>
          <cx:pt idx="238">Brunswick East</cx:pt>
          <cx:pt idx="239">Brunswick East</cx:pt>
          <cx:pt idx="240">Albert Park</cx:pt>
          <cx:pt idx="241">Albert Park</cx:pt>
          <cx:pt idx="242">Albert Park</cx:pt>
          <cx:pt idx="243">Albert Park</cx:pt>
          <cx:pt idx="244">Brunswick East</cx:pt>
          <cx:pt idx="245">Brunswick East</cx:pt>
          <cx:pt idx="246">Brunswick East</cx:pt>
          <cx:pt idx="247">Brunswick East</cx:pt>
          <cx:pt idx="248">Brunswick East</cx:pt>
          <cx:pt idx="249">Brunswick East</cx:pt>
          <cx:pt idx="250">Kew</cx:pt>
          <cx:pt idx="251">Kew</cx:pt>
          <cx:pt idx="252">Kew</cx:pt>
          <cx:pt idx="253">Kew</cx:pt>
          <cx:pt idx="254">Kew</cx:pt>
          <cx:pt idx="255">Kew</cx:pt>
          <cx:pt idx="256">Kew</cx:pt>
          <cx:pt idx="257">Reservoir</cx:pt>
          <cx:pt idx="258">Reservoir</cx:pt>
          <cx:pt idx="259">Reservoir</cx:pt>
          <cx:pt idx="260">Reservoir</cx:pt>
          <cx:pt idx="261">Reservoir</cx:pt>
          <cx:pt idx="262">Reservoir</cx:pt>
          <cx:pt idx="263">Reservoir</cx:pt>
          <cx:pt idx="264">Reservoir</cx:pt>
          <cx:pt idx="265">Reservoir</cx:pt>
          <cx:pt idx="266">Reservoir</cx:pt>
          <cx:pt idx="267">Reservoir</cx:pt>
          <cx:pt idx="268">Reservoir</cx:pt>
          <cx:pt idx="269">Reservoir</cx:pt>
          <cx:pt idx="270">Fitzroy</cx:pt>
          <cx:pt idx="271">Fitzroy</cx:pt>
          <cx:pt idx="272">Fitzroy</cx:pt>
          <cx:pt idx="273">Melton</cx:pt>
          <cx:pt idx="274">Melton</cx:pt>
          <cx:pt idx="275">Reservoir</cx:pt>
          <cx:pt idx="276">Reservoir</cx:pt>
          <cx:pt idx="277">Albert Park</cx:pt>
          <cx:pt idx="278">Brunswick East</cx:pt>
          <cx:pt idx="279">Kew</cx:pt>
          <cx:pt idx="280">Kew</cx:pt>
          <cx:pt idx="281">Reservoir</cx:pt>
          <cx:pt idx="282">Reservoir</cx:pt>
          <cx:pt idx="283">Reservoir</cx:pt>
          <cx:pt idx="284">Fitzroy</cx:pt>
          <cx:pt idx="285">Kew</cx:pt>
          <cx:pt idx="286">Melton</cx:pt>
          <cx:pt idx="287">Reservoir</cx:pt>
          <cx:pt idx="288">Reservoir</cx:pt>
          <cx:pt idx="289">Albert Park</cx:pt>
          <cx:pt idx="290">Fitzroy</cx:pt>
          <cx:pt idx="291">Melton</cx:pt>
          <cx:pt idx="292">Reservoir</cx:pt>
          <cx:pt idx="293">Reservoir</cx:pt>
          <cx:pt idx="294">Reservoir</cx:pt>
          <cx:pt idx="295">Albert Park</cx:pt>
          <cx:pt idx="296">Brunswick East</cx:pt>
          <cx:pt idx="297">Kew</cx:pt>
          <cx:pt idx="298">Melton</cx:pt>
          <cx:pt idx="299">Reservoir</cx:pt>
          <cx:pt idx="300">Reservoir</cx:pt>
          <cx:pt idx="301">Reservoir</cx:pt>
          <cx:pt idx="302">Brunswick East</cx:pt>
          <cx:pt idx="303">Brunswick East</cx:pt>
          <cx:pt idx="304">Brunswick East</cx:pt>
          <cx:pt idx="305">Fitzroy</cx:pt>
          <cx:pt idx="306">Fitzroy</cx:pt>
          <cx:pt idx="307">Fitzroy</cx:pt>
          <cx:pt idx="308">Kew</cx:pt>
          <cx:pt idx="309">Melton</cx:pt>
          <cx:pt idx="310">Melton</cx:pt>
          <cx:pt idx="311">Reservoir</cx:pt>
          <cx:pt idx="312">Fitzroy</cx:pt>
          <cx:pt idx="313">Kew</cx:pt>
          <cx:pt idx="314">Kew</cx:pt>
          <cx:pt idx="315">Kew</cx:pt>
          <cx:pt idx="316">Reservoir</cx:pt>
          <cx:pt idx="317">Reservoir</cx:pt>
          <cx:pt idx="318">Reservoir</cx:pt>
          <cx:pt idx="319">Reservoir</cx:pt>
          <cx:pt idx="320">Brunswick East</cx:pt>
          <cx:pt idx="321">Fitzroy</cx:pt>
          <cx:pt idx="322">Kew</cx:pt>
          <cx:pt idx="323">Reservoir</cx:pt>
          <cx:pt idx="324">Reservoir</cx:pt>
          <cx:pt idx="325">Reservoir</cx:pt>
          <cx:pt idx="326">Reservoir</cx:pt>
          <cx:pt idx="327">Brunswick East</cx:pt>
          <cx:pt idx="328">Kew</cx:pt>
          <cx:pt idx="329">Reservoir</cx:pt>
          <cx:pt idx="330">Reservoir</cx:pt>
          <cx:pt idx="331">Reservoir</cx:pt>
          <cx:pt idx="332">Brunswick East</cx:pt>
          <cx:pt idx="333">Brunswick East</cx:pt>
          <cx:pt idx="334">Brunswick East</cx:pt>
          <cx:pt idx="335">Brunswick East</cx:pt>
          <cx:pt idx="336">Kew</cx:pt>
          <cx:pt idx="337">Kew</cx:pt>
          <cx:pt idx="338">Reservoir</cx:pt>
          <cx:pt idx="339">Fitzroy</cx:pt>
          <cx:pt idx="340">Kew</cx:pt>
          <cx:pt idx="341">Melton</cx:pt>
          <cx:pt idx="342">Reservoir</cx:pt>
          <cx:pt idx="343">Reservoir</cx:pt>
          <cx:pt idx="344">Reservoir</cx:pt>
          <cx:pt idx="345">Reservoir</cx:pt>
          <cx:pt idx="346">Brunswick East</cx:pt>
          <cx:pt idx="347">Reservoir</cx:pt>
          <cx:pt idx="348">Reservoir</cx:pt>
          <cx:pt idx="349">Brunswick East</cx:pt>
          <cx:pt idx="350">Fitzroy</cx:pt>
          <cx:pt idx="351">Kew</cx:pt>
          <cx:pt idx="352">Reservoir</cx:pt>
          <cx:pt idx="353">Reservoir</cx:pt>
          <cx:pt idx="354">Reservoir</cx:pt>
          <cx:pt idx="355">Fitzroy</cx:pt>
          <cx:pt idx="356">Kew</cx:pt>
          <cx:pt idx="357">Kew</cx:pt>
          <cx:pt idx="358">Kew</cx:pt>
          <cx:pt idx="359">Melton</cx:pt>
          <cx:pt idx="360">Reservoir</cx:pt>
          <cx:pt idx="361">Reservoir</cx:pt>
          <cx:pt idx="362">Albert Park</cx:pt>
          <cx:pt idx="363">Brunswick East</cx:pt>
          <cx:pt idx="364">Kew</cx:pt>
          <cx:pt idx="365">Kew</cx:pt>
          <cx:pt idx="366">Kew</cx:pt>
          <cx:pt idx="367">Melton</cx:pt>
          <cx:pt idx="368">Reservoir</cx:pt>
          <cx:pt idx="369">Reservoir</cx:pt>
          <cx:pt idx="370">Reservoir</cx:pt>
          <cx:pt idx="371">Reservoir</cx:pt>
          <cx:pt idx="372">Reservoir</cx:pt>
          <cx:pt idx="373">Brunswick East</cx:pt>
          <cx:pt idx="374">Melton</cx:pt>
          <cx:pt idx="375">Reservoir</cx:pt>
          <cx:pt idx="376">Reservoir</cx:pt>
          <cx:pt idx="377">Albert Park</cx:pt>
          <cx:pt idx="378">Albert Park</cx:pt>
          <cx:pt idx="379">Kew</cx:pt>
          <cx:pt idx="380">Reservoir</cx:pt>
          <cx:pt idx="381">Brunswick East</cx:pt>
          <cx:pt idx="382">Fitzroy</cx:pt>
          <cx:pt idx="383">Reservoir</cx:pt>
          <cx:pt idx="384">Reservoir</cx:pt>
          <cx:pt idx="385">Kew</cx:pt>
          <cx:pt idx="386">Albert Park</cx:pt>
          <cx:pt idx="387">Brunswick East</cx:pt>
          <cx:pt idx="388">Fitzroy</cx:pt>
          <cx:pt idx="389">Kew</cx:pt>
          <cx:pt idx="390">Melton</cx:pt>
          <cx:pt idx="391">Reservoir</cx:pt>
          <cx:pt idx="392">Reservoir</cx:pt>
          <cx:pt idx="393">Reservoir</cx:pt>
          <cx:pt idx="394">Brunswick East</cx:pt>
          <cx:pt idx="395">Brunswick East</cx:pt>
          <cx:pt idx="396">Fitzroy</cx:pt>
          <cx:pt idx="397">Kew</cx:pt>
          <cx:pt idx="398">Kew</cx:pt>
          <cx:pt idx="399">Kew</cx:pt>
          <cx:pt idx="400">Kew</cx:pt>
          <cx:pt idx="401">Kew</cx:pt>
          <cx:pt idx="402">Melton</cx:pt>
          <cx:pt idx="403">Reservoir</cx:pt>
          <cx:pt idx="404">Reservoir</cx:pt>
          <cx:pt idx="405">Reservoir</cx:pt>
          <cx:pt idx="406">Reservoir</cx:pt>
          <cx:pt idx="407">Reservoir</cx:pt>
          <cx:pt idx="408">Reservoir</cx:pt>
          <cx:pt idx="409">Kew</cx:pt>
          <cx:pt idx="410">Kew</cx:pt>
          <cx:pt idx="411">Reservoir</cx:pt>
          <cx:pt idx="412">Brunswick East</cx:pt>
          <cx:pt idx="413">Kew</cx:pt>
          <cx:pt idx="414">Kew</cx:pt>
          <cx:pt idx="415">Reservoir</cx:pt>
          <cx:pt idx="416">Reservoir</cx:pt>
          <cx:pt idx="417">Reservoir</cx:pt>
          <cx:pt idx="418">Reservoir</cx:pt>
          <cx:pt idx="419">Reservoir</cx:pt>
          <cx:pt idx="420">Melton</cx:pt>
          <cx:pt idx="421">Melton</cx:pt>
          <cx:pt idx="422">Reservoir</cx:pt>
          <cx:pt idx="423">Reservoir</cx:pt>
          <cx:pt idx="424">Kew</cx:pt>
          <cx:pt idx="425">Kew</cx:pt>
          <cx:pt idx="426">Kew</cx:pt>
          <cx:pt idx="427">Reservoir</cx:pt>
          <cx:pt idx="428">Brunswick East</cx:pt>
          <cx:pt idx="429">Kew</cx:pt>
          <cx:pt idx="430">Kew</cx:pt>
          <cx:pt idx="431">Melton</cx:pt>
          <cx:pt idx="432">Reservoir</cx:pt>
        </cx:lvl>
      </cx:strDim>
      <cx:numDim type="val">
        <cx:f>'Chart 3'!$B$2:$B$434</cx:f>
        <cx:lvl ptCount="433" formatCode="General">
          <cx:pt idx="0">1275000</cx:pt>
          <cx:pt idx="1">2850000</cx:pt>
          <cx:pt idx="2">1850000</cx:pt>
          <cx:pt idx="3">1436000</cx:pt>
          <cx:pt idx="4">2300000</cx:pt>
          <cx:pt idx="5">1800000</cx:pt>
          <cx:pt idx="6">2120000</cx:pt>
          <cx:pt idx="7">1800000</cx:pt>
          <cx:pt idx="8">2615000</cx:pt>
          <cx:pt idx="9">1370000</cx:pt>
          <cx:pt idx="10">1322500</cx:pt>
          <cx:pt idx="11">1562500</cx:pt>
          <cx:pt idx="12">2000000</cx:pt>
          <cx:pt idx="13">3010000</cx:pt>
          <cx:pt idx="14">2800000</cx:pt>
          <cx:pt idx="15">2100000</cx:pt>
          <cx:pt idx="16">2000000</cx:pt>
          <cx:pt idx="17">442500</cx:pt>
          <cx:pt idx="18">4735000</cx:pt>
          <cx:pt idx="19">2140000</cx:pt>
          <cx:pt idx="20">980000</cx:pt>
          <cx:pt idx="21">1740000</cx:pt>
          <cx:pt idx="22">985000</cx:pt>
          <cx:pt idx="23">1252000</cx:pt>
          <cx:pt idx="24">810000</cx:pt>
          <cx:pt idx="25">947500</cx:pt>
          <cx:pt idx="26">1460000</cx:pt>
          <cx:pt idx="27">880000</cx:pt>
          <cx:pt idx="28">3310000</cx:pt>
          <cx:pt idx="29">1250000</cx:pt>
          <cx:pt idx="30">1950000</cx:pt>
          <cx:pt idx="31">465000</cx:pt>
          <cx:pt idx="32">1620000</cx:pt>
          <cx:pt idx="33">850000</cx:pt>
          <cx:pt idx="34">1122000</cx:pt>
          <cx:pt idx="35">1300000</cx:pt>
          <cx:pt idx="36">420000</cx:pt>
          <cx:pt idx="37">715000</cx:pt>
          <cx:pt idx="38">800000</cx:pt>
          <cx:pt idx="39">710000</cx:pt>
          <cx:pt idx="40">630000</cx:pt>
          <cx:pt idx="41">4011000</cx:pt>
          <cx:pt idx="42">610000</cx:pt>
          <cx:pt idx="43">882000</cx:pt>
          <cx:pt idx="44">3550000</cx:pt>
          <cx:pt idx="45">1326000</cx:pt>
          <cx:pt idx="46">1950000</cx:pt>
          <cx:pt idx="47">2550000</cx:pt>
          <cx:pt idx="48">1878000</cx:pt>
          <cx:pt idx="49">1910000</cx:pt>
          <cx:pt idx="50">1410000</cx:pt>
          <cx:pt idx="51">2310000</cx:pt>
          <cx:pt idx="52">2315000</cx:pt>
          <cx:pt idx="53">800000</cx:pt>
          <cx:pt idx="54">4850000</cx:pt>
          <cx:pt idx="55">6500000</cx:pt>
          <cx:pt idx="56">580000</cx:pt>
          <cx:pt idx="57">1905000</cx:pt>
          <cx:pt idx="58">478000</cx:pt>
          <cx:pt idx="59">672000</cx:pt>
          <cx:pt idx="60">2286000</cx:pt>
          <cx:pt idx="61">1575000</cx:pt>
          <cx:pt idx="62">590000</cx:pt>
          <cx:pt idx="63">2350000</cx:pt>
          <cx:pt idx="64">1312000</cx:pt>
          <cx:pt idx="65">890000</cx:pt>
          <cx:pt idx="66">1331000</cx:pt>
          <cx:pt idx="67">1800000</cx:pt>
          <cx:pt idx="68">1476000</cx:pt>
          <cx:pt idx="69">2590000</cx:pt>
          <cx:pt idx="70">2625000</cx:pt>
          <cx:pt idx="71">2265000</cx:pt>
          <cx:pt idx="72">1975000</cx:pt>
          <cx:pt idx="73">2550000</cx:pt>
          <cx:pt idx="74">1330000</cx:pt>
          <cx:pt idx="75">1450000</cx:pt>
          <cx:pt idx="76">3650000</cx:pt>
          <cx:pt idx="77">551000</cx:pt>
          <cx:pt idx="78">2460000</cx:pt>
          <cx:pt idx="79">2850000</cx:pt>
          <cx:pt idx="80">2425000</cx:pt>
          <cx:pt idx="81">610000</cx:pt>
          <cx:pt idx="82">955000</cx:pt>
          <cx:pt idx="83">707500</cx:pt>
          <cx:pt idx="84">732000</cx:pt>
          <cx:pt idx="85">2875000</cx:pt>
          <cx:pt idx="86">1500000</cx:pt>
          <cx:pt idx="87">1750000</cx:pt>
          <cx:pt idx="88">1100000</cx:pt>
          <cx:pt idx="89">1440000</cx:pt>
          <cx:pt idx="90">2560000</cx:pt>
          <cx:pt idx="91">2600000</cx:pt>
          <cx:pt idx="92">3280000</cx:pt>
          <cx:pt idx="93">620000</cx:pt>
          <cx:pt idx="94">2600000</cx:pt>
          <cx:pt idx="95">2800000</cx:pt>
          <cx:pt idx="96">1420000</cx:pt>
          <cx:pt idx="97">1800000</cx:pt>
          <cx:pt idx="98">395000</cx:pt>
          <cx:pt idx="99">2250000</cx:pt>
          <cx:pt idx="100">475000</cx:pt>
          <cx:pt idx="101">415000</cx:pt>
          <cx:pt idx="102">731000</cx:pt>
          <cx:pt idx="103">352000</cx:pt>
          <cx:pt idx="104">723000</cx:pt>
          <cx:pt idx="105">336000</cx:pt>
          <cx:pt idx="106">685000</cx:pt>
          <cx:pt idx="107">1025000</cx:pt>
          <cx:pt idx="108">490000</cx:pt>
          <cx:pt idx="109">805000</cx:pt>
          <cx:pt idx="110">1005000</cx:pt>
          <cx:pt idx="111">535000</cx:pt>
          <cx:pt idx="112">800000</cx:pt>
          <cx:pt idx="113">510000</cx:pt>
          <cx:pt idx="114">651000</cx:pt>
          <cx:pt idx="115">365000</cx:pt>
          <cx:pt idx="116">405000</cx:pt>
          <cx:pt idx="117">620500</cx:pt>
          <cx:pt idx="118">260000</cx:pt>
          <cx:pt idx="119">625000</cx:pt>
          <cx:pt idx="120">427500</cx:pt>
          <cx:pt idx="121">851000</cx:pt>
          <cx:pt idx="122">998000</cx:pt>
          <cx:pt idx="123">1030000</cx:pt>
          <cx:pt idx="124">410000</cx:pt>
          <cx:pt idx="125">1015000</cx:pt>
          <cx:pt idx="126">915000</cx:pt>
          <cx:pt idx="127">380000</cx:pt>
          <cx:pt idx="128">530000</cx:pt>
          <cx:pt idx="129">592000</cx:pt>
          <cx:pt idx="130">440000</cx:pt>
          <cx:pt idx="131">650000</cx:pt>
          <cx:pt idx="132">416000</cx:pt>
          <cx:pt idx="133">301000</cx:pt>
          <cx:pt idx="134">865000</cx:pt>
          <cx:pt idx="135">650000</cx:pt>
          <cx:pt idx="136">401000</cx:pt>
          <cx:pt idx="137">491000</cx:pt>
          <cx:pt idx="138">810000</cx:pt>
          <cx:pt idx="139">555000</cx:pt>
          <cx:pt idx="140">350000</cx:pt>
          <cx:pt idx="141">540000</cx:pt>
          <cx:pt idx="142">682000</cx:pt>
          <cx:pt idx="143">380000</cx:pt>
          <cx:pt idx="144">350000</cx:pt>
          <cx:pt idx="145">750000</cx:pt>
          <cx:pt idx="146">495000</cx:pt>
          <cx:pt idx="147">500000</cx:pt>
          <cx:pt idx="148">350000</cx:pt>
          <cx:pt idx="149">335000</cx:pt>
          <cx:pt idx="150">546000</cx:pt>
          <cx:pt idx="151">400000</cx:pt>
          <cx:pt idx="152">360000</cx:pt>
          <cx:pt idx="153">410000</cx:pt>
          <cx:pt idx="154">836000</cx:pt>
          <cx:pt idx="155">440000</cx:pt>
          <cx:pt idx="156">376000</cx:pt>
          <cx:pt idx="157">323000</cx:pt>
          <cx:pt idx="158">680000</cx:pt>
          <cx:pt idx="159">530000</cx:pt>
          <cx:pt idx="160">786000</cx:pt>
          <cx:pt idx="161">390000</cx:pt>
          <cx:pt idx="162">650000</cx:pt>
          <cx:pt idx="163">800000</cx:pt>
          <cx:pt idx="164">330000</cx:pt>
          <cx:pt idx="165">539000</cx:pt>
          <cx:pt idx="166">622500</cx:pt>
          <cx:pt idx="167">767500</cx:pt>
          <cx:pt idx="168">780000</cx:pt>
          <cx:pt idx="169">668000</cx:pt>
          <cx:pt idx="170">470000</cx:pt>
          <cx:pt idx="171">655000</cx:pt>
          <cx:pt idx="172">440000</cx:pt>
          <cx:pt idx="173">703000</cx:pt>
          <cx:pt idx="174">424000</cx:pt>
          <cx:pt idx="175">613000</cx:pt>
          <cx:pt idx="176">475000</cx:pt>
          <cx:pt idx="177">950000</cx:pt>
          <cx:pt idx="178">730000</cx:pt>
          <cx:pt idx="179">905000</cx:pt>
          <cx:pt idx="180">480000</cx:pt>
          <cx:pt idx="181">767000</cx:pt>
          <cx:pt idx="182">450000</cx:pt>
          <cx:pt idx="183">921500</cx:pt>
          <cx:pt idx="184">490000</cx:pt>
          <cx:pt idx="185">787000</cx:pt>
          <cx:pt idx="186">300000</cx:pt>
          <cx:pt idx="187">335000</cx:pt>
          <cx:pt idx="188">475000</cx:pt>
          <cx:pt idx="189">440000</cx:pt>
          <cx:pt idx="190">216000</cx:pt>
          <cx:pt idx="191">220000</cx:pt>
          <cx:pt idx="192">340000</cx:pt>
          <cx:pt idx="193">395000</cx:pt>
          <cx:pt idx="194">790000</cx:pt>
          <cx:pt idx="195">601000</cx:pt>
          <cx:pt idx="196">300000</cx:pt>
          <cx:pt idx="197">420000</cx:pt>
          <cx:pt idx="198">885000</cx:pt>
          <cx:pt idx="199">815000</cx:pt>
          <cx:pt idx="200">882500</cx:pt>
          <cx:pt idx="201">793000</cx:pt>
          <cx:pt idx="202">550000</cx:pt>
          <cx:pt idx="203">433000</cx:pt>
          <cx:pt idx="204">680000</cx:pt>
          <cx:pt idx="205">851000</cx:pt>
          <cx:pt idx="206">1025000</cx:pt>
          <cx:pt idx="207">784000</cx:pt>
          <cx:pt idx="208">1186000</cx:pt>
          <cx:pt idx="209">885000</cx:pt>
          <cx:pt idx="210">718500</cx:pt>
          <cx:pt idx="211">762500</cx:pt>
          <cx:pt idx="212">610000</cx:pt>
          <cx:pt idx="213">680000</cx:pt>
          <cx:pt idx="214">390000</cx:pt>
          <cx:pt idx="215">1310000</cx:pt>
          <cx:pt idx="216">856000</cx:pt>
          <cx:pt idx="217">580000</cx:pt>
          <cx:pt idx="218">940000</cx:pt>
          <cx:pt idx="219">1495000</cx:pt>
          <cx:pt idx="220">1550000</cx:pt>
          <cx:pt idx="221">1815000</cx:pt>
          <cx:pt idx="222">1625000</cx:pt>
          <cx:pt idx="223">899000</cx:pt>
          <cx:pt idx="224">435000</cx:pt>
          <cx:pt idx="225">1080000</cx:pt>
          <cx:pt idx="226">656000</cx:pt>
          <cx:pt idx="227">1574000</cx:pt>
          <cx:pt idx="228">665000</cx:pt>
          <cx:pt idx="229">590000</cx:pt>
          <cx:pt idx="230">1679000</cx:pt>
          <cx:pt idx="231">1050000</cx:pt>
          <cx:pt idx="232">825000</cx:pt>
          <cx:pt idx="233">998000</cx:pt>
          <cx:pt idx="234">1010000</cx:pt>
          <cx:pt idx="235">1050000</cx:pt>
          <cx:pt idx="236">1600000</cx:pt>
          <cx:pt idx="237">1325000</cx:pt>
          <cx:pt idx="238">1335000</cx:pt>
          <cx:pt idx="239">805000</cx:pt>
          <cx:pt idx="240">1700000</cx:pt>
          <cx:pt idx="241">1100000</cx:pt>
          <cx:pt idx="242">2150000</cx:pt>
          <cx:pt idx="243">1190000</cx:pt>
          <cx:pt idx="244">1310000</cx:pt>
          <cx:pt idx="245">1283000</cx:pt>
          <cx:pt idx="246">1015000</cx:pt>
          <cx:pt idx="247">435000</cx:pt>
          <cx:pt idx="248">835000</cx:pt>
          <cx:pt idx="249">1500000</cx:pt>
          <cx:pt idx="250">3800000</cx:pt>
          <cx:pt idx="251">752000</cx:pt>
          <cx:pt idx="252">690000</cx:pt>
          <cx:pt idx="253">2600000</cx:pt>
          <cx:pt idx="254">4515000</cx:pt>
          <cx:pt idx="255">820000</cx:pt>
          <cx:pt idx="256">835000</cx:pt>
          <cx:pt idx="257">595000</cx:pt>
          <cx:pt idx="258">905000</cx:pt>
          <cx:pt idx="259">845000</cx:pt>
          <cx:pt idx="260">815000</cx:pt>
          <cx:pt idx="261">770000</cx:pt>
          <cx:pt idx="262">610000</cx:pt>
          <cx:pt idx="263">861500</cx:pt>
          <cx:pt idx="264">801000</cx:pt>
          <cx:pt idx="265">490000</cx:pt>
          <cx:pt idx="266">605000</cx:pt>
          <cx:pt idx="267">652000</cx:pt>
          <cx:pt idx="268">375000</cx:pt>
          <cx:pt idx="269">505000</cx:pt>
          <cx:pt idx="270">1100000</cx:pt>
          <cx:pt idx="271">1350000</cx:pt>
          <cx:pt idx="272">1350000</cx:pt>
          <cx:pt idx="273">320000</cx:pt>
          <cx:pt idx="274">480000</cx:pt>
          <cx:pt idx="275">840000</cx:pt>
          <cx:pt idx="276">668500</cx:pt>
          <cx:pt idx="277">2500000</cx:pt>
          <cx:pt idx="278">1105000</cx:pt>
          <cx:pt idx="279">942000</cx:pt>
          <cx:pt idx="280">515000</cx:pt>
          <cx:pt idx="281">521000</cx:pt>
          <cx:pt idx="282">857700</cx:pt>
          <cx:pt idx="283">642500</cx:pt>
          <cx:pt idx="284">1394000</cx:pt>
          <cx:pt idx="285">3175000</cx:pt>
          <cx:pt idx="286">420000</cx:pt>
          <cx:pt idx="287">510000</cx:pt>
          <cx:pt idx="288">780000</cx:pt>
          <cx:pt idx="289">685000</cx:pt>
          <cx:pt idx="290">700000</cx:pt>
          <cx:pt idx="291">405000</cx:pt>
          <cx:pt idx="292">912000</cx:pt>
          <cx:pt idx="293">685000</cx:pt>
          <cx:pt idx="294">270000</cx:pt>
          <cx:pt idx="295">1505000</cx:pt>
          <cx:pt idx="296">1210000</cx:pt>
          <cx:pt idx="297">825000</cx:pt>
          <cx:pt idx="298">295000</cx:pt>
          <cx:pt idx="299">575000</cx:pt>
          <cx:pt idx="300">635000</cx:pt>
          <cx:pt idx="301">860000</cx:pt>
          <cx:pt idx="302">1330000</cx:pt>
          <cx:pt idx="303">937000</cx:pt>
          <cx:pt idx="304">290000</cx:pt>
          <cx:pt idx="305">790000</cx:pt>
          <cx:pt idx="306">830000</cx:pt>
          <cx:pt idx="307">456000</cx:pt>
          <cx:pt idx="308">1410000</cx:pt>
          <cx:pt idx="309">550000</cx:pt>
          <cx:pt idx="310">373500</cx:pt>
          <cx:pt idx="311">351000</cx:pt>
          <cx:pt idx="312">545000</cx:pt>
          <cx:pt idx="313">1510000</cx:pt>
          <cx:pt idx="314">1007000</cx:pt>
          <cx:pt idx="315">860000</cx:pt>
          <cx:pt idx="316">935000</cx:pt>
          <cx:pt idx="317">510000</cx:pt>
          <cx:pt idx="318">755000</cx:pt>
          <cx:pt idx="319">1200000</cx:pt>
          <cx:pt idx="320">702500</cx:pt>
          <cx:pt idx="321">490000</cx:pt>
          <cx:pt idx="322">1080000</cx:pt>
          <cx:pt idx="323">953000</cx:pt>
          <cx:pt idx="324">468000</cx:pt>
          <cx:pt idx="325">710000</cx:pt>
          <cx:pt idx="326">502000</cx:pt>
          <cx:pt idx="327">390500</cx:pt>
          <cx:pt idx="328">591000</cx:pt>
          <cx:pt idx="329">320000</cx:pt>
          <cx:pt idx="330">617500</cx:pt>
          <cx:pt idx="331">1282500</cx:pt>
          <cx:pt idx="332">620000</cx:pt>
          <cx:pt idx="333">683000</cx:pt>
          <cx:pt idx="334">501000</cx:pt>
          <cx:pt idx="335">615000</cx:pt>
          <cx:pt idx="336">1405000</cx:pt>
          <cx:pt idx="337">3015000</cx:pt>
          <cx:pt idx="338">672000</cx:pt>
          <cx:pt idx="339">2300000</cx:pt>
          <cx:pt idx="340">1690000</cx:pt>
          <cx:pt idx="341">430000</cx:pt>
          <cx:pt idx="342">861000</cx:pt>
          <cx:pt idx="343">612500</cx:pt>
          <cx:pt idx="344">900000</cx:pt>
          <cx:pt idx="345">755000</cx:pt>
          <cx:pt idx="346">950000</cx:pt>
          <cx:pt idx="347">465000</cx:pt>
          <cx:pt idx="348">920000</cx:pt>
          <cx:pt idx="349">320000</cx:pt>
          <cx:pt idx="350">580000</cx:pt>
          <cx:pt idx="351">2180000</cx:pt>
          <cx:pt idx="352">876000</cx:pt>
          <cx:pt idx="353">866000</cx:pt>
          <cx:pt idx="354">775500</cx:pt>
          <cx:pt idx="355">1300000</cx:pt>
          <cx:pt idx="356">2450000</cx:pt>
          <cx:pt idx="357">955000</cx:pt>
          <cx:pt idx="358">1630000</cx:pt>
          <cx:pt idx="359">283000</cx:pt>
          <cx:pt idx="360">1000000</cx:pt>
          <cx:pt idx="361">1400000</cx:pt>
          <cx:pt idx="362">2340000</cx:pt>
          <cx:pt idx="363">959000</cx:pt>
          <cx:pt idx="364">3300000</cx:pt>
          <cx:pt idx="365">1750000</cx:pt>
          <cx:pt idx="366">3450000</cx:pt>
          <cx:pt idx="367">710000</cx:pt>
          <cx:pt idx="368">640000</cx:pt>
          <cx:pt idx="369">1112000</cx:pt>
          <cx:pt idx="370">852000</cx:pt>
          <cx:pt idx="371">800000</cx:pt>
          <cx:pt idx="372">625500</cx:pt>
          <cx:pt idx="373">1200000</cx:pt>
          <cx:pt idx="374">395000</cx:pt>
          <cx:pt idx="375">825000</cx:pt>
          <cx:pt idx="376">945000</cx:pt>
          <cx:pt idx="377">1330000</cx:pt>
          <cx:pt idx="378">3600000</cx:pt>
          <cx:pt idx="379">1720000</cx:pt>
          <cx:pt idx="380">725000</cx:pt>
          <cx:pt idx="381">1326000</cx:pt>
          <cx:pt idx="382">1625000</cx:pt>
          <cx:pt idx="383">650000</cx:pt>
          <cx:pt idx="384">1000000</cx:pt>
          <cx:pt idx="385">1752000</cx:pt>
          <cx:pt idx="386">3000000</cx:pt>
          <cx:pt idx="387">907000</cx:pt>
          <cx:pt idx="388">2790000</cx:pt>
          <cx:pt idx="389">2000000</cx:pt>
          <cx:pt idx="390">710000</cx:pt>
          <cx:pt idx="391">570000</cx:pt>
          <cx:pt idx="392">821000</cx:pt>
          <cx:pt idx="393">1076000</cx:pt>
          <cx:pt idx="394">1475000</cx:pt>
          <cx:pt idx="395">1895000</cx:pt>
          <cx:pt idx="396">1305000</cx:pt>
          <cx:pt idx="397">3385000</cx:pt>
          <cx:pt idx="398">1625000</cx:pt>
          <cx:pt idx="399">2900000</cx:pt>
          <cx:pt idx="400">2015000</cx:pt>
          <cx:pt idx="401">1900000</cx:pt>
          <cx:pt idx="402">385000</cx:pt>
          <cx:pt idx="403">780000</cx:pt>
          <cx:pt idx="404">600000</cx:pt>
          <cx:pt idx="405">900000</cx:pt>
          <cx:pt idx="406">810000</cx:pt>
          <cx:pt idx="407">920000</cx:pt>
          <cx:pt idx="408">775000</cx:pt>
          <cx:pt idx="409">5200000</cx:pt>
          <cx:pt idx="410">3275000</cx:pt>
          <cx:pt idx="411">980000</cx:pt>
          <cx:pt idx="412">1190000</cx:pt>
          <cx:pt idx="413">2280000</cx:pt>
          <cx:pt idx="414">2695000</cx:pt>
          <cx:pt idx="415">980000</cx:pt>
          <cx:pt idx="416">990000</cx:pt>
          <cx:pt idx="417">610000</cx:pt>
          <cx:pt idx="418">460000</cx:pt>
          <cx:pt idx="419">650000</cx:pt>
          <cx:pt idx="420">350000</cx:pt>
          <cx:pt idx="421">415000</cx:pt>
          <cx:pt idx="422">880000</cx:pt>
          <cx:pt idx="423">980000</cx:pt>
          <cx:pt idx="424">1925000</cx:pt>
          <cx:pt idx="425">2600000</cx:pt>
          <cx:pt idx="426">3900000</cx:pt>
          <cx:pt idx="427">445000</cx:pt>
          <cx:pt idx="428">2300000</cx:pt>
          <cx:pt idx="429">1350000</cx:pt>
          <cx:pt idx="430">2905000</cx:pt>
          <cx:pt idx="431">500000</cx:pt>
          <cx:pt idx="432">1285000</cx:pt>
        </cx:lvl>
      </cx:numDim>
    </cx:data>
  </cx:chartData>
  <cx:chart>
    <cx:plotArea>
      <cx:plotAreaRegion>
        <cx:series layoutId="boxWhisker" uniqueId="{B5F3DD53-742C-4021-9CDE-BBD19509A445}">
          <cx:tx>
            <cx:txData>
              <cx:f>'Chart 3'!$B$1</cx:f>
              <cx:v>Price</cx:v>
            </cx:txData>
          </cx:tx>
          <cx:dataId val="0"/>
          <cx:layoutPr>
            <cx:visibility meanLine="0" meanMarker="1" nonoutliers="0" outliers="1"/>
            <cx:statistics quartileMethod="exclusive"/>
          </cx:layoutPr>
        </cx:series>
      </cx:plotAreaRegion>
      <cx:axis id="0">
        <cx:catScaling gapWidth="1"/>
        <cx:title>
          <cx:tx>
            <cx:txData>
              <cx:v>Suburb</cx:v>
            </cx:txData>
          </cx:tx>
          <cx:txPr>
            <a:bodyPr spcFirstLastPara="1" vertOverflow="ellipsis" horzOverflow="overflow" wrap="square" lIns="0" tIns="0" rIns="0" bIns="0" anchor="ctr" anchorCtr="1"/>
            <a:lstStyle/>
            <a:p>
              <a:pPr algn="ctr" rtl="0">
                <a:defRPr/>
              </a:pPr>
              <a:r>
                <a:rPr lang="en-US" sz="900" b="0" i="0" u="none" strike="noStrike" baseline="0">
                  <a:solidFill>
                    <a:sysClr val="windowText" lastClr="000000">
                      <a:lumMod val="65000"/>
                      <a:lumOff val="35000"/>
                    </a:sysClr>
                  </a:solidFill>
                  <a:latin typeface="Calibri" panose="020F0502020204030204"/>
                </a:rPr>
                <a:t>Suburb</a:t>
              </a:r>
            </a:p>
          </cx:txPr>
        </cx:title>
        <cx:tickLabels/>
      </cx:axis>
      <cx:axis id="1">
        <cx:valScaling/>
        <cx:title>
          <cx:tx>
            <cx:txData>
              <cx:v>Price</cx:v>
            </cx:txData>
          </cx:tx>
          <cx:txPr>
            <a:bodyPr spcFirstLastPara="1" vertOverflow="ellipsis" horzOverflow="overflow" wrap="square" lIns="0" tIns="0" rIns="0" bIns="0" anchor="ctr" anchorCtr="1"/>
            <a:lstStyle/>
            <a:p>
              <a:pPr algn="ctr" rtl="0">
                <a:defRPr/>
              </a:pPr>
              <a:r>
                <a:rPr lang="en-US" sz="900" b="0" i="0" u="none" strike="noStrike" baseline="0">
                  <a:solidFill>
                    <a:sysClr val="windowText" lastClr="000000">
                      <a:lumMod val="65000"/>
                      <a:lumOff val="35000"/>
                    </a:sysClr>
                  </a:solidFill>
                  <a:latin typeface="Calibri" panose="020F0502020204030204"/>
                </a:rPr>
                <a:t>Price</a:t>
              </a:r>
            </a:p>
          </cx:txPr>
        </cx:title>
        <cx:majorGridlines/>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9D33F5B609404A719D6E7A1787BBBC9C"/>
        <w:category>
          <w:name w:val="General"/>
          <w:gallery w:val="placeholder"/>
        </w:category>
        <w:types>
          <w:type w:val="bbPlcHdr"/>
        </w:types>
        <w:behaviors>
          <w:behavior w:val="content"/>
        </w:behaviors>
        <w:guid w:val="{A386B64D-BF01-4482-8CC1-11081F2015E4}"/>
      </w:docPartPr>
      <w:docPartBody>
        <w:p w:rsidR="00000000" w:rsidRDefault="00BE5C0E" w:rsidP="00BE5C0E">
          <w:pPr>
            <w:pStyle w:val="9D33F5B609404A719D6E7A1787BBBC9C"/>
          </w:pPr>
          <w:r>
            <w:rPr>
              <w:rFonts w:asciiTheme="majorHAnsi" w:eastAsiaTheme="majorEastAsia" w:hAnsiTheme="majorHAnsi" w:cstheme="majorBidi"/>
              <w:caps/>
              <w:color w:val="4472C4" w:themeColor="accent1"/>
              <w:sz w:val="80"/>
              <w:szCs w:val="80"/>
            </w:rPr>
            <w:t>[Document title]</w:t>
          </w:r>
        </w:p>
      </w:docPartBody>
    </w:docPart>
    <w:docPart>
      <w:docPartPr>
        <w:name w:val="1B4B86CA9E5D4A6297FC1314D6DB8103"/>
        <w:category>
          <w:name w:val="General"/>
          <w:gallery w:val="placeholder"/>
        </w:category>
        <w:types>
          <w:type w:val="bbPlcHdr"/>
        </w:types>
        <w:behaviors>
          <w:behavior w:val="content"/>
        </w:behaviors>
        <w:guid w:val="{8CDD875D-0417-4692-AFDE-143A56915A9E}"/>
      </w:docPartPr>
      <w:docPartBody>
        <w:p w:rsidR="00000000" w:rsidRDefault="00BE5C0E" w:rsidP="00BE5C0E">
          <w:pPr>
            <w:pStyle w:val="1B4B86CA9E5D4A6297FC1314D6DB8103"/>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C0E"/>
    <w:rsid w:val="008F325D"/>
    <w:rsid w:val="00BE5C0E"/>
    <w:rsid w:val="00F13B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D33F5B609404A719D6E7A1787BBBC9C">
    <w:name w:val="9D33F5B609404A719D6E7A1787BBBC9C"/>
    <w:rsid w:val="00BE5C0E"/>
  </w:style>
  <w:style w:type="paragraph" w:customStyle="1" w:styleId="1B4B86CA9E5D4A6297FC1314D6DB8103">
    <w:name w:val="1B4B86CA9E5D4A6297FC1314D6DB8103"/>
    <w:rsid w:val="00BE5C0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1323</Words>
  <Characters>7547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Analytics</dc:title>
  <dc:subject>Assignment 1: Data Analytics</dc:subject>
  <dc:creator>Khoa Nguyen</dc:creator>
  <cp:keywords/>
  <dc:description/>
  <cp:lastModifiedBy>Khoa Nguyen</cp:lastModifiedBy>
  <cp:revision>2</cp:revision>
  <dcterms:created xsi:type="dcterms:W3CDTF">2024-08-24T10:37:00Z</dcterms:created>
  <dcterms:modified xsi:type="dcterms:W3CDTF">2024-08-24T10:37:00Z</dcterms:modified>
</cp:coreProperties>
</file>