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Intended Learning Outcomes: </w:t></w:r></w:p><w:p><w:pPr/><w:r><w:rPr/><w:t xml:space="preserve"><p><strong>In đậm.</strong></p>

<h1><strong>&copy; ok.</strong></h1></w:t></w:r></w:p><w:p><w:pPr/><w:r><w:rPr/><w:t xml:space="preserve">Outcome-based Assessment</w:t></w:r></w:p><w:p><w:pPr/><w:r><w:rPr/><w:t xml:space="preserve"><p><em>OKOKOK.</em></p></w:t></w:r></w:p><w:p><w:pPr/><w:r><w:rPr/><w:t xml:space="preserve">Teaching and Learning Activities</w:t></w:r></w:p><w:p><w:pPr/><w:r><w:rPr/><w:t xml:space="preserve"><p><s>NOTOK.</s></p></w:t></w:r></w:p><w:sectPr><w:pgSz w:orient="portrait" w:w="11905.511811023621703498065471649169921875" w:h="16837.795275590549863409250974655151367187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2019-08-02T02:23:31+07:00</dcterms:created>
  <dcterms:modified xsi:type="dcterms:W3CDTF">2019-08-02T02:23:31+07:00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