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1B30" w14:textId="77777777" w:rsidR="00E17A26" w:rsidRDefault="00DE4649" w:rsidP="00E17A26">
      <w:pPr>
        <w:jc w:val="center"/>
      </w:pPr>
      <w:r w:rsidRPr="00E17A26">
        <w:rPr>
          <w:b/>
        </w:rPr>
        <w:t>State of the Art report for deliverable 2.1</w:t>
      </w:r>
      <w:r>
        <w:t xml:space="preserve"> </w:t>
      </w:r>
    </w:p>
    <w:p w14:paraId="2B27346A" w14:textId="77777777" w:rsidR="00363CB3" w:rsidRDefault="00363CB3">
      <w:pPr>
        <w:rPr>
          <w:b/>
          <w:sz w:val="28"/>
          <w:szCs w:val="28"/>
        </w:rPr>
      </w:pPr>
    </w:p>
    <w:p w14:paraId="5191BA0C" w14:textId="1D95905D" w:rsidR="0011027E" w:rsidRPr="004D76BE" w:rsidRDefault="00E17337">
      <w:pPr>
        <w:rPr>
          <w:b/>
          <w:sz w:val="28"/>
        </w:rPr>
      </w:pPr>
      <w:r w:rsidRPr="0011027E">
        <w:rPr>
          <w:b/>
          <w:sz w:val="28"/>
        </w:rPr>
        <w:t>MOD4</w:t>
      </w:r>
    </w:p>
    <w:p w14:paraId="5738BCB4" w14:textId="77777777" w:rsidR="00DE4649" w:rsidRPr="0011027E" w:rsidRDefault="00DE4649" w:rsidP="00E960D2">
      <w:pPr>
        <w:jc w:val="both"/>
        <w:rPr>
          <w:b/>
          <w:u w:val="single"/>
        </w:rPr>
      </w:pPr>
      <w:r w:rsidRPr="0011027E">
        <w:rPr>
          <w:b/>
          <w:u w:val="single"/>
        </w:rPr>
        <w:t>Ov</w:t>
      </w:r>
      <w:r w:rsidR="009C5D2A" w:rsidRPr="0011027E">
        <w:rPr>
          <w:b/>
          <w:u w:val="single"/>
        </w:rPr>
        <w:t>erall description</w:t>
      </w:r>
    </w:p>
    <w:p w14:paraId="21EB550E" w14:textId="3B873EE3" w:rsidR="00363CB3" w:rsidRDefault="00E17337" w:rsidP="00E960D2">
      <w:pPr>
        <w:jc w:val="both"/>
      </w:pPr>
      <w:r>
        <w:t>The MOD4</w:t>
      </w:r>
      <w:r w:rsidR="00DE4649">
        <w:t xml:space="preserve"> of Fence deals with s</w:t>
      </w:r>
      <w:r w:rsidR="008661AD">
        <w:t>plicing dete</w:t>
      </w:r>
      <w:r w:rsidR="00363CB3">
        <w:t xml:space="preserve">ction </w:t>
      </w:r>
      <w:r w:rsidR="00BF4CBF">
        <w:t>by exploiting</w:t>
      </w:r>
      <w:r w:rsidR="00363CB3">
        <w:t xml:space="preserve"> the</w:t>
      </w:r>
      <w:r w:rsidR="001459A4">
        <w:t xml:space="preserve"> 2D</w:t>
      </w:r>
      <w:r w:rsidR="00363CB3">
        <w:t xml:space="preserve"> lighting inconsistencies</w:t>
      </w:r>
      <w:r w:rsidR="001459A4">
        <w:t xml:space="preserve"> in the image, </w:t>
      </w:r>
      <w:r w:rsidR="00BF4CBF">
        <w:t>since</w:t>
      </w:r>
      <w:r w:rsidR="001459A4">
        <w:t xml:space="preserve"> a perfect illumination adjustment in an image </w:t>
      </w:r>
      <w:r w:rsidR="00BF4CBF">
        <w:t>composite</w:t>
      </w:r>
      <w:r w:rsidR="001459A4">
        <w:t xml:space="preserve"> is very hard to achieve.</w:t>
      </w:r>
    </w:p>
    <w:p w14:paraId="385717A6" w14:textId="466AE8A1" w:rsidR="001459A4" w:rsidRDefault="0011027E" w:rsidP="00E960D2">
      <w:pPr>
        <w:jc w:val="both"/>
      </w:pPr>
      <w:r>
        <w:t xml:space="preserve">In </w:t>
      </w:r>
      <w:proofErr w:type="gramStart"/>
      <w:r>
        <w:t>particular</w:t>
      </w:r>
      <w:proofErr w:type="gramEnd"/>
      <w:r>
        <w:t xml:space="preserve"> MOD4 aims at detecting if a given image </w:t>
      </w:r>
      <w:r w:rsidR="00BF4CBF">
        <w:t>has been tampered by observing the differences between illuminant maps computed from the image, and eventually highlight the spliced areas in the image.</w:t>
      </w:r>
    </w:p>
    <w:p w14:paraId="0322F886" w14:textId="77777777" w:rsidR="00DE4649" w:rsidRPr="0011027E" w:rsidRDefault="00CF7C70" w:rsidP="00E960D2">
      <w:pPr>
        <w:jc w:val="both"/>
        <w:rPr>
          <w:b/>
          <w:u w:val="single"/>
        </w:rPr>
      </w:pPr>
      <w:r w:rsidRPr="0011027E">
        <w:rPr>
          <w:b/>
          <w:u w:val="single"/>
        </w:rPr>
        <w:t>Main sub-modules</w:t>
      </w:r>
      <w:r w:rsidR="008860EC" w:rsidRPr="0011027E">
        <w:rPr>
          <w:b/>
          <w:u w:val="single"/>
        </w:rPr>
        <w:t>:</w:t>
      </w:r>
    </w:p>
    <w:p w14:paraId="77D589AE" w14:textId="3F9DE38E" w:rsidR="00B94FE5" w:rsidRDefault="00B94FE5" w:rsidP="00E960D2">
      <w:pPr>
        <w:pStyle w:val="Paragrafoelenco"/>
        <w:numPr>
          <w:ilvl w:val="0"/>
          <w:numId w:val="2"/>
        </w:numPr>
        <w:jc w:val="both"/>
      </w:pPr>
      <w:r>
        <w:t>Image illuminant maps estimation</w:t>
      </w:r>
    </w:p>
    <w:p w14:paraId="6FA4EBB1" w14:textId="4798FC73" w:rsidR="008860EC" w:rsidRDefault="007C4175" w:rsidP="00E960D2">
      <w:pPr>
        <w:pStyle w:val="Paragrafoelenco"/>
        <w:numPr>
          <w:ilvl w:val="0"/>
          <w:numId w:val="2"/>
        </w:numPr>
        <w:jc w:val="both"/>
      </w:pPr>
      <w:r>
        <w:t>Image segmentation</w:t>
      </w:r>
    </w:p>
    <w:p w14:paraId="1E985C82" w14:textId="12A3CDB8" w:rsidR="008860EC" w:rsidRDefault="007C4175" w:rsidP="00E960D2">
      <w:pPr>
        <w:pStyle w:val="Paragrafoelenco"/>
        <w:numPr>
          <w:ilvl w:val="0"/>
          <w:numId w:val="2"/>
        </w:numPr>
        <w:jc w:val="both"/>
      </w:pPr>
      <w:r>
        <w:t>Single image segment classification</w:t>
      </w:r>
    </w:p>
    <w:p w14:paraId="6D34CA23" w14:textId="577059BA" w:rsidR="007C4175" w:rsidRDefault="007C4175" w:rsidP="00E960D2">
      <w:pPr>
        <w:pStyle w:val="Paragrafoelenco"/>
        <w:numPr>
          <w:ilvl w:val="0"/>
          <w:numId w:val="2"/>
        </w:numPr>
        <w:jc w:val="both"/>
      </w:pPr>
      <w:r>
        <w:t>Integrity dec</w:t>
      </w:r>
      <w:r w:rsidR="00FE35EC">
        <w:t>ision and fake image parts high</w:t>
      </w:r>
      <w:r>
        <w:t>lighting</w:t>
      </w:r>
    </w:p>
    <w:p w14:paraId="56219827" w14:textId="77777777" w:rsidR="00DE4649" w:rsidRPr="00DB7233" w:rsidRDefault="008860EC" w:rsidP="00E960D2">
      <w:pPr>
        <w:jc w:val="both"/>
        <w:rPr>
          <w:b/>
          <w:u w:val="single"/>
        </w:rPr>
      </w:pPr>
      <w:r w:rsidRPr="00DB7233">
        <w:rPr>
          <w:b/>
          <w:u w:val="single"/>
        </w:rPr>
        <w:t>Related State of the Art Review</w:t>
      </w:r>
    </w:p>
    <w:p w14:paraId="4F6DD11C" w14:textId="7F9467F1" w:rsidR="00FE35EC" w:rsidRDefault="00B97DA6" w:rsidP="00E960D2">
      <w:pPr>
        <w:jc w:val="both"/>
      </w:pPr>
      <w:r>
        <w:t>Investigating image</w:t>
      </w:r>
      <w:r>
        <w:t>’</w:t>
      </w:r>
      <w:r>
        <w:t xml:space="preserve">s lighting is one of the most common approaches for splicing detection. </w:t>
      </w:r>
      <w:r w:rsidRPr="00B97DA6">
        <w:t xml:space="preserve">This approach is particularly </w:t>
      </w:r>
      <w:r>
        <w:t>robust</w:t>
      </w:r>
      <w:r w:rsidRPr="00B97DA6">
        <w:t xml:space="preserve"> </w:t>
      </w:r>
      <w:r w:rsidR="000B0914">
        <w:t>since</w:t>
      </w:r>
      <w:r w:rsidRPr="00B97DA6">
        <w:t xml:space="preserve"> it's really hard to preserve the consistency </w:t>
      </w:r>
      <w:r w:rsidR="000B0914">
        <w:t>of the lighting environment while creating an image composite (i.e. a splicing forgery)</w:t>
      </w:r>
      <w:r>
        <w:t xml:space="preserve">. </w:t>
      </w:r>
    </w:p>
    <w:p w14:paraId="7B08BD8E" w14:textId="0D9FA2CB" w:rsidR="000B0914" w:rsidRDefault="00B97DA6" w:rsidP="00E960D2">
      <w:pPr>
        <w:jc w:val="both"/>
      </w:pPr>
      <w:r>
        <w:t xml:space="preserve">In this scenario, there are mainly </w:t>
      </w:r>
      <w:r w:rsidR="000B0914">
        <w:t>two main</w:t>
      </w:r>
      <w:r>
        <w:t xml:space="preserve"> approaches: </w:t>
      </w:r>
      <w:r w:rsidR="000B0914">
        <w:t>(</w:t>
      </w:r>
      <w:proofErr w:type="spellStart"/>
      <w:r w:rsidR="000B0914">
        <w:t>i</w:t>
      </w:r>
      <w:proofErr w:type="spellEnd"/>
      <w:r w:rsidR="000B0914">
        <w:t>)</w:t>
      </w:r>
      <w:r>
        <w:t xml:space="preserve"> based on the object-light geometric arrangement and </w:t>
      </w:r>
      <w:r w:rsidR="000B0914">
        <w:t>(ii)</w:t>
      </w:r>
      <w:r>
        <w:t xml:space="preserve"> based on illuminant colors. </w:t>
      </w:r>
      <w:r w:rsidR="00562804">
        <w:t>We focused our attention on the illuminant-based approach, which assumes that a scene is lit by the same light source</w:t>
      </w:r>
      <w:r w:rsidR="000B0914">
        <w:t xml:space="preserve">. More light sources are admitted but </w:t>
      </w:r>
      <w:r w:rsidR="000B0914" w:rsidRPr="000B0914">
        <w:t>far enough such as to produce a constant brightness across the image</w:t>
      </w:r>
      <w:r w:rsidR="006A63AC">
        <w:t>. In this condition,</w:t>
      </w:r>
      <w:r w:rsidR="000B0914">
        <w:t xml:space="preserve"> pristine images will show a coherent illuminant representation; on the other hand, inconsistencies among illuminant maps will be exploited for splicing detection.</w:t>
      </w:r>
      <w:r w:rsidR="00562804">
        <w:t xml:space="preserve"> </w:t>
      </w:r>
    </w:p>
    <w:p w14:paraId="6606E77F" w14:textId="410643F1" w:rsidR="00562804" w:rsidRDefault="00CC7F4C" w:rsidP="00E960D2">
      <w:pPr>
        <w:jc w:val="both"/>
      </w:pPr>
      <w:r>
        <w:t>Illuminant Maps</w:t>
      </w:r>
      <w:r w:rsidR="009F29DD">
        <w:t xml:space="preserve"> locally</w:t>
      </w:r>
      <w:r>
        <w:t xml:space="preserve"> describes the lighting in a small region of the image.</w:t>
      </w:r>
      <w:r w:rsidR="00C70CEC">
        <w:t xml:space="preserve"> In the computer vision literature exists many different approaches for determining the illuminant of an image </w:t>
      </w:r>
      <w:r w:rsidR="000B0914">
        <w:t>has been proposed. In particular, such techniques are divided into two main groups</w:t>
      </w:r>
      <w:r w:rsidR="00C70CEC" w:rsidRPr="002C3DA0">
        <w:rPr>
          <w:i/>
        </w:rPr>
        <w:t xml:space="preserve">: </w:t>
      </w:r>
      <w:r w:rsidR="003D0A19" w:rsidRPr="002C3DA0">
        <w:rPr>
          <w:i/>
        </w:rPr>
        <w:t>statistical-based</w:t>
      </w:r>
      <w:r w:rsidR="000B0914">
        <w:t xml:space="preserve"> </w:t>
      </w:r>
      <w:r w:rsidR="003D0A19">
        <w:t xml:space="preserve">and </w:t>
      </w:r>
      <w:r w:rsidR="003D0A19" w:rsidRPr="002C3DA0">
        <w:rPr>
          <w:i/>
        </w:rPr>
        <w:t>physics-based</w:t>
      </w:r>
      <w:r w:rsidR="003D0A19">
        <w:t xml:space="preserve"> approaches.</w:t>
      </w:r>
    </w:p>
    <w:p w14:paraId="5008F2FA" w14:textId="12F3FFD2" w:rsidR="008437FF" w:rsidRDefault="00FE7D46" w:rsidP="008437FF">
      <w:pPr>
        <w:jc w:val="both"/>
      </w:pPr>
      <w:r>
        <w:t>Regarding the first group,</w:t>
      </w:r>
      <w:r w:rsidR="00D64EC2">
        <w:t xml:space="preserve"> we start investigating on the Grey-World algorithm [4], which </w:t>
      </w:r>
      <w:r w:rsidR="00D64EC2">
        <w:t>is based on the Grey-World assumption, i.e. the</w:t>
      </w:r>
      <w:r w:rsidR="00D64EC2">
        <w:t xml:space="preserve"> </w:t>
      </w:r>
      <w:r w:rsidR="00D64EC2">
        <w:t>average reflectance in a scene is achromatic</w:t>
      </w:r>
      <w:r w:rsidR="00D64EC2">
        <w:t xml:space="preserve">. In [7], </w:t>
      </w:r>
      <w:r w:rsidR="005A0891">
        <w:t>this algorithm</w:t>
      </w:r>
      <w:r w:rsidR="00D64EC2">
        <w:t xml:space="preserve"> proved to be special instances of the</w:t>
      </w:r>
      <w:r w:rsidR="00D64EC2">
        <w:t xml:space="preserve"> </w:t>
      </w:r>
      <w:proofErr w:type="spellStart"/>
      <w:r w:rsidR="00D64EC2">
        <w:t>Minkowski</w:t>
      </w:r>
      <w:proofErr w:type="spellEnd"/>
      <w:r w:rsidR="00D64EC2">
        <w:t>-norm.</w:t>
      </w:r>
      <w:r w:rsidR="008437FF">
        <w:t xml:space="preserve"> </w:t>
      </w:r>
      <w:r>
        <w:t xml:space="preserve">Van de </w:t>
      </w:r>
      <w:proofErr w:type="spellStart"/>
      <w:r>
        <w:t>Weijer</w:t>
      </w:r>
      <w:proofErr w:type="spellEnd"/>
      <w:r>
        <w:t xml:space="preserve"> </w:t>
      </w:r>
      <w:r w:rsidRPr="00FE7D46">
        <w:rPr>
          <w:i/>
        </w:rPr>
        <w:t>et al.</w:t>
      </w:r>
      <w:r>
        <w:t xml:space="preserve"> [3]</w:t>
      </w:r>
      <w:r w:rsidR="008437FF">
        <w:t xml:space="preserve"> than proposed an extension of the Gray-World assumption, called </w:t>
      </w:r>
      <w:r w:rsidR="008437FF">
        <w:t>Gray-E</w:t>
      </w:r>
      <w:r w:rsidR="008437FF" w:rsidRPr="0099473D">
        <w:t>dge hypothesis</w:t>
      </w:r>
      <w:r w:rsidR="008437FF">
        <w:t xml:space="preserve"> [3]</w:t>
      </w:r>
      <w:r w:rsidR="008437FF" w:rsidRPr="0099473D">
        <w:t xml:space="preserve">, </w:t>
      </w:r>
      <w:r w:rsidR="008437FF">
        <w:t>which assumes that the average of the reflectance differences in a scene is achromatic.</w:t>
      </w:r>
      <w:r w:rsidR="008437FF">
        <w:t xml:space="preserve"> The reflectance differences </w:t>
      </w:r>
      <w:r w:rsidR="008437FF">
        <w:t>can be determined by taking derivatives of the image.</w:t>
      </w:r>
      <w:r w:rsidR="00D101B7">
        <w:t xml:space="preserve"> </w:t>
      </w:r>
      <w:r w:rsidR="008437FF">
        <w:t xml:space="preserve">Therefore, the authors </w:t>
      </w:r>
      <w:r w:rsidR="00C57C69">
        <w:t>present</w:t>
      </w:r>
      <w:r w:rsidR="008437FF">
        <w:t xml:space="preserve"> a framework with which many different algorithms can be constructed</w:t>
      </w:r>
      <w:r w:rsidR="000F4414">
        <w:t>:</w:t>
      </w:r>
    </w:p>
    <w:p w14:paraId="3B3DF8E5" w14:textId="263F2D86" w:rsidR="000F4414" w:rsidRDefault="00940F07" w:rsidP="008437FF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  <w:vertAlign w:val="superscript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perscript"/>
                        </w:rPr>
                        <m:t>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n, p, σ</m:t>
              </m:r>
            </m:sup>
          </m:sSup>
        </m:oMath>
      </m:oMathPara>
    </w:p>
    <w:p w14:paraId="727088E9" w14:textId="4F20017D" w:rsidR="008437FF" w:rsidRDefault="00F26BD4" w:rsidP="008437FF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t xml:space="preserve"> is a scale facor, </w:t>
      </w:r>
      <m:oMath>
        <m:r>
          <w:rPr>
            <w:rFonts w:ascii="Cambria Math" w:hAnsi="Cambria Math"/>
          </w:rPr>
          <m:t>p</m:t>
        </m:r>
      </m:oMath>
      <w:r>
        <w:t xml:space="preserve"> is the norm, </w:t>
      </w:r>
      <m:oMath>
        <m:r>
          <w:rPr>
            <w:rFonts w:ascii="Cambria Math" w:hAnsi="Cambria Math"/>
          </w:rPr>
          <m:t>n</m:t>
        </m:r>
      </m:oMath>
      <w:r>
        <w:t xml:space="preserve"> is the derivative order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is the pixel intensity smoothed by a Gaussian kernel </w:t>
      </w:r>
      <m:oMath>
        <m:r>
          <w:rPr>
            <w:rFonts w:ascii="Cambria Math" w:hAnsi="Cambria Math"/>
          </w:rPr>
          <m:t>σ</m:t>
        </m:r>
      </m:oMath>
      <w:r>
        <w:t xml:space="preserve">. </w:t>
      </w:r>
      <w:r w:rsidR="00940F07" w:rsidRPr="00F26BD4">
        <w:t>We</w:t>
      </w:r>
      <w:r w:rsidR="00940F07">
        <w:t xml:space="preserve"> focus our attention on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0, p, σ</m:t>
            </m:r>
          </m:sup>
        </m:sSup>
      </m:oMath>
      <w:r w:rsidR="00940F07">
        <w:t xml:space="preserve"> case, called </w:t>
      </w:r>
      <w:r w:rsidR="00940F07" w:rsidRPr="00940F07">
        <w:rPr>
          <w:i/>
        </w:rPr>
        <w:t>generalize Grey-World algorithm</w:t>
      </w:r>
      <w:r w:rsidR="00940F07">
        <w:t xml:space="preserve"> (GGE). The resulting illuminant maps </w:t>
      </w:r>
      <w:r w:rsidR="004E1B40" w:rsidRPr="004E1B40">
        <w:t>presents</w:t>
      </w:r>
      <w:r w:rsidR="004E1B40">
        <w:t xml:space="preserve"> also</w:t>
      </w:r>
      <w:r w:rsidR="004E1B40" w:rsidRPr="004E1B40">
        <w:t xml:space="preserve"> global </w:t>
      </w:r>
      <w:r w:rsidR="004E1B40">
        <w:t>illuminant features</w:t>
      </w:r>
      <w:r w:rsidR="004E1B40" w:rsidRPr="004E1B40">
        <w:t xml:space="preserve"> because of </w:t>
      </w:r>
      <w:r w:rsidR="004E1B40">
        <w:t>the gray-world and grey-edge assumptions</w:t>
      </w:r>
      <w:r w:rsidR="004E1B40" w:rsidRPr="004E1B40">
        <w:t>.</w:t>
      </w:r>
    </w:p>
    <w:p w14:paraId="5C99AF91" w14:textId="277D0296" w:rsidR="00AF16C3" w:rsidRDefault="00FE7D46" w:rsidP="00E960D2">
      <w:pPr>
        <w:jc w:val="both"/>
      </w:pPr>
      <w:r>
        <w:lastRenderedPageBreak/>
        <w:t xml:space="preserve">For the latter group, was </w:t>
      </w:r>
      <w:r w:rsidR="000C063A">
        <w:t>investigate</w:t>
      </w:r>
      <w:r>
        <w:t xml:space="preserve"> the method proposed by </w:t>
      </w:r>
      <w:proofErr w:type="spellStart"/>
      <w:r>
        <w:t>Riess</w:t>
      </w:r>
      <w:proofErr w:type="spellEnd"/>
      <w:r w:rsidR="009C150B">
        <w:t xml:space="preserve"> </w:t>
      </w:r>
      <w:r w:rsidR="009C150B" w:rsidRPr="00A60E49">
        <w:rPr>
          <w:i/>
        </w:rPr>
        <w:t>et al.</w:t>
      </w:r>
      <w:r>
        <w:t xml:space="preserve"> [</w:t>
      </w:r>
      <w:r w:rsidR="0099473D">
        <w:t>6</w:t>
      </w:r>
      <w:r>
        <w:t>]</w:t>
      </w:r>
      <w:r w:rsidR="00EF5451">
        <w:t xml:space="preserve">, </w:t>
      </w:r>
      <w:r w:rsidR="000C063A">
        <w:t>which extends the</w:t>
      </w:r>
      <w:r w:rsidR="00EF5451">
        <w:t xml:space="preserve"> </w:t>
      </w:r>
      <w:r w:rsidR="00EF5451" w:rsidRPr="00133FAB">
        <w:rPr>
          <w:i/>
        </w:rPr>
        <w:t>I</w:t>
      </w:r>
      <w:r w:rsidR="00133FAB" w:rsidRPr="00133FAB">
        <w:rPr>
          <w:i/>
        </w:rPr>
        <w:t xml:space="preserve">nverse </w:t>
      </w:r>
      <w:r w:rsidR="00EF5451" w:rsidRPr="00133FAB">
        <w:rPr>
          <w:i/>
        </w:rPr>
        <w:t>I</w:t>
      </w:r>
      <w:r w:rsidR="00133FAB" w:rsidRPr="00133FAB">
        <w:rPr>
          <w:i/>
        </w:rPr>
        <w:t xml:space="preserve">ntense </w:t>
      </w:r>
      <w:r w:rsidR="00EF5451" w:rsidRPr="00133FAB">
        <w:rPr>
          <w:i/>
        </w:rPr>
        <w:t>C</w:t>
      </w:r>
      <w:r w:rsidR="00133FAB" w:rsidRPr="00133FAB">
        <w:rPr>
          <w:i/>
        </w:rPr>
        <w:t>hromaticity</w:t>
      </w:r>
      <w:r w:rsidR="00133FAB">
        <w:t xml:space="preserve"> (IIC)</w:t>
      </w:r>
      <w:r w:rsidR="0099473D">
        <w:t xml:space="preserve"> space approach</w:t>
      </w:r>
      <w:r w:rsidR="00D15D1D">
        <w:t xml:space="preserve"> proposed by Tan </w:t>
      </w:r>
      <w:r w:rsidR="00D15D1D" w:rsidRPr="00D15D1D">
        <w:rPr>
          <w:i/>
        </w:rPr>
        <w:t>et al.</w:t>
      </w:r>
      <w:r w:rsidR="0099473D">
        <w:t xml:space="preserve"> [5</w:t>
      </w:r>
      <w:r w:rsidR="000C063A">
        <w:t xml:space="preserve">] and </w:t>
      </w:r>
      <w:r w:rsidR="00EF5451">
        <w:t xml:space="preserve">tries </w:t>
      </w:r>
      <w:r>
        <w:t>to model the illuminant</w:t>
      </w:r>
      <w:r w:rsidR="00EF5451">
        <w:t xml:space="preserve">s considering the </w:t>
      </w:r>
      <w:r w:rsidR="00EF5451" w:rsidRPr="005D342F">
        <w:rPr>
          <w:i/>
        </w:rPr>
        <w:t>dichromatic reflection</w:t>
      </w:r>
      <w:r w:rsidR="00133FAB" w:rsidRPr="005D342F">
        <w:rPr>
          <w:i/>
        </w:rPr>
        <w:t xml:space="preserve"> model</w:t>
      </w:r>
      <w:r w:rsidR="005D342F">
        <w:t xml:space="preserve"> [8]</w:t>
      </w:r>
      <w:r w:rsidR="00EF5451">
        <w:t>.</w:t>
      </w:r>
      <w:r w:rsidR="00F84221">
        <w:t xml:space="preserve"> In this case, the illuminant map is evaluated </w:t>
      </w:r>
      <w:proofErr w:type="gramStart"/>
      <w:r w:rsidR="00F84221">
        <w:t xml:space="preserve">dividing  </w:t>
      </w:r>
      <w:r w:rsidR="001755DC">
        <w:t>i</w:t>
      </w:r>
      <w:r w:rsidR="00F84221">
        <w:t>mages</w:t>
      </w:r>
      <w:proofErr w:type="gramEnd"/>
      <w:r w:rsidR="00F84221">
        <w:t xml:space="preserve"> </w:t>
      </w:r>
      <w:r w:rsidR="00133FAB">
        <w:t>into blocks</w:t>
      </w:r>
      <w:r w:rsidR="00F84221">
        <w:t>,</w:t>
      </w:r>
      <w:r w:rsidR="00133FAB">
        <w:t xml:space="preserve"> named </w:t>
      </w:r>
      <w:proofErr w:type="spellStart"/>
      <w:r w:rsidR="00133FAB">
        <w:rPr>
          <w:i/>
        </w:rPr>
        <w:t>superpixels</w:t>
      </w:r>
      <w:proofErr w:type="spellEnd"/>
      <w:r w:rsidR="00F84221">
        <w:rPr>
          <w:i/>
        </w:rPr>
        <w:t>,</w:t>
      </w:r>
      <w:r w:rsidR="00D15D1D">
        <w:t xml:space="preserve"> of approximately the same object color</w:t>
      </w:r>
      <w:r w:rsidR="005D342F">
        <w:t>,</w:t>
      </w:r>
      <w:r w:rsidR="003870BD">
        <w:t xml:space="preserve"> </w:t>
      </w:r>
      <w:r w:rsidR="0076056C">
        <w:t>then</w:t>
      </w:r>
      <w:r w:rsidR="005D342F">
        <w:t xml:space="preserve"> the illuminant color is evaluated for each block solving the lighting models locally.</w:t>
      </w:r>
      <w:r w:rsidR="00F35B31">
        <w:t xml:space="preserve"> </w:t>
      </w:r>
      <w:r w:rsidR="00AF16C3">
        <w:t xml:space="preserve">In the model presented in [6], the intensity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(x)</m:t>
        </m:r>
      </m:oMath>
      <w:r w:rsidR="00AF16C3">
        <w:t xml:space="preserve"> and the chromaticity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(x)</m:t>
        </m:r>
      </m:oMath>
      <w:r w:rsidR="00AF16C3">
        <w:t xml:space="preserve"> (with </w:t>
      </w:r>
      <m:oMath>
        <m:r>
          <w:rPr>
            <w:rFonts w:ascii="Cambria Math" w:hAnsi="Cambria Math"/>
          </w:rPr>
          <m:t>c∈</m:t>
        </m:r>
      </m:oMath>
      <w:r w:rsidR="00AF16C3">
        <w:t xml:space="preserve"> {R, G, B}) are </w:t>
      </w:r>
      <w:r w:rsidR="0061094A">
        <w:t>correlated by</w:t>
      </w:r>
    </w:p>
    <w:p w14:paraId="0B466AD4" w14:textId="760B82BF" w:rsidR="0061094A" w:rsidRPr="0061094A" w:rsidRDefault="0061094A" w:rsidP="00E960D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 ∈{R, G, B}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2A3C313" w14:textId="256EC39C" w:rsidR="0061094A" w:rsidRPr="00133FAB" w:rsidRDefault="0061094A" w:rsidP="00E960D2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chromaticity of the illuminant in channel </w:t>
      </w:r>
      <m:oMath>
        <m:r>
          <w:rPr>
            <w:rFonts w:ascii="Cambria Math" w:hAnsi="Cambria Math"/>
          </w:rPr>
          <m:t>c</m:t>
        </m:r>
      </m:oMath>
      <w:r>
        <w:t xml:space="preserve"> and </w:t>
      </w:r>
      <m:oMath>
        <m:r>
          <w:rPr>
            <w:rFonts w:ascii="Cambria Math" w:hAnsi="Cambria Math"/>
          </w:rPr>
          <m:t>m(x)</m:t>
        </m:r>
      </m:oMath>
      <w:r>
        <w:t xml:space="preserve"> is a geometrical factor.</w:t>
      </w:r>
      <w:bookmarkStart w:id="0" w:name="_GoBack"/>
      <w:bookmarkEnd w:id="0"/>
    </w:p>
    <w:p w14:paraId="72D1ACFC" w14:textId="629BC536" w:rsidR="005C3C45" w:rsidRDefault="007420EC" w:rsidP="00E960D2">
      <w:pPr>
        <w:jc w:val="both"/>
      </w:pPr>
      <w:proofErr w:type="spellStart"/>
      <w:r>
        <w:t>Carvalho</w:t>
      </w:r>
      <w:proofErr w:type="spellEnd"/>
      <w:r>
        <w:t xml:space="preserve"> </w:t>
      </w:r>
      <w:r w:rsidRPr="00A60E49">
        <w:rPr>
          <w:i/>
        </w:rPr>
        <w:t>et al.</w:t>
      </w:r>
      <w:r>
        <w:t xml:space="preserve"> [1] </w:t>
      </w:r>
      <w:r w:rsidRPr="007420EC">
        <w:t>then presents a method that relies on a combination of the two approaches for the detection of manipulations on images containing human faces. In addition to maps</w:t>
      </w:r>
      <w:r w:rsidR="00BB40EE">
        <w:t>, a large set of shape and texture descriptors</w:t>
      </w:r>
      <w:r w:rsidRPr="007420EC">
        <w:t xml:space="preserve"> are </w:t>
      </w:r>
      <w:r w:rsidR="00BB40EE">
        <w:t>used together</w:t>
      </w:r>
      <w:r w:rsidRPr="007420EC">
        <w:t>.</w:t>
      </w:r>
      <w:r w:rsidR="00394775">
        <w:t xml:space="preserve"> Note that, </w:t>
      </w:r>
      <w:r w:rsidR="00E16FC8">
        <w:t xml:space="preserve">from a theoretical viewpoint, </w:t>
      </w:r>
      <w:r w:rsidR="00E16FC8" w:rsidRPr="00E16FC8">
        <w:t>it is advantageous to consider only image regions that consist of approximately the same underlying material</w:t>
      </w:r>
      <w:r w:rsidR="00394775">
        <w:t xml:space="preserve">: for this </w:t>
      </w:r>
      <w:r w:rsidR="00BE78A3">
        <w:t>reason,</w:t>
      </w:r>
      <w:r w:rsidR="00394775">
        <w:t xml:space="preserve"> in [1] the authors focused their analysis on human faces.</w:t>
      </w:r>
    </w:p>
    <w:p w14:paraId="75068D36" w14:textId="3674083A" w:rsidR="00FE7D46" w:rsidRDefault="00FE7D46" w:rsidP="00E960D2">
      <w:pPr>
        <w:jc w:val="both"/>
      </w:pPr>
      <w:r>
        <w:t xml:space="preserve">In </w:t>
      </w:r>
      <w:r w:rsidR="00AC2E03">
        <w:t>[1]</w:t>
      </w:r>
      <w:r>
        <w:t xml:space="preserve"> </w:t>
      </w:r>
      <w:r w:rsidR="00EF5451">
        <w:t>it is</w:t>
      </w:r>
      <w:r w:rsidR="007420EC">
        <w:t xml:space="preserve"> also</w:t>
      </w:r>
      <w:r w:rsidR="00EF5451">
        <w:t xml:space="preserve"> shown</w:t>
      </w:r>
      <w:r>
        <w:t xml:space="preserve"> that the difference between the two maps</w:t>
      </w:r>
      <w:r w:rsidR="00EF5451">
        <w:t>,</w:t>
      </w:r>
      <w:r>
        <w:t xml:space="preserve"> GGE and IIC</w:t>
      </w:r>
      <w:r w:rsidR="00EF5451">
        <w:t>,</w:t>
      </w:r>
      <w:r>
        <w:t xml:space="preserve"> increased when </w:t>
      </w:r>
      <w:r w:rsidR="00EF5451">
        <w:t>fake images are processed</w:t>
      </w:r>
      <w:r>
        <w:t xml:space="preserve">. This insight leads to the </w:t>
      </w:r>
      <w:r w:rsidR="009C7B4D">
        <w:t>idea that it is possible to localize tampered image regions simply by considering IM differences with some metric, avoiding the computation of multiple descriptors.</w:t>
      </w:r>
    </w:p>
    <w:p w14:paraId="75150958" w14:textId="35DC54EB" w:rsidR="00BE538F" w:rsidRDefault="00E960D2" w:rsidP="00E960D2">
      <w:pPr>
        <w:jc w:val="both"/>
      </w:pPr>
      <w:r w:rsidRPr="00E960D2">
        <w:t xml:space="preserve">This result is </w:t>
      </w:r>
      <w:r w:rsidR="00BE538F">
        <w:t>presented</w:t>
      </w:r>
      <w:r w:rsidRPr="00E960D2">
        <w:t xml:space="preserve"> in the publication of </w:t>
      </w:r>
      <w:proofErr w:type="spellStart"/>
      <w:r w:rsidRPr="00E960D2">
        <w:t>Schetinger</w:t>
      </w:r>
      <w:proofErr w:type="spellEnd"/>
      <w:r w:rsidRPr="00E960D2">
        <w:t xml:space="preserve"> </w:t>
      </w:r>
      <w:r w:rsidRPr="00A60E49">
        <w:rPr>
          <w:i/>
        </w:rPr>
        <w:t xml:space="preserve">et al. </w:t>
      </w:r>
      <w:r w:rsidRPr="00E960D2">
        <w:t>[</w:t>
      </w:r>
      <w:r w:rsidR="00EB7CC6">
        <w:t>2</w:t>
      </w:r>
      <w:r w:rsidRPr="00E960D2">
        <w:t xml:space="preserve">]. The authors </w:t>
      </w:r>
      <w:r w:rsidR="008B1E57">
        <w:t>report that</w:t>
      </w:r>
      <w:r w:rsidRPr="00E960D2">
        <w:t xml:space="preserve"> </w:t>
      </w:r>
      <w:r w:rsidR="00BE538F">
        <w:t>on doctored images the difference map (computed with the standard Euclidean distance) shows higher values respect to similar maps computed on pristine images.</w:t>
      </w:r>
    </w:p>
    <w:p w14:paraId="75140872" w14:textId="45563CEB" w:rsidR="004D76BE" w:rsidRDefault="00E960D2" w:rsidP="00E960D2">
      <w:pPr>
        <w:jc w:val="both"/>
      </w:pPr>
      <w:r w:rsidRPr="00E960D2">
        <w:t xml:space="preserve">It is therefore proposed a descriptor of the image which takes account of this </w:t>
      </w:r>
      <w:r>
        <w:t>fact</w:t>
      </w:r>
      <w:r w:rsidRPr="00E960D2">
        <w:t xml:space="preserve">. The idea of the authors is that the two maps have eigenvalues pointing in the same direction, being extracted from </w:t>
      </w:r>
      <w:r w:rsidR="000832CE">
        <w:t>an</w:t>
      </w:r>
      <w:r w:rsidR="00BE538F">
        <w:t xml:space="preserve"> image</w:t>
      </w:r>
      <w:r w:rsidRPr="00E960D2">
        <w:t xml:space="preserve"> with almost constant lighting conditions.</w:t>
      </w:r>
      <w:r w:rsidR="004D76BE">
        <w:t xml:space="preserve"> </w:t>
      </w:r>
      <w:r w:rsidRPr="00E960D2">
        <w:t xml:space="preserve">In the case of </w:t>
      </w:r>
      <w:r w:rsidR="000832CE">
        <w:t>spliced</w:t>
      </w:r>
      <w:r w:rsidRPr="00E960D2">
        <w:t xml:space="preserve"> images this condition is no longer fulfilled. The image descriptor</w:t>
      </w:r>
      <w:r w:rsidR="00337B27">
        <w:t xml:space="preserve"> </w:t>
      </w:r>
      <w:r w:rsidR="00337B27" w:rsidRPr="00E960D2">
        <w:t xml:space="preserve">(or </w:t>
      </w:r>
      <w:r w:rsidR="00337B27">
        <w:t xml:space="preserve">a </w:t>
      </w:r>
      <w:r w:rsidR="00337B27" w:rsidRPr="00E960D2">
        <w:t>generic ROI</w:t>
      </w:r>
      <w:r w:rsidR="00337B27">
        <w:t xml:space="preserve"> descriptor)</w:t>
      </w:r>
      <w:r w:rsidRPr="00E960D2">
        <w:t xml:space="preserve"> </w:t>
      </w:r>
      <w:r w:rsidR="004D76BE">
        <w:t>is obtained combining multiple eigenvalue differences:</w:t>
      </w:r>
    </w:p>
    <w:p w14:paraId="0089E657" w14:textId="22EEDF4B" w:rsidR="004D76BE" w:rsidRDefault="004D76BE" w:rsidP="000F0A32">
      <w:pPr>
        <w:jc w:val="center"/>
      </w:pPr>
      <m:oMath>
        <m:r>
          <w:rPr>
            <w:rFonts w:ascii="Cambria Math" w:hAnsi="Cambria Math"/>
          </w:rPr>
          <m:t>D={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</m:oMath>
      <w:r w:rsidR="000F0A32">
        <w:t xml:space="preserve">, </w:t>
      </w:r>
      <w:r w:rsidR="000F0A32">
        <w:t>…</w:t>
      </w:r>
      <w:r w:rsidR="000F0A3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F0A32">
        <w:t>}</w:t>
      </w:r>
    </w:p>
    <w:p w14:paraId="53DDB4B2" w14:textId="23ED658C" w:rsidR="00E16FC8" w:rsidRDefault="000F0A32" w:rsidP="00E960D2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</m:oMath>
      <w:r>
        <w:t xml:space="preserve"> is the difference metric based on the</w:t>
      </w:r>
      <w:r w:rsidRPr="000F0A32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t>-</w:t>
      </w:r>
      <w:proofErr w:type="spellStart"/>
      <w:r>
        <w:t>th</w:t>
      </w:r>
      <w:proofErr w:type="spellEnd"/>
      <w:r>
        <w:t xml:space="preserve"> higher eigenvalues extracted from the two maps. </w:t>
      </w:r>
      <w:r w:rsidR="00E960D2" w:rsidRPr="00E960D2">
        <w:t>At</w:t>
      </w:r>
      <w:r w:rsidR="00337B27">
        <w:t xml:space="preserve"> this point, using a classifier</w:t>
      </w:r>
      <w:r w:rsidR="00E960D2" w:rsidRPr="00E960D2">
        <w:t xml:space="preserve"> </w:t>
      </w:r>
      <w:r w:rsidR="00337B27">
        <w:t xml:space="preserve">such as </w:t>
      </w:r>
      <w:r w:rsidR="00E960D2" w:rsidRPr="00E960D2">
        <w:t>SVM,</w:t>
      </w:r>
      <w:r>
        <w:t xml:space="preserve"> pristine and</w:t>
      </w:r>
      <w:r w:rsidR="00933ACA">
        <w:t xml:space="preserve"> doctored images ca</w:t>
      </w:r>
      <w:r>
        <w:t xml:space="preserve">n be </w:t>
      </w:r>
      <w:r w:rsidR="001E0E9F">
        <w:t>split</w:t>
      </w:r>
      <w:r>
        <w:t>.</w:t>
      </w:r>
      <w:r w:rsidR="00E960D2" w:rsidRPr="00E960D2">
        <w:t xml:space="preserve"> </w:t>
      </w:r>
    </w:p>
    <w:p w14:paraId="0BC6F4AE" w14:textId="65838FA4" w:rsidR="00967558" w:rsidRDefault="000834D6" w:rsidP="00E960D2">
      <w:pPr>
        <w:jc w:val="both"/>
      </w:pPr>
      <w:r w:rsidRPr="000834D6">
        <w:t>Starting from</w:t>
      </w:r>
      <w:r>
        <w:t xml:space="preserve"> [2]</w:t>
      </w:r>
      <w:r w:rsidRPr="000834D6">
        <w:t>, the i</w:t>
      </w:r>
      <w:r>
        <w:t>dea is to propose a blind method for detecting image splicing, using</w:t>
      </w:r>
      <w:r w:rsidRPr="000834D6">
        <w:t xml:space="preserve"> a default</w:t>
      </w:r>
      <w:r>
        <w:t xml:space="preserve"> </w:t>
      </w:r>
      <w:r w:rsidR="002D2C18">
        <w:t>image partition</w:t>
      </w:r>
      <w:r w:rsidRPr="000834D6">
        <w:t xml:space="preserve"> policy (e.g. by using quad-tree</w:t>
      </w:r>
      <w:r w:rsidR="002D2C18">
        <w:t xml:space="preserve"> [9]</w:t>
      </w:r>
      <w:r w:rsidRPr="000834D6">
        <w:t xml:space="preserve"> or </w:t>
      </w:r>
      <w:proofErr w:type="spellStart"/>
      <w:r w:rsidRPr="000834D6">
        <w:t>kd</w:t>
      </w:r>
      <w:proofErr w:type="spellEnd"/>
      <w:r w:rsidRPr="000834D6">
        <w:t>-tree</w:t>
      </w:r>
      <w:r w:rsidR="002D2C18">
        <w:t xml:space="preserve"> image</w:t>
      </w:r>
      <w:r>
        <w:t xml:space="preserve"> </w:t>
      </w:r>
      <w:r w:rsidR="002D2C18">
        <w:t>partition</w:t>
      </w:r>
      <w:r w:rsidR="00555F5B">
        <w:t xml:space="preserve"> [10]</w:t>
      </w:r>
      <w:r w:rsidRPr="000834D6">
        <w:t xml:space="preserve">) and classify its content </w:t>
      </w:r>
      <w:r>
        <w:t>at different scale and resolution basing on a trained SVM model.</w:t>
      </w:r>
    </w:p>
    <w:p w14:paraId="04D77AD5" w14:textId="77777777" w:rsidR="00E17A26" w:rsidRDefault="00E17A26" w:rsidP="00E960D2">
      <w:pPr>
        <w:jc w:val="both"/>
        <w:rPr>
          <w:u w:val="single"/>
        </w:rPr>
      </w:pPr>
      <w:r w:rsidRPr="00E17A26">
        <w:rPr>
          <w:u w:val="single"/>
        </w:rPr>
        <w:t>References:</w:t>
      </w:r>
    </w:p>
    <w:p w14:paraId="6D4E8458" w14:textId="77777777" w:rsidR="003D0A19" w:rsidRDefault="003D0A19" w:rsidP="00E960D2">
      <w:pPr>
        <w:jc w:val="both"/>
      </w:pPr>
      <w:r>
        <w:t xml:space="preserve">[1] T. </w:t>
      </w:r>
      <w:proofErr w:type="spellStart"/>
      <w:r>
        <w:t>Carvalho</w:t>
      </w:r>
      <w:proofErr w:type="spellEnd"/>
      <w:r>
        <w:t xml:space="preserve">, et al. </w:t>
      </w:r>
      <w:r w:rsidRPr="00EB7CC6">
        <w:rPr>
          <w:i/>
        </w:rPr>
        <w:t>Illuminant-Based Transformed Spaces for Image Forensics</w:t>
      </w:r>
      <w:r>
        <w:t>. IEEE Transactions on Information Forensics and Security 11.4 (2016): 720-733.</w:t>
      </w:r>
    </w:p>
    <w:p w14:paraId="783811FF" w14:textId="7F167278" w:rsidR="003D0A19" w:rsidRDefault="003D0A19" w:rsidP="00E960D2">
      <w:pPr>
        <w:jc w:val="both"/>
      </w:pPr>
      <w:r>
        <w:t xml:space="preserve">[2] V. </w:t>
      </w:r>
      <w:proofErr w:type="spellStart"/>
      <w:r>
        <w:t>Schetinger</w:t>
      </w:r>
      <w:proofErr w:type="spellEnd"/>
      <w:r>
        <w:t xml:space="preserve"> et al. </w:t>
      </w:r>
      <w:r w:rsidRPr="00EB7CC6">
        <w:rPr>
          <w:i/>
        </w:rPr>
        <w:t>Exploring Statistical Di</w:t>
      </w:r>
      <w:r w:rsidR="00A60E49" w:rsidRPr="00EB7CC6">
        <w:rPr>
          <w:i/>
        </w:rPr>
        <w:t>ff</w:t>
      </w:r>
      <w:r w:rsidRPr="00EB7CC6">
        <w:rPr>
          <w:i/>
        </w:rPr>
        <w:t>erences Between Illuminant Estimation Methods for Exposing Digital Forgeries</w:t>
      </w:r>
      <w:r>
        <w:t>; 2016.</w:t>
      </w:r>
    </w:p>
    <w:p w14:paraId="1A176D22" w14:textId="0D810BC9" w:rsidR="003D0A19" w:rsidRDefault="00FE7D46" w:rsidP="00E960D2">
      <w:pPr>
        <w:jc w:val="both"/>
      </w:pPr>
      <w:r>
        <w:t>[3] J. V</w:t>
      </w:r>
      <w:r w:rsidR="003D0A19">
        <w:t xml:space="preserve">an de </w:t>
      </w:r>
      <w:proofErr w:type="spellStart"/>
      <w:r w:rsidR="003D0A19">
        <w:t>Weijer</w:t>
      </w:r>
      <w:proofErr w:type="spellEnd"/>
      <w:r w:rsidR="003D0A19">
        <w:t xml:space="preserve">, Th. </w:t>
      </w:r>
      <w:proofErr w:type="spellStart"/>
      <w:r w:rsidR="003D0A19">
        <w:t>Gevers</w:t>
      </w:r>
      <w:proofErr w:type="spellEnd"/>
      <w:r w:rsidR="003D0A19">
        <w:t xml:space="preserve">, A. </w:t>
      </w:r>
      <w:proofErr w:type="spellStart"/>
      <w:r w:rsidR="003D0A19">
        <w:t>Gijsenij</w:t>
      </w:r>
      <w:proofErr w:type="spellEnd"/>
      <w:r w:rsidR="003D0A19">
        <w:t xml:space="preserve">, </w:t>
      </w:r>
      <w:r w:rsidR="003D0A19" w:rsidRPr="00EB7CC6">
        <w:rPr>
          <w:i/>
        </w:rPr>
        <w:t>Edge-Based Color Constancy</w:t>
      </w:r>
      <w:r w:rsidR="003D0A19">
        <w:t>, IEEE Trans. Image Processing, accepted 2007.</w:t>
      </w:r>
    </w:p>
    <w:p w14:paraId="2418818A" w14:textId="5D8BE752" w:rsidR="0099473D" w:rsidRDefault="0099473D" w:rsidP="00E960D2">
      <w:pPr>
        <w:jc w:val="both"/>
      </w:pPr>
      <w:r>
        <w:t xml:space="preserve">[4] </w:t>
      </w:r>
      <w:r w:rsidRPr="0099473D">
        <w:t xml:space="preserve">G. </w:t>
      </w:r>
      <w:proofErr w:type="spellStart"/>
      <w:r w:rsidRPr="0099473D">
        <w:t>Buchsbaum</w:t>
      </w:r>
      <w:proofErr w:type="spellEnd"/>
      <w:r w:rsidRPr="0099473D">
        <w:t xml:space="preserve">, A spatial processor model for object </w:t>
      </w:r>
      <w:proofErr w:type="spellStart"/>
      <w:r w:rsidRPr="0099473D">
        <w:t>colour</w:t>
      </w:r>
      <w:proofErr w:type="spellEnd"/>
      <w:r w:rsidRPr="0099473D">
        <w:t xml:space="preserve"> perception, Journal of the Franklin Institute, Volume 310, Issue 1, 1980</w:t>
      </w:r>
    </w:p>
    <w:p w14:paraId="4ED64009" w14:textId="1B66F228" w:rsidR="000C063A" w:rsidRDefault="0099473D" w:rsidP="000C063A">
      <w:pPr>
        <w:jc w:val="both"/>
      </w:pPr>
      <w:r>
        <w:lastRenderedPageBreak/>
        <w:t>[5</w:t>
      </w:r>
      <w:r w:rsidR="000C063A">
        <w:t xml:space="preserve">] </w:t>
      </w:r>
      <w:r w:rsidR="000C063A">
        <w:t xml:space="preserve">Tan, R., Nishino, K., </w:t>
      </w:r>
      <w:proofErr w:type="spellStart"/>
      <w:r w:rsidR="000C063A">
        <w:t>Ikeuchi</w:t>
      </w:r>
      <w:proofErr w:type="spellEnd"/>
      <w:r w:rsidR="000C063A">
        <w:t xml:space="preserve">, K.: </w:t>
      </w:r>
      <w:r w:rsidR="000C063A" w:rsidRPr="000C063A">
        <w:rPr>
          <w:i/>
        </w:rPr>
        <w:t>Color Constancy</w:t>
      </w:r>
      <w:r w:rsidR="000C063A" w:rsidRPr="000C063A">
        <w:rPr>
          <w:i/>
        </w:rPr>
        <w:t xml:space="preserve"> through Inverse-Intensity Chro</w:t>
      </w:r>
      <w:r w:rsidR="000C063A" w:rsidRPr="000C063A">
        <w:rPr>
          <w:i/>
        </w:rPr>
        <w:t>maticity Space</w:t>
      </w:r>
      <w:r w:rsidR="000C063A">
        <w:t>. Journal of the Optical Society of America A 21(3) (2004) 321</w:t>
      </w:r>
      <w:r w:rsidR="000C063A">
        <w:t>–</w:t>
      </w:r>
      <w:r w:rsidR="000C063A">
        <w:t>334</w:t>
      </w:r>
    </w:p>
    <w:p w14:paraId="4BF26A80" w14:textId="0AD24642" w:rsidR="008860EC" w:rsidRDefault="003D0A19" w:rsidP="00E960D2">
      <w:pPr>
        <w:jc w:val="both"/>
      </w:pPr>
      <w:r>
        <w:t>[</w:t>
      </w:r>
      <w:r w:rsidR="0099473D">
        <w:t>6</w:t>
      </w:r>
      <w:r w:rsidR="00495096">
        <w:t xml:space="preserve">] C. </w:t>
      </w:r>
      <w:proofErr w:type="spellStart"/>
      <w:r w:rsidR="00495096">
        <w:t>Riess</w:t>
      </w:r>
      <w:proofErr w:type="spellEnd"/>
      <w:r w:rsidR="00495096">
        <w:t xml:space="preserve"> and E. </w:t>
      </w:r>
      <w:proofErr w:type="spellStart"/>
      <w:r w:rsidR="00495096">
        <w:t>Angelopoulou</w:t>
      </w:r>
      <w:proofErr w:type="spellEnd"/>
      <w:r w:rsidR="00495096">
        <w:t>,</w:t>
      </w:r>
      <w:r>
        <w:t xml:space="preserve"> </w:t>
      </w:r>
      <w:r w:rsidRPr="00495096">
        <w:rPr>
          <w:i/>
        </w:rPr>
        <w:t>Scene illumination as an indicator of image manipulation</w:t>
      </w:r>
      <w:r>
        <w:t>. In Proceedings of the 12th international conference on Information hi</w:t>
      </w:r>
      <w:r w:rsidR="00495096">
        <w:t>ding, Berlin, Heidelberg, 66-80;</w:t>
      </w:r>
      <w:r w:rsidR="00495096" w:rsidRPr="00495096">
        <w:t xml:space="preserve"> </w:t>
      </w:r>
      <w:r w:rsidR="00495096">
        <w:t>2010</w:t>
      </w:r>
    </w:p>
    <w:p w14:paraId="3BCAF604" w14:textId="77777777" w:rsidR="005D342F" w:rsidRDefault="00D64EC2" w:rsidP="005D342F">
      <w:pPr>
        <w:jc w:val="both"/>
      </w:pPr>
      <w:r>
        <w:t xml:space="preserve">[7] G. Finlayson, </w:t>
      </w:r>
      <w:r>
        <w:t xml:space="preserve">E. </w:t>
      </w:r>
      <w:proofErr w:type="spellStart"/>
      <w:r>
        <w:t>Trezzi</w:t>
      </w:r>
      <w:proofErr w:type="spellEnd"/>
      <w:r>
        <w:t xml:space="preserve">. </w:t>
      </w:r>
      <w:r w:rsidRPr="00D64EC2">
        <w:rPr>
          <w:i/>
        </w:rPr>
        <w:t xml:space="preserve">Shades of gray and </w:t>
      </w:r>
      <w:proofErr w:type="spellStart"/>
      <w:r w:rsidRPr="00D64EC2">
        <w:rPr>
          <w:i/>
        </w:rPr>
        <w:t>colour</w:t>
      </w:r>
      <w:proofErr w:type="spellEnd"/>
      <w:r w:rsidRPr="00D64EC2">
        <w:rPr>
          <w:i/>
        </w:rPr>
        <w:t xml:space="preserve"> constancy</w:t>
      </w:r>
      <w:r>
        <w:t>.</w:t>
      </w:r>
      <w:r>
        <w:t xml:space="preserve"> </w:t>
      </w:r>
      <w:r>
        <w:t>In Proc. of the Twelfth Color Imaging Conference,</w:t>
      </w:r>
      <w:r>
        <w:t xml:space="preserve"> </w:t>
      </w:r>
      <w:r>
        <w:t>pages 37</w:t>
      </w:r>
      <w:r>
        <w:t>–</w:t>
      </w:r>
      <w:r>
        <w:t>41. IS&amp;T - The Society for Imaging Science and</w:t>
      </w:r>
      <w:r w:rsidR="005D342F">
        <w:t xml:space="preserve"> </w:t>
      </w:r>
      <w:r>
        <w:t>Technology, 2004.</w:t>
      </w:r>
    </w:p>
    <w:p w14:paraId="4EC96D64" w14:textId="77777777" w:rsidR="002D2C18" w:rsidRDefault="005D342F" w:rsidP="00C57C69">
      <w:r>
        <w:t>[8] S.</w:t>
      </w:r>
      <w:r w:rsidRPr="005D342F">
        <w:t xml:space="preserve"> </w:t>
      </w:r>
      <w:proofErr w:type="spellStart"/>
      <w:r w:rsidRPr="005D342F">
        <w:t>Tominaga</w:t>
      </w:r>
      <w:proofErr w:type="spellEnd"/>
      <w:r w:rsidRPr="005D342F">
        <w:t xml:space="preserve"> and </w:t>
      </w:r>
      <w:r>
        <w:t xml:space="preserve">B. A. </w:t>
      </w:r>
      <w:proofErr w:type="spellStart"/>
      <w:r>
        <w:t>Wandell</w:t>
      </w:r>
      <w:proofErr w:type="spellEnd"/>
      <w:r>
        <w:t>,</w:t>
      </w:r>
      <w:r w:rsidRPr="005D342F">
        <w:rPr>
          <w:i/>
        </w:rPr>
        <w:t xml:space="preserve"> Standard surface-reflectance model and illuminant estimation</w:t>
      </w:r>
      <w:r>
        <w:t>,</w:t>
      </w:r>
      <w:r w:rsidRPr="005D342F">
        <w:t xml:space="preserve"> J. Opt. Soc. Am. A</w:t>
      </w:r>
      <w:r w:rsidRPr="005D342F">
        <w:t> </w:t>
      </w:r>
      <w:r w:rsidRPr="005D342F">
        <w:t>6, 576-584 (1989</w:t>
      </w:r>
      <w:r w:rsidR="00C57C69">
        <w:t>)</w:t>
      </w:r>
    </w:p>
    <w:p w14:paraId="57649A0F" w14:textId="283FDE22" w:rsidR="00D64EC2" w:rsidRDefault="002D2C18" w:rsidP="00C57C69">
      <w:r>
        <w:t xml:space="preserve">[9] R. </w:t>
      </w:r>
      <w:proofErr w:type="spellStart"/>
      <w:r>
        <w:t>Finkel</w:t>
      </w:r>
      <w:proofErr w:type="spellEnd"/>
      <w:r>
        <w:t xml:space="preserve"> and J.L. Bentley, </w:t>
      </w:r>
      <w:r w:rsidRPr="002D2C18">
        <w:rPr>
          <w:i/>
        </w:rPr>
        <w:t>Quad Trees: A Data Structure for Retrieval on Composite Keys</w:t>
      </w:r>
      <w:r w:rsidR="009B39BE">
        <w:t xml:space="preserve">. </w:t>
      </w:r>
      <w:proofErr w:type="spellStart"/>
      <w:r w:rsidR="009B39BE">
        <w:t>Acta</w:t>
      </w:r>
      <w:proofErr w:type="spellEnd"/>
      <w:r w:rsidR="009B39BE">
        <w:t xml:space="preserve"> </w:t>
      </w:r>
      <w:proofErr w:type="spellStart"/>
      <w:r w:rsidR="009B39BE">
        <w:t>Informatica</w:t>
      </w:r>
      <w:proofErr w:type="spellEnd"/>
      <w:r w:rsidR="009B39BE">
        <w:t xml:space="preserve">; </w:t>
      </w:r>
      <w:r>
        <w:t>1974</w:t>
      </w:r>
    </w:p>
    <w:p w14:paraId="74F82797" w14:textId="65C49F48" w:rsidR="002C1933" w:rsidRDefault="002C1933" w:rsidP="00C57C69">
      <w:r>
        <w:t>[10] J. L. Bentley;</w:t>
      </w:r>
      <w:r w:rsidRPr="002C1933">
        <w:t xml:space="preserve"> </w:t>
      </w:r>
      <w:r w:rsidRPr="002C1933">
        <w:rPr>
          <w:i/>
        </w:rPr>
        <w:t>Multidimensional binary search trees used for associative searching</w:t>
      </w:r>
      <w:r w:rsidRPr="002C1933">
        <w:t xml:space="preserve">. </w:t>
      </w:r>
      <w:proofErr w:type="spellStart"/>
      <w:r w:rsidRPr="002C1933">
        <w:t>Commun</w:t>
      </w:r>
      <w:proofErr w:type="spellEnd"/>
      <w:r w:rsidRPr="002C1933">
        <w:t xml:space="preserve">. ACM 18, 9 </w:t>
      </w:r>
      <w:r>
        <w:t>1975,</w:t>
      </w:r>
      <w:r w:rsidRPr="002C1933">
        <w:t xml:space="preserve"> 509-517.</w:t>
      </w:r>
    </w:p>
    <w:sectPr w:rsidR="002C1933" w:rsidSect="00C32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75363"/>
    <w:multiLevelType w:val="hybridMultilevel"/>
    <w:tmpl w:val="78A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9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49"/>
    <w:rsid w:val="00073BFC"/>
    <w:rsid w:val="000832CE"/>
    <w:rsid w:val="000834D6"/>
    <w:rsid w:val="000B0914"/>
    <w:rsid w:val="000C063A"/>
    <w:rsid w:val="000F0A32"/>
    <w:rsid w:val="000F4414"/>
    <w:rsid w:val="000F7333"/>
    <w:rsid w:val="00105798"/>
    <w:rsid w:val="0011027E"/>
    <w:rsid w:val="001306BE"/>
    <w:rsid w:val="00133FAB"/>
    <w:rsid w:val="001459A4"/>
    <w:rsid w:val="001755DC"/>
    <w:rsid w:val="001E0E9F"/>
    <w:rsid w:val="00235581"/>
    <w:rsid w:val="002C1933"/>
    <w:rsid w:val="002C3DA0"/>
    <w:rsid w:val="002D2C18"/>
    <w:rsid w:val="00317CF5"/>
    <w:rsid w:val="003366BD"/>
    <w:rsid w:val="00337B27"/>
    <w:rsid w:val="00363CB3"/>
    <w:rsid w:val="003870BD"/>
    <w:rsid w:val="00394775"/>
    <w:rsid w:val="003C188F"/>
    <w:rsid w:val="003D0A19"/>
    <w:rsid w:val="003F702F"/>
    <w:rsid w:val="00456AB2"/>
    <w:rsid w:val="00495096"/>
    <w:rsid w:val="004D76BE"/>
    <w:rsid w:val="004E1B40"/>
    <w:rsid w:val="00555F5B"/>
    <w:rsid w:val="00562804"/>
    <w:rsid w:val="00567CD0"/>
    <w:rsid w:val="005A0891"/>
    <w:rsid w:val="005C3C45"/>
    <w:rsid w:val="005D155D"/>
    <w:rsid w:val="005D342F"/>
    <w:rsid w:val="0061094A"/>
    <w:rsid w:val="006641B4"/>
    <w:rsid w:val="00697612"/>
    <w:rsid w:val="006A63AC"/>
    <w:rsid w:val="007420EC"/>
    <w:rsid w:val="0076056C"/>
    <w:rsid w:val="00797BAF"/>
    <w:rsid w:val="007C4175"/>
    <w:rsid w:val="007F55ED"/>
    <w:rsid w:val="008437FF"/>
    <w:rsid w:val="008661AD"/>
    <w:rsid w:val="008860EC"/>
    <w:rsid w:val="008B1E57"/>
    <w:rsid w:val="008C66E5"/>
    <w:rsid w:val="0092479C"/>
    <w:rsid w:val="00933ACA"/>
    <w:rsid w:val="00940F07"/>
    <w:rsid w:val="00967558"/>
    <w:rsid w:val="0099473D"/>
    <w:rsid w:val="009B39BE"/>
    <w:rsid w:val="009C150B"/>
    <w:rsid w:val="009C5D2A"/>
    <w:rsid w:val="009C7B4D"/>
    <w:rsid w:val="009F29DD"/>
    <w:rsid w:val="00A05A0D"/>
    <w:rsid w:val="00A1024D"/>
    <w:rsid w:val="00A60E49"/>
    <w:rsid w:val="00AC2E03"/>
    <w:rsid w:val="00AF16C3"/>
    <w:rsid w:val="00B051B8"/>
    <w:rsid w:val="00B94FE5"/>
    <w:rsid w:val="00B97DA6"/>
    <w:rsid w:val="00BB40EE"/>
    <w:rsid w:val="00BE538F"/>
    <w:rsid w:val="00BE78A3"/>
    <w:rsid w:val="00BF4CBF"/>
    <w:rsid w:val="00C329EE"/>
    <w:rsid w:val="00C57B26"/>
    <w:rsid w:val="00C57C69"/>
    <w:rsid w:val="00C70CEC"/>
    <w:rsid w:val="00CB3817"/>
    <w:rsid w:val="00CB5022"/>
    <w:rsid w:val="00CC7F4C"/>
    <w:rsid w:val="00CD56C2"/>
    <w:rsid w:val="00CF7C70"/>
    <w:rsid w:val="00D101B7"/>
    <w:rsid w:val="00D15D1D"/>
    <w:rsid w:val="00D64EC2"/>
    <w:rsid w:val="00DA57F1"/>
    <w:rsid w:val="00DB7233"/>
    <w:rsid w:val="00DE4649"/>
    <w:rsid w:val="00E16FC8"/>
    <w:rsid w:val="00E17337"/>
    <w:rsid w:val="00E17A26"/>
    <w:rsid w:val="00E960D2"/>
    <w:rsid w:val="00EA5BA2"/>
    <w:rsid w:val="00EB7CC6"/>
    <w:rsid w:val="00ED0D8E"/>
    <w:rsid w:val="00EF5451"/>
    <w:rsid w:val="00F26BD4"/>
    <w:rsid w:val="00F35B31"/>
    <w:rsid w:val="00F42348"/>
    <w:rsid w:val="00F84221"/>
    <w:rsid w:val="00FE35E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6878"/>
  <w15:chartTrackingRefBased/>
  <w15:docId w15:val="{5053D674-5097-4C47-9DB6-AE8DC5C6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0E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F4414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940F07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40F07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40F07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40F07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40F0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0F07"/>
    <w:pPr>
      <w:spacing w:after="0" w:line="240" w:lineRule="auto"/>
    </w:pPr>
    <w:rPr>
      <w:rFonts w:asci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0F07"/>
    <w:rPr>
      <w:rFonts w:ascii="Times New Roman"/>
      <w:sz w:val="18"/>
      <w:szCs w:val="18"/>
    </w:rPr>
  </w:style>
  <w:style w:type="character" w:customStyle="1" w:styleId="apple-converted-space">
    <w:name w:val="apple-converted-space"/>
    <w:basedOn w:val="Carpredefinitoparagrafo"/>
    <w:rsid w:val="005D342F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5D342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it-IT"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5D342F"/>
    <w:rPr>
      <w:rFonts w:ascii="Arial" w:hAnsi="Arial" w:cs="Arial"/>
      <w:vanish/>
      <w:sz w:val="16"/>
      <w:szCs w:val="16"/>
      <w:lang w:val="it-IT"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5D342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it-IT"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5D342F"/>
    <w:rPr>
      <w:rFonts w:ascii="Arial" w:hAnsi="Arial" w:cs="Arial"/>
      <w:vanish/>
      <w:sz w:val="16"/>
      <w:szCs w:val="16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428629">
              <w:marLeft w:val="12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39566613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8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919">
          <w:marLeft w:val="0"/>
          <w:marRight w:val="0"/>
          <w:marTop w:val="0"/>
          <w:marBottom w:val="75"/>
          <w:divBdr>
            <w:top w:val="single" w:sz="6" w:space="4" w:color="EEEEEE"/>
            <w:left w:val="single" w:sz="6" w:space="4" w:color="EEEEEE"/>
            <w:bottom w:val="single" w:sz="6" w:space="4" w:color="EEEEEE"/>
            <w:right w:val="single" w:sz="6" w:space="4" w:color="EEEEEE"/>
          </w:divBdr>
        </w:div>
      </w:divsChild>
    </w:div>
    <w:div w:id="1835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DB07D8-CF20-3744-AF42-69921E8B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1067</Words>
  <Characters>6085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Utente di Microsoft Office</cp:lastModifiedBy>
  <cp:revision>66</cp:revision>
  <dcterms:created xsi:type="dcterms:W3CDTF">2016-10-12T10:00:00Z</dcterms:created>
  <dcterms:modified xsi:type="dcterms:W3CDTF">2016-10-29T13:01:00Z</dcterms:modified>
</cp:coreProperties>
</file>