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PROCESS CONTROL APPLICATION</w:t>
      </w:r>
    </w:p>
    <w:p>
      <w:pPr>
        <w:jc w:val="center"/>
      </w:pPr>
      <w:r>
        <w:rPr>
          <w:b/>
          <w:sz w:val="28"/>
        </w:rPr>
        <w:t>Verification Report</w:t>
      </w:r>
    </w:p>
    <w:p/>
    <w:p>
      <w:r>
        <w:rPr>
          <w:b/>
          <w:sz w:val="24"/>
        </w:rPr>
        <w:t>1. Report Purpose</w:t>
      </w:r>
    </w:p>
    <w:p>
      <w:r>
        <w:t>This report documents the verified installation and execution of the Process Control Application in an English user interface. The software was tested through the New workflow, the Process Analysis tab, and the Process Improvement tab by using event log data and PNML model files.</w:t>
      </w:r>
    </w:p>
    <w:p>
      <w:r>
        <w:rPr>
          <w:b/>
          <w:sz w:val="24"/>
        </w:rPr>
        <w:t>2. Verified Environment</w:t>
      </w:r>
    </w:p>
    <w:p>
      <w:r>
        <w:t>Operating environment: Windows desktop environment with Python, required libraries, and Graphviz available from Command Prompt.</w:t>
      </w:r>
    </w:p>
    <w:p>
      <w:r>
        <w:rPr>
          <w:b/>
          <w:sz w:val="24"/>
        </w:rPr>
        <w:t>3. Required Commands</w:t>
      </w:r>
    </w:p>
    <w:p>
      <w:r>
        <w:rPr>
          <w:rFonts w:ascii="Courier New" w:hAnsi="Courier New"/>
          <w:sz w:val="20"/>
        </w:rPr>
        <w:t>python --version</w:t>
        <w:br/>
        <w:t>pip --version</w:t>
        <w:br/>
        <w:t>python -m pip install -r requirements.txt</w:t>
        <w:br/>
        <w:t>dot -V</w:t>
        <w:br/>
        <w:t>py main.py</w:t>
      </w:r>
    </w:p>
    <w:p>
      <w:r>
        <w:rPr>
          <w:b/>
          <w:sz w:val="24"/>
        </w:rPr>
        <w:t>4. Tested Input Configuration</w:t>
      </w:r>
    </w:p>
    <w:p>
      <w:r>
        <w:t>The verified setup used the following mapping and interpretation settings.</w:t>
      </w:r>
    </w:p>
    <w:tbl>
      <w:tblPr>
        <w:tblStyle w:val="TableGrid"/>
        <w:tblW w:type="auto" w:w="0"/>
        <w:tblLook w:firstColumn="1" w:firstRow="1" w:lastColumn="0" w:lastRow="0" w:noHBand="0" w:noVBand="1" w:val="04A0"/>
      </w:tblPr>
      <w:tblGrid>
        <w:gridCol w:w="4968"/>
        <w:gridCol w:w="4968"/>
      </w:tblGrid>
      <w:tr>
        <w:tc>
          <w:tcPr>
            <w:tcW w:type="dxa" w:w="4968"/>
          </w:tcPr>
          <w:p>
            <w:pPr>
              <w:jc w:val="left"/>
            </w:pPr>
            <w:r/>
            <w:r>
              <w:rPr>
                <w:b/>
              </w:rPr>
              <w:t>Field</w:t>
            </w:r>
          </w:p>
        </w:tc>
        <w:tc>
          <w:tcPr>
            <w:tcW w:type="dxa" w:w="4968"/>
          </w:tcPr>
          <w:p>
            <w:pPr>
              <w:jc w:val="left"/>
            </w:pPr>
            <w:r/>
            <w:r>
              <w:rPr>
                <w:b/>
              </w:rPr>
              <w:t>Verified value</w:t>
            </w:r>
          </w:p>
        </w:tc>
      </w:tr>
      <w:tr>
        <w:tc>
          <w:tcPr>
            <w:tcW w:type="dxa" w:w="4968"/>
          </w:tcPr>
          <w:p>
            <w:pPr>
              <w:jc w:val="left"/>
            </w:pPr>
            <w:r/>
            <w:r>
              <w:rPr>
                <w:b w:val="0"/>
              </w:rPr>
              <w:t>Case ID column</w:t>
            </w:r>
          </w:p>
        </w:tc>
        <w:tc>
          <w:tcPr>
            <w:tcW w:type="dxa" w:w="4968"/>
          </w:tcPr>
          <w:p>
            <w:pPr>
              <w:jc w:val="left"/>
            </w:pPr>
            <w:r/>
            <w:r>
              <w:rPr>
                <w:b w:val="0"/>
              </w:rPr>
              <w:t>case:concept:name</w:t>
            </w:r>
          </w:p>
        </w:tc>
      </w:tr>
      <w:tr>
        <w:tc>
          <w:tcPr>
            <w:tcW w:type="dxa" w:w="4968"/>
          </w:tcPr>
          <w:p>
            <w:pPr>
              <w:jc w:val="left"/>
            </w:pPr>
            <w:r/>
            <w:r>
              <w:rPr>
                <w:b w:val="0"/>
              </w:rPr>
              <w:t>Activity column</w:t>
            </w:r>
          </w:p>
        </w:tc>
        <w:tc>
          <w:tcPr>
            <w:tcW w:type="dxa" w:w="4968"/>
          </w:tcPr>
          <w:p>
            <w:pPr>
              <w:jc w:val="left"/>
            </w:pPr>
            <w:r/>
            <w:r>
              <w:rPr>
                <w:b w:val="0"/>
              </w:rPr>
              <w:t>concept:name</w:t>
            </w:r>
          </w:p>
        </w:tc>
      </w:tr>
      <w:tr>
        <w:tc>
          <w:tcPr>
            <w:tcW w:type="dxa" w:w="4968"/>
          </w:tcPr>
          <w:p>
            <w:pPr>
              <w:jc w:val="left"/>
            </w:pPr>
            <w:r/>
            <w:r>
              <w:rPr>
                <w:b w:val="0"/>
              </w:rPr>
              <w:t>Timestamp column</w:t>
            </w:r>
          </w:p>
        </w:tc>
        <w:tc>
          <w:tcPr>
            <w:tcW w:type="dxa" w:w="4968"/>
          </w:tcPr>
          <w:p>
            <w:pPr>
              <w:jc w:val="left"/>
            </w:pPr>
            <w:r/>
            <w:r>
              <w:rPr>
                <w:b w:val="0"/>
              </w:rPr>
              <w:t>time:timestamp</w:t>
            </w:r>
          </w:p>
        </w:tc>
      </w:tr>
      <w:tr>
        <w:tc>
          <w:tcPr>
            <w:tcW w:type="dxa" w:w="4968"/>
          </w:tcPr>
          <w:p>
            <w:pPr>
              <w:jc w:val="left"/>
            </w:pPr>
            <w:r/>
            <w:r>
              <w:rPr>
                <w:b w:val="0"/>
              </w:rPr>
              <w:t>Recorded at</w:t>
            </w:r>
          </w:p>
        </w:tc>
        <w:tc>
          <w:tcPr>
            <w:tcW w:type="dxa" w:w="4968"/>
          </w:tcPr>
          <w:p>
            <w:pPr>
              <w:jc w:val="left"/>
            </w:pPr>
            <w:r/>
            <w:r>
              <w:rPr>
                <w:b w:val="0"/>
              </w:rPr>
              <w:t>end</w:t>
            </w:r>
          </w:p>
        </w:tc>
      </w:tr>
      <w:tr>
        <w:tc>
          <w:tcPr>
            <w:tcW w:type="dxa" w:w="4968"/>
          </w:tcPr>
          <w:p>
            <w:pPr>
              <w:jc w:val="left"/>
            </w:pPr>
            <w:r/>
            <w:r>
              <w:rPr>
                <w:b w:val="0"/>
              </w:rPr>
              <w:t>Time unit</w:t>
            </w:r>
          </w:p>
        </w:tc>
        <w:tc>
          <w:tcPr>
            <w:tcW w:type="dxa" w:w="4968"/>
          </w:tcPr>
          <w:p>
            <w:pPr>
              <w:jc w:val="left"/>
            </w:pPr>
            <w:r/>
            <w:r>
              <w:rPr>
                <w:b w:val="0"/>
              </w:rPr>
              <w:t>Day</w:t>
            </w:r>
          </w:p>
        </w:tc>
      </w:tr>
    </w:tbl>
    <w:p>
      <w:r>
        <w:br w:type="page"/>
      </w:r>
    </w:p>
    <w:p>
      <w:r>
        <w:rPr>
          <w:b/>
          <w:sz w:val="24"/>
        </w:rPr>
        <w:t>5. Process Setup</w:t>
      </w:r>
    </w:p>
    <w:p>
      <w:pPr>
        <w:jc w:val="center"/>
      </w:pPr>
      <w:r>
        <w:drawing>
          <wp:inline xmlns:a="http://schemas.openxmlformats.org/drawingml/2006/main" xmlns:pic="http://schemas.openxmlformats.org/drawingml/2006/picture">
            <wp:extent cx="5852160" cy="3101431"/>
            <wp:docPr id="1" name="Picture 1"/>
            <wp:cNvGraphicFramePr>
              <a:graphicFrameLocks noChangeAspect="1"/>
            </wp:cNvGraphicFramePr>
            <a:graphic>
              <a:graphicData uri="http://schemas.openxmlformats.org/drawingml/2006/picture">
                <pic:pic>
                  <pic:nvPicPr>
                    <pic:cNvPr id="0" name="process_setup.png"/>
                    <pic:cNvPicPr/>
                  </pic:nvPicPr>
                  <pic:blipFill>
                    <a:blip r:embed="rId9"/>
                    <a:stretch>
                      <a:fillRect/>
                    </a:stretch>
                  </pic:blipFill>
                  <pic:spPr>
                    <a:xfrm>
                      <a:off x="0" y="0"/>
                      <a:ext cx="5852160" cy="3101431"/>
                    </a:xfrm>
                    <a:prstGeom prst="rect"/>
                  </pic:spPr>
                </pic:pic>
              </a:graphicData>
            </a:graphic>
          </wp:inline>
        </w:drawing>
      </w:r>
    </w:p>
    <w:p>
      <w:pPr>
        <w:jc w:val="center"/>
      </w:pPr>
      <w:r>
        <w:rPr>
          <w:i/>
          <w:sz w:val="18"/>
        </w:rPr>
        <w:t>Figure 1. Process Setup screen with the verified column mapping and data preview.</w:t>
      </w:r>
    </w:p>
    <w:p>
      <w:r>
        <w:rPr>
          <w:b/>
          <w:sz w:val="24"/>
        </w:rPr>
        <w:t>6. Process Analysis Overview</w:t>
      </w:r>
    </w:p>
    <w:p>
      <w:pPr>
        <w:jc w:val="center"/>
      </w:pPr>
      <w:r>
        <w:drawing>
          <wp:inline xmlns:a="http://schemas.openxmlformats.org/drawingml/2006/main" xmlns:pic="http://schemas.openxmlformats.org/drawingml/2006/picture">
            <wp:extent cx="6035040" cy="3201496"/>
            <wp:docPr id="2" name="Picture 2"/>
            <wp:cNvGraphicFramePr>
              <a:graphicFrameLocks noChangeAspect="1"/>
            </wp:cNvGraphicFramePr>
            <a:graphic>
              <a:graphicData uri="http://schemas.openxmlformats.org/drawingml/2006/picture">
                <pic:pic>
                  <pic:nvPicPr>
                    <pic:cNvPr id="0" name="process_analysis_overview.png"/>
                    <pic:cNvPicPr/>
                  </pic:nvPicPr>
                  <pic:blipFill>
                    <a:blip r:embed="rId10"/>
                    <a:stretch>
                      <a:fillRect/>
                    </a:stretch>
                  </pic:blipFill>
                  <pic:spPr>
                    <a:xfrm>
                      <a:off x="0" y="0"/>
                      <a:ext cx="6035040" cy="3201496"/>
                    </a:xfrm>
                    <a:prstGeom prst="rect"/>
                  </pic:spPr>
                </pic:pic>
              </a:graphicData>
            </a:graphic>
          </wp:inline>
        </w:drawing>
      </w:r>
    </w:p>
    <w:p>
      <w:pPr>
        <w:jc w:val="center"/>
      </w:pPr>
      <w:r>
        <w:rPr>
          <w:i/>
          <w:sz w:val="18"/>
        </w:rPr>
        <w:t>Figure 2. Process Analysis overview with the Petri Net model, KPI cards, and execution-time distribution chart.</w:t>
      </w:r>
    </w:p>
    <w:p>
      <w:r>
        <w:br w:type="page"/>
      </w:r>
    </w:p>
    <w:p>
      <w:r>
        <w:rPr>
          <w:b/>
          <w:sz w:val="24"/>
        </w:rPr>
        <w:t>7. Variant Frequency</w:t>
      </w:r>
    </w:p>
    <w:p>
      <w:r>
        <w:t>The variant-frequency table lists the most frequent execution paths discovered in the log and supports inspection of dominant process paths.</w:t>
      </w:r>
    </w:p>
    <w:p>
      <w:pPr>
        <w:jc w:val="center"/>
      </w:pPr>
      <w:r>
        <w:drawing>
          <wp:inline xmlns:a="http://schemas.openxmlformats.org/drawingml/2006/main" xmlns:pic="http://schemas.openxmlformats.org/drawingml/2006/picture">
            <wp:extent cx="5943600" cy="2516953"/>
            <wp:docPr id="3" name="Picture 3"/>
            <wp:cNvGraphicFramePr>
              <a:graphicFrameLocks noChangeAspect="1"/>
            </wp:cNvGraphicFramePr>
            <a:graphic>
              <a:graphicData uri="http://schemas.openxmlformats.org/drawingml/2006/picture">
                <pic:pic>
                  <pic:nvPicPr>
                    <pic:cNvPr id="0" name="variant_frequency.png"/>
                    <pic:cNvPicPr/>
                  </pic:nvPicPr>
                  <pic:blipFill>
                    <a:blip r:embed="rId11"/>
                    <a:stretch>
                      <a:fillRect/>
                    </a:stretch>
                  </pic:blipFill>
                  <pic:spPr>
                    <a:xfrm>
                      <a:off x="0" y="0"/>
                      <a:ext cx="5943600" cy="2516953"/>
                    </a:xfrm>
                    <a:prstGeom prst="rect"/>
                  </pic:spPr>
                </pic:pic>
              </a:graphicData>
            </a:graphic>
          </wp:inline>
        </w:drawing>
      </w:r>
    </w:p>
    <w:p>
      <w:pPr>
        <w:jc w:val="center"/>
      </w:pPr>
      <w:r>
        <w:rPr>
          <w:i/>
          <w:sz w:val="18"/>
        </w:rPr>
        <w:t>Figure 3. Variant-frequency table in the Process Analysis tab.</w:t>
      </w:r>
    </w:p>
    <w:p>
      <w:r>
        <w:rPr>
          <w:b/>
          <w:sz w:val="24"/>
        </w:rPr>
        <w:t>8. Activity Execution Count Table</w:t>
      </w:r>
    </w:p>
    <w:p>
      <w:r>
        <w:t>The activity execution count table shows how many times each activity occurs across cases and supports basic rework inspection.</w:t>
      </w:r>
    </w:p>
    <w:p>
      <w:pPr>
        <w:jc w:val="center"/>
      </w:pPr>
      <w:r>
        <w:drawing>
          <wp:inline xmlns:a="http://schemas.openxmlformats.org/drawingml/2006/main" xmlns:pic="http://schemas.openxmlformats.org/drawingml/2006/picture">
            <wp:extent cx="5943600" cy="2429647"/>
            <wp:docPr id="4" name="Picture 4"/>
            <wp:cNvGraphicFramePr>
              <a:graphicFrameLocks noChangeAspect="1"/>
            </wp:cNvGraphicFramePr>
            <a:graphic>
              <a:graphicData uri="http://schemas.openxmlformats.org/drawingml/2006/picture">
                <pic:pic>
                  <pic:nvPicPr>
                    <pic:cNvPr id="0" name="activity_execution_count_table.png"/>
                    <pic:cNvPicPr/>
                  </pic:nvPicPr>
                  <pic:blipFill>
                    <a:blip r:embed="rId12"/>
                    <a:stretch>
                      <a:fillRect/>
                    </a:stretch>
                  </pic:blipFill>
                  <pic:spPr>
                    <a:xfrm>
                      <a:off x="0" y="0"/>
                      <a:ext cx="5943600" cy="2429647"/>
                    </a:xfrm>
                    <a:prstGeom prst="rect"/>
                  </pic:spPr>
                </pic:pic>
              </a:graphicData>
            </a:graphic>
          </wp:inline>
        </w:drawing>
      </w:r>
    </w:p>
    <w:p>
      <w:pPr>
        <w:jc w:val="center"/>
      </w:pPr>
      <w:r>
        <w:rPr>
          <w:i/>
          <w:sz w:val="18"/>
        </w:rPr>
        <w:t>Figure 4. Activity execution count table.</w:t>
      </w:r>
    </w:p>
    <w:p>
      <w:r>
        <w:br w:type="page"/>
      </w:r>
    </w:p>
    <w:p>
      <w:r>
        <w:rPr>
          <w:b/>
          <w:sz w:val="24"/>
        </w:rPr>
        <w:t>9. Analytical Charts in the Process Analysis Tab</w:t>
      </w:r>
    </w:p>
    <w:p>
      <w:r>
        <w:t>The verified run displayed the frequency-by-factor chart, the cycle-time chart, and the throughput-time chart in English, together with their ranking tables.</w:t>
      </w:r>
    </w:p>
    <w:p>
      <w:pPr>
        <w:jc w:val="center"/>
      </w:pPr>
      <w:r>
        <w:drawing>
          <wp:inline xmlns:a="http://schemas.openxmlformats.org/drawingml/2006/main" xmlns:pic="http://schemas.openxmlformats.org/drawingml/2006/picture">
            <wp:extent cx="6035040" cy="2701897"/>
            <wp:docPr id="5" name="Picture 5"/>
            <wp:cNvGraphicFramePr>
              <a:graphicFrameLocks noChangeAspect="1"/>
            </wp:cNvGraphicFramePr>
            <a:graphic>
              <a:graphicData uri="http://schemas.openxmlformats.org/drawingml/2006/picture">
                <pic:pic>
                  <pic:nvPicPr>
                    <pic:cNvPr id="0" name="frequency_by_factors.png"/>
                    <pic:cNvPicPr/>
                  </pic:nvPicPr>
                  <pic:blipFill>
                    <a:blip r:embed="rId13"/>
                    <a:stretch>
                      <a:fillRect/>
                    </a:stretch>
                  </pic:blipFill>
                  <pic:spPr>
                    <a:xfrm>
                      <a:off x="0" y="0"/>
                      <a:ext cx="6035040" cy="2701897"/>
                    </a:xfrm>
                    <a:prstGeom prst="rect"/>
                  </pic:spPr>
                </pic:pic>
              </a:graphicData>
            </a:graphic>
          </wp:inline>
        </w:drawing>
      </w:r>
    </w:p>
    <w:p>
      <w:pPr>
        <w:jc w:val="center"/>
      </w:pPr>
      <w:r>
        <w:rPr>
          <w:i/>
          <w:sz w:val="18"/>
        </w:rPr>
        <w:t>Figure 5. Frequency-by-factor chart and ranking table.</w:t>
      </w:r>
    </w:p>
    <w:p>
      <w:pPr>
        <w:jc w:val="center"/>
      </w:pPr>
      <w:r>
        <w:drawing>
          <wp:inline xmlns:a="http://schemas.openxmlformats.org/drawingml/2006/main" xmlns:pic="http://schemas.openxmlformats.org/drawingml/2006/picture">
            <wp:extent cx="6035040" cy="2691742"/>
            <wp:docPr id="6" name="Picture 6"/>
            <wp:cNvGraphicFramePr>
              <a:graphicFrameLocks noChangeAspect="1"/>
            </wp:cNvGraphicFramePr>
            <a:graphic>
              <a:graphicData uri="http://schemas.openxmlformats.org/drawingml/2006/picture">
                <pic:pic>
                  <pic:nvPicPr>
                    <pic:cNvPr id="0" name="cycle_time_by_factors.png"/>
                    <pic:cNvPicPr/>
                  </pic:nvPicPr>
                  <pic:blipFill>
                    <a:blip r:embed="rId14"/>
                    <a:stretch>
                      <a:fillRect/>
                    </a:stretch>
                  </pic:blipFill>
                  <pic:spPr>
                    <a:xfrm>
                      <a:off x="0" y="0"/>
                      <a:ext cx="6035040" cy="2691742"/>
                    </a:xfrm>
                    <a:prstGeom prst="rect"/>
                  </pic:spPr>
                </pic:pic>
              </a:graphicData>
            </a:graphic>
          </wp:inline>
        </w:drawing>
      </w:r>
    </w:p>
    <w:p>
      <w:pPr>
        <w:jc w:val="center"/>
      </w:pPr>
      <w:r>
        <w:rPr>
          <w:i/>
          <w:sz w:val="18"/>
        </w:rPr>
        <w:t>Figure 6. Cycle-time-by-factor chart and ranking table.</w:t>
      </w:r>
    </w:p>
    <w:p>
      <w:pPr>
        <w:jc w:val="center"/>
      </w:pPr>
      <w:r>
        <w:drawing>
          <wp:inline xmlns:a="http://schemas.openxmlformats.org/drawingml/2006/main" xmlns:pic="http://schemas.openxmlformats.org/drawingml/2006/picture">
            <wp:extent cx="6035040" cy="2782914"/>
            <wp:docPr id="7" name="Picture 7"/>
            <wp:cNvGraphicFramePr>
              <a:graphicFrameLocks noChangeAspect="1"/>
            </wp:cNvGraphicFramePr>
            <a:graphic>
              <a:graphicData uri="http://schemas.openxmlformats.org/drawingml/2006/picture">
                <pic:pic>
                  <pic:nvPicPr>
                    <pic:cNvPr id="0" name="throughput_time_by_factors.png"/>
                    <pic:cNvPicPr/>
                  </pic:nvPicPr>
                  <pic:blipFill>
                    <a:blip r:embed="rId15"/>
                    <a:stretch>
                      <a:fillRect/>
                    </a:stretch>
                  </pic:blipFill>
                  <pic:spPr>
                    <a:xfrm>
                      <a:off x="0" y="0"/>
                      <a:ext cx="6035040" cy="2782914"/>
                    </a:xfrm>
                    <a:prstGeom prst="rect"/>
                  </pic:spPr>
                </pic:pic>
              </a:graphicData>
            </a:graphic>
          </wp:inline>
        </w:drawing>
      </w:r>
    </w:p>
    <w:p>
      <w:pPr>
        <w:jc w:val="center"/>
      </w:pPr>
      <w:r>
        <w:rPr>
          <w:i/>
          <w:sz w:val="18"/>
        </w:rPr>
        <w:t>Figure 7. Throughput-time-by-factor chart and ranking table.</w:t>
      </w:r>
    </w:p>
    <w:p>
      <w:r>
        <w:br w:type="page"/>
      </w:r>
    </w:p>
    <w:p>
      <w:r>
        <w:rPr>
          <w:b/>
          <w:sz w:val="24"/>
        </w:rPr>
        <w:t>10. Process Improvement Tab</w:t>
      </w:r>
    </w:p>
    <w:p>
      <w:r>
        <w:t>The Process Improvement tab was verified by loading one current model and one improved model from PNML files. The application displayed both models side by side and then produced model-comparison outputs below the model area.</w:t>
      </w:r>
    </w:p>
    <w:p>
      <w:pPr>
        <w:jc w:val="center"/>
      </w:pPr>
      <w:r>
        <w:drawing>
          <wp:inline xmlns:a="http://schemas.openxmlformats.org/drawingml/2006/main" xmlns:pic="http://schemas.openxmlformats.org/drawingml/2006/picture">
            <wp:extent cx="6126480" cy="3243618"/>
            <wp:docPr id="8" name="Picture 8"/>
            <wp:cNvGraphicFramePr>
              <a:graphicFrameLocks noChangeAspect="1"/>
            </wp:cNvGraphicFramePr>
            <a:graphic>
              <a:graphicData uri="http://schemas.openxmlformats.org/drawingml/2006/picture">
                <pic:pic>
                  <pic:nvPicPr>
                    <pic:cNvPr id="0" name="process_improvement_overview.png"/>
                    <pic:cNvPicPr/>
                  </pic:nvPicPr>
                  <pic:blipFill>
                    <a:blip r:embed="rId16"/>
                    <a:stretch>
                      <a:fillRect/>
                    </a:stretch>
                  </pic:blipFill>
                  <pic:spPr>
                    <a:xfrm>
                      <a:off x="0" y="0"/>
                      <a:ext cx="6126480" cy="3243618"/>
                    </a:xfrm>
                    <a:prstGeom prst="rect"/>
                  </pic:spPr>
                </pic:pic>
              </a:graphicData>
            </a:graphic>
          </wp:inline>
        </w:drawing>
      </w:r>
    </w:p>
    <w:p>
      <w:pPr>
        <w:jc w:val="center"/>
      </w:pPr>
      <w:r>
        <w:rPr>
          <w:i/>
          <w:sz w:val="18"/>
        </w:rPr>
        <w:t>Figure 8. Process Improvement overview with the current and improved process models loaded from file.</w:t>
      </w:r>
    </w:p>
    <w:p>
      <w:pPr>
        <w:jc w:val="center"/>
      </w:pPr>
      <w:r>
        <w:drawing>
          <wp:inline xmlns:a="http://schemas.openxmlformats.org/drawingml/2006/main" xmlns:pic="http://schemas.openxmlformats.org/drawingml/2006/picture">
            <wp:extent cx="6126480" cy="2803853"/>
            <wp:docPr id="9" name="Picture 9"/>
            <wp:cNvGraphicFramePr>
              <a:graphicFrameLocks noChangeAspect="1"/>
            </wp:cNvGraphicFramePr>
            <a:graphic>
              <a:graphicData uri="http://schemas.openxmlformats.org/drawingml/2006/picture">
                <pic:pic>
                  <pic:nvPicPr>
                    <pic:cNvPr id="0" name="improvement_metrics_and_flows.png"/>
                    <pic:cNvPicPr/>
                  </pic:nvPicPr>
                  <pic:blipFill>
                    <a:blip r:embed="rId17"/>
                    <a:stretch>
                      <a:fillRect/>
                    </a:stretch>
                  </pic:blipFill>
                  <pic:spPr>
                    <a:xfrm>
                      <a:off x="0" y="0"/>
                      <a:ext cx="6126480" cy="2803853"/>
                    </a:xfrm>
                    <a:prstGeom prst="rect"/>
                  </pic:spPr>
                </pic:pic>
              </a:graphicData>
            </a:graphic>
          </wp:inline>
        </w:drawing>
      </w:r>
    </w:p>
    <w:p>
      <w:pPr>
        <w:jc w:val="center"/>
      </w:pPr>
      <w:r>
        <w:rPr>
          <w:i/>
          <w:sz w:val="18"/>
        </w:rPr>
        <w:t>Figure 9. Comparison metrics and activity-flow tables in the Process Improvement tab.</w:t>
      </w:r>
    </w:p>
    <w:p>
      <w:r>
        <w:br w:type="page"/>
      </w:r>
    </w:p>
    <w:p>
      <w:r>
        <w:rPr>
          <w:b/>
          <w:sz w:val="24"/>
        </w:rPr>
        <w:t>11. Cycle Time by Previous Activity</w:t>
      </w:r>
    </w:p>
    <w:p>
      <w:r>
        <w:t>The Process Improvement tab also displayed the cycle-time table by previous activity and activity for the loaded models.</w:t>
      </w:r>
    </w:p>
    <w:p>
      <w:pPr>
        <w:jc w:val="center"/>
      </w:pPr>
      <w:r>
        <w:drawing>
          <wp:inline xmlns:a="http://schemas.openxmlformats.org/drawingml/2006/main" xmlns:pic="http://schemas.openxmlformats.org/drawingml/2006/picture">
            <wp:extent cx="6126480" cy="2302861"/>
            <wp:docPr id="10" name="Picture 10"/>
            <wp:cNvGraphicFramePr>
              <a:graphicFrameLocks noChangeAspect="1"/>
            </wp:cNvGraphicFramePr>
            <a:graphic>
              <a:graphicData uri="http://schemas.openxmlformats.org/drawingml/2006/picture">
                <pic:pic>
                  <pic:nvPicPr>
                    <pic:cNvPr id="0" name="cycle_time_by_activity_and_previous_activity.png"/>
                    <pic:cNvPicPr/>
                  </pic:nvPicPr>
                  <pic:blipFill>
                    <a:blip r:embed="rId18"/>
                    <a:stretch>
                      <a:fillRect/>
                    </a:stretch>
                  </pic:blipFill>
                  <pic:spPr>
                    <a:xfrm>
                      <a:off x="0" y="0"/>
                      <a:ext cx="6126480" cy="2302861"/>
                    </a:xfrm>
                    <a:prstGeom prst="rect"/>
                  </pic:spPr>
                </pic:pic>
              </a:graphicData>
            </a:graphic>
          </wp:inline>
        </w:drawing>
      </w:r>
    </w:p>
    <w:p>
      <w:pPr>
        <w:jc w:val="center"/>
      </w:pPr>
      <w:r>
        <w:rPr>
          <w:i/>
          <w:sz w:val="18"/>
        </w:rPr>
        <w:t>Figure 10. Cycle time by previous activity and activity in the Process Improvement tab.</w:t>
      </w:r>
    </w:p>
    <w:p>
      <w:r>
        <w:rPr>
          <w:b/>
          <w:sz w:val="24"/>
        </w:rPr>
        <w:t>12. Verified Functional Scope</w:t>
      </w:r>
    </w:p>
    <w:p>
      <w:pPr>
        <w:pStyle w:val="ListBullet"/>
      </w:pPr>
      <w:r>
        <w:t>The application launches from Command Prompt with the command py main.py.</w:t>
      </w:r>
    </w:p>
    <w:p>
      <w:pPr>
        <w:pStyle w:val="ListBullet"/>
      </w:pPr>
      <w:r>
        <w:t>The New workflow loads a new event log and opens the setup screen.</w:t>
      </w:r>
    </w:p>
    <w:p>
      <w:pPr>
        <w:pStyle w:val="ListBullet"/>
      </w:pPr>
      <w:r>
        <w:t>The setup screen supports the tested mapping for case ID, activity, timestamp, recorded-at mode, and time unit.</w:t>
      </w:r>
    </w:p>
    <w:p>
      <w:pPr>
        <w:pStyle w:val="ListBullet"/>
      </w:pPr>
      <w:r>
        <w:t>The Process Analysis tab displays the model view, KPI cards, the execution-time chart, the variant-frequency table, the activity execution count table, and factor-based analytical charts.</w:t>
      </w:r>
    </w:p>
    <w:p>
      <w:pPr>
        <w:pStyle w:val="ListBullet"/>
      </w:pPr>
      <w:r>
        <w:t>The Process Improvement tab loads two PNML files and displays side-by-side models, comparison metrics, missing-flow tables, and the cycle-time-by-activity-and-previous-activity table.</w:t>
      </w:r>
    </w:p>
    <w:p>
      <w:pPr>
        <w:pStyle w:val="ListBullet"/>
      </w:pPr>
      <w:r>
        <w:t>The Save Setup function is available from the setup screen.</w:t>
      </w:r>
    </w:p>
    <w:p>
      <w:r>
        <w:rPr>
          <w:b/>
          <w:sz w:val="24"/>
        </w:rPr>
        <w:t>13. Note</w:t>
      </w:r>
    </w:p>
    <w:p>
      <w:r>
        <w:t>This report documents the functions that were directly verified in the tested run shown by the included screenshots. The package is prepared in English for submission and contains the source code, documentation, sample data, and verified screenshots used in this report.</w:t>
      </w:r>
    </w:p>
    <w:sectPr w:rsidR="00FC693F" w:rsidRPr="0006063C" w:rsidSect="00034616">
      <w:footerReference w:type="default" r:id="rId1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