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Chart - Mean</w:t>
      </w:r>
    </w:p>
    <w:p>
      <w:r>
        <w:drawing>
          <wp:inline xmlns:a="http://schemas.openxmlformats.org/drawingml/2006/main" xmlns:pic="http://schemas.openxmlformats.org/drawingml/2006/picture">
            <wp:extent cx="6400800" cy="39406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40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Median</w:t>
      </w:r>
    </w:p>
    <w:p>
      <w:r>
        <w:drawing>
          <wp:inline xmlns:a="http://schemas.openxmlformats.org/drawingml/2006/main" xmlns:pic="http://schemas.openxmlformats.org/drawingml/2006/picture">
            <wp:extent cx="6400800" cy="394061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40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Max</w:t>
      </w:r>
    </w:p>
    <w:p>
      <w:r>
        <w:drawing>
          <wp:inline xmlns:a="http://schemas.openxmlformats.org/drawingml/2006/main" xmlns:pic="http://schemas.openxmlformats.org/drawingml/2006/picture">
            <wp:extent cx="6400800" cy="394061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40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Min</w:t>
      </w:r>
    </w:p>
    <w:p>
      <w:r>
        <w:drawing>
          <wp:inline xmlns:a="http://schemas.openxmlformats.org/drawingml/2006/main" xmlns:pic="http://schemas.openxmlformats.org/drawingml/2006/picture">
            <wp:extent cx="6400800" cy="394061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406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Variance</w:t>
      </w:r>
    </w:p>
    <w:p>
      <w:r>
        <w:drawing>
          <wp:inline xmlns:a="http://schemas.openxmlformats.org/drawingml/2006/main" xmlns:pic="http://schemas.openxmlformats.org/drawingml/2006/picture">
            <wp:extent cx="6400800" cy="3863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63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Standard_deviation</w:t>
      </w:r>
    </w:p>
    <w:p>
      <w:r>
        <w:drawing>
          <wp:inline xmlns:a="http://schemas.openxmlformats.org/drawingml/2006/main" xmlns:pic="http://schemas.openxmlformats.org/drawingml/2006/picture">
            <wp:extent cx="6400800" cy="393913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391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Percentile_90</w:t>
      </w:r>
    </w:p>
    <w:p>
      <w:r>
        <w:drawing>
          <wp:inline xmlns:a="http://schemas.openxmlformats.org/drawingml/2006/main" xmlns:pic="http://schemas.openxmlformats.org/drawingml/2006/picture">
            <wp:extent cx="6400800" cy="393913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391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