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How are security events possible considering the risks the asset faces in its operating environment?</w:t>
            </w:r>
            <w:r w:rsidDel="00000000" w:rsidR="00000000" w:rsidRPr="00000000">
              <w:rPr>
                <w:i w:val="1"/>
                <w:rtl w:val="0"/>
              </w:rPr>
              <w:t xml:space="preserve">  </w:t>
            </w:r>
          </w:p>
          <w:p w:rsidR="00000000" w:rsidDel="00000000" w:rsidP="00000000" w:rsidRDefault="00000000" w:rsidRPr="00000000" w14:paraId="0000002C">
            <w:pPr>
              <w:ind w:left="0" w:right="-90" w:firstLine="0"/>
              <w:rPr/>
            </w:pPr>
            <w:r w:rsidDel="00000000" w:rsidR="00000000" w:rsidRPr="00000000">
              <w:rPr>
                <w:rtl w:val="0"/>
              </w:rPr>
              <w:t xml:space="preserve">Partnering with other companies can heighten data risks by opening more channels for potential breaches. While theft remains a crucial concern, it might not be the top priority due to the bank's location in a low-crime area.</w:t>
            </w:r>
          </w:p>
        </w:tc>
      </w:tr>
    </w:tbl>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8">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A">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4">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