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HỢP ĐỒNG PHÂN PHỐI SẢN PHẨM DINH DƯỠNG, MỸ PHẨM - V2</w:t>
      </w:r>
    </w:p>
    <w:p>
      <w:pPr>
        <w:ind w:firstLine="560"/>
      </w:pPr>
      <w:r>
        <w:t>Bản v2 mẫu được tạo dưới dạng DOCX để phục vụ thử nghiệm pipeline. File gốc trong thư mục là định dạng .doc cũ, hiện pipeline không hỗ trợ đọc trực tiếp.</w:t>
      </w:r>
    </w:p>
    <w:p>
      <w:r>
        <w:rPr>
          <w:rFonts w:ascii="Times New Roman" w:hAnsi="Times New Roman"/>
          <w:b/>
          <w:sz w:val="26"/>
        </w:rPr>
        <w:t>ĐIỀU 1. PHẠM VI SẢN PHẨM</w:t>
      </w:r>
    </w:p>
    <w:p>
      <w:pPr>
        <w:ind w:firstLine="560"/>
      </w:pPr>
      <w:r>
        <w:t>Sản phẩm phân phối bao gồm thực phẩm dinh dưỡng, mỹ phẩm chăm sóc da, sản phẩm chăm sóc cá nhân và các sản phẩm mới được Nhà cung cấp thông báo bằng văn bản.</w:t>
      </w:r>
    </w:p>
    <w:p>
      <w:r>
        <w:rPr>
          <w:rFonts w:ascii="Times New Roman" w:hAnsi="Times New Roman"/>
          <w:b/>
          <w:sz w:val="26"/>
        </w:rPr>
        <w:t>ĐIỀU 2. KÊNH PHÂN PHỐI</w:t>
      </w:r>
    </w:p>
    <w:p>
      <w:pPr>
        <w:ind w:firstLine="560"/>
      </w:pPr>
      <w:r>
        <w:t>Nhà phân phối được phân phối qua đại lý bán lẻ, chuỗi nhà thuốc, sàn thương mại điện tử và website chính thức đã được Nhà cung cấp phê duyệt.</w:t>
      </w:r>
    </w:p>
    <w:p>
      <w:r>
        <w:rPr>
          <w:rFonts w:ascii="Times New Roman" w:hAnsi="Times New Roman"/>
          <w:b/>
          <w:sz w:val="26"/>
        </w:rPr>
        <w:t>ĐIỀU 3. CHỈ TIÊU DOANH SỐ</w:t>
      </w:r>
    </w:p>
    <w:p>
      <w:pPr>
        <w:ind w:firstLine="560"/>
      </w:pPr>
      <w:r>
        <w:t>Nhà phân phối cam kết đạt doanh số tối thiểu 12.000 sản phẩm trong 06 tháng đầu tiên kể từ ngày hợp đồng có hiệu lực.</w:t>
      </w:r>
    </w:p>
    <w:p>
      <w:r>
        <w:rPr>
          <w:rFonts w:ascii="Times New Roman" w:hAnsi="Times New Roman"/>
          <w:b/>
          <w:sz w:val="26"/>
        </w:rPr>
        <w:t>ĐIỀU 4. QUẢN LÝ CHẤT LƯỢNG</w:t>
      </w:r>
    </w:p>
    <w:p>
      <w:pPr>
        <w:ind w:firstLine="560"/>
      </w:pPr>
      <w:r>
        <w:t>Nhà phân phối có trách nhiệm bảo quản sản phẩm theo điều kiện nhiệt độ, độ ẩm và hạn sử dụng do Nhà cung cấp công bố.</w:t>
      </w:r>
    </w:p>
    <w:p>
      <w:r>
        <w:rPr>
          <w:rFonts w:ascii="Times New Roman" w:hAnsi="Times New Roman"/>
          <w:b/>
          <w:sz w:val="26"/>
        </w:rPr>
        <w:t>ĐIỀU 5. THU HỒI SẢN PHẨM</w:t>
      </w:r>
    </w:p>
    <w:p>
      <w:pPr>
        <w:ind w:firstLine="560"/>
      </w:pPr>
      <w:r>
        <w:t>Khi phát hiện sản phẩm không đạt chất lượng hoặc có yêu cầu từ cơ quan quản lý, các bên phối hợp thu hồi sản phẩm trong thời hạn 05 ngày làm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