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HỢP ĐỒNG LIÊN DOANH KINH DOANH DỊCH VỤ SÂN GÔN - V2</w:t>
      </w:r>
    </w:p>
    <w:p>
      <w:pPr>
        <w:ind w:firstLine="560"/>
      </w:pPr>
      <w:r>
        <w:rPr>
          <w:rFonts w:ascii="Times New Roman" w:hAnsi="Times New Roman"/>
          <w:b w:val="0"/>
          <w:sz w:val="26"/>
        </w:rPr>
        <w:t>Bản v2 mẫu được tạo dưới dạng DOCX để phục vụ thử nghiệm pipeline. File gốc trong thư mục là định dạng .doc cũ, hiện pipeline không hỗ trợ đọc trực tiếp.</w:t>
      </w:r>
    </w:p>
    <w:p>
      <w:pPr>
        <w:ind w:firstLine="560"/>
      </w:pPr>
      <w:r>
        <w:t>Điều 1. Mục tiêu liên doanh</w:t>
      </w:r>
    </w:p>
    <w:p>
      <w:pPr>
        <w:ind w:firstLine="560"/>
      </w:pPr>
      <w:r>
        <w:rPr>
          <w:rFonts w:ascii="Times New Roman" w:hAnsi="Times New Roman"/>
          <w:b w:val="0"/>
          <w:sz w:val="26"/>
        </w:rPr>
        <w:t>Các bên thống nhất mở rộng mục tiêu liên doanh từ vận hành sân gôn sang phát triển khu dịch vụ thể thao, nghỉ dưỡng và tổ chức giải đấu chuyên nghiệp.</w:t>
      </w:r>
    </w:p>
    <w:p>
      <w:pPr>
        <w:ind w:firstLine="560"/>
      </w:pPr>
      <w:r>
        <w:t>Điều 2. Vốn góp và tỷ lệ sở hữu</w:t>
      </w:r>
    </w:p>
    <w:p>
      <w:pPr>
        <w:ind w:firstLine="560"/>
      </w:pPr>
      <w:r>
        <w:rPr>
          <w:rFonts w:ascii="Times New Roman" w:hAnsi="Times New Roman"/>
          <w:b w:val="0"/>
          <w:sz w:val="26"/>
        </w:rPr>
        <w:t>Tổng vốn góp dự kiến là 180.000.000.000 VNĐ; Bên Việt Nam sở hữu 52% và Bên nước ngoài sở hữu 48% vốn điều lệ.</w:t>
      </w:r>
    </w:p>
    <w:p>
      <w:pPr>
        <w:ind w:firstLine="560"/>
      </w:pPr>
      <w:r>
        <w:t>Điều 3. Quản lý vận hành</w:t>
      </w:r>
    </w:p>
    <w:p>
      <w:pPr>
        <w:ind w:firstLine="560"/>
      </w:pPr>
      <w:r>
        <w:rPr>
          <w:rFonts w:ascii="Times New Roman" w:hAnsi="Times New Roman"/>
          <w:b w:val="0"/>
          <w:sz w:val="26"/>
        </w:rPr>
        <w:t>Ban điều hành phải lập báo cáo doanh thu, chi phí vận hành và kế hoạch bảo trì sân gôn theo quý để trình Hội đồng thành viên phê duyệt.</w:t>
      </w:r>
    </w:p>
    <w:p>
      <w:pPr>
        <w:ind w:firstLine="560"/>
      </w:pPr>
      <w:r>
        <w:t>Điều 4. Bảo vệ môi trường</w:t>
      </w:r>
    </w:p>
    <w:p>
      <w:pPr>
        <w:ind w:firstLine="560"/>
      </w:pPr>
      <w:r>
        <w:rPr>
          <w:rFonts w:ascii="Times New Roman" w:hAnsi="Times New Roman"/>
          <w:b w:val="0"/>
          <w:sz w:val="26"/>
        </w:rPr>
        <w:t>Các bên cam kết tuân thủ quy định về sử dụng nước, hóa chất chăm sóc cỏ và quản lý chất thải trong quá trình vận hành sân gôn.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