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6"/>
        </w:rPr>
        <w:t>QUỐC HỘI</w:t>
      </w:r>
    </w:p>
    <w:p>
      <w:pPr>
        <w:jc w:val="center"/>
      </w:pPr>
      <w:r>
        <w:rPr>
          <w:rFonts w:ascii="Times New Roman" w:hAnsi="Times New Roman"/>
          <w:b/>
          <w:i w:val="0"/>
          <w:sz w:val="26"/>
        </w:rPr>
        <w:t>CỘNG HÒA XÃ HỘI CHỦ NGHĨA VIỆT NAM</w:t>
      </w:r>
    </w:p>
    <w:p>
      <w:pPr>
        <w:jc w:val="center"/>
      </w:pPr>
      <w:r>
        <w:rPr>
          <w:rFonts w:ascii="Times New Roman" w:hAnsi="Times New Roman"/>
          <w:b/>
          <w:i w:val="0"/>
          <w:sz w:val="26"/>
        </w:rPr>
        <w:t>Độc lập - Tự do - Hạnh phúc</w:t>
      </w:r>
    </w:p>
    <w:p>
      <w:pPr>
        <w:jc w:val="center"/>
      </w:pPr>
      <w:r>
        <w:rPr>
          <w:rFonts w:ascii="Times New Roman" w:hAnsi="Times New Roman"/>
          <w:b w:val="0"/>
          <w:i w:val="0"/>
          <w:sz w:val="26"/>
        </w:rPr>
        <w:t>Luật số: 150/2025/QH15</w:t>
      </w:r>
    </w:p>
    <w:p>
      <w:pPr>
        <w:jc w:val="center"/>
      </w:pPr>
      <w:r>
        <w:rPr>
          <w:rFonts w:ascii="Times New Roman" w:hAnsi="Times New Roman"/>
          <w:b/>
          <w:i w:val="0"/>
          <w:sz w:val="28"/>
        </w:rPr>
        <w:t>LUẬT</w:t>
      </w:r>
    </w:p>
    <w:p>
      <w:pPr>
        <w:jc w:val="center"/>
      </w:pPr>
      <w:r>
        <w:rPr>
          <w:rFonts w:ascii="Times New Roman" w:hAnsi="Times New Roman"/>
          <w:b/>
          <w:i w:val="0"/>
          <w:sz w:val="28"/>
        </w:rPr>
        <w:t>TÒA ÁN CHUYÊN BIỆT TẠI TRUNG TÂM TÀI CHÍNH QUỐC TẾ</w:t>
      </w:r>
    </w:p>
    <w:p>
      <w:pPr>
        <w:spacing w:after="80"/>
        <w:ind w:firstLine="560"/>
      </w:pPr>
      <w:r>
        <w:rPr>
          <w:rFonts w:ascii="Times New Roman" w:hAnsi="Times New Roman"/>
          <w:b w:val="0"/>
          <w:i/>
          <w:sz w:val="26"/>
        </w:rPr>
        <w:t>BẢN MẪU PHỤC VỤ THỬ NGHIỆM HỆ THỐNG SO SÁNH VĂN BẢN. Nội dung được biên soạn lại theo hình thức tương tự văn bản luật và không phải văn bản pháp lý chính thức.</w:t>
      </w:r>
    </w:p>
    <w:p>
      <w:pPr>
        <w:spacing w:after="80"/>
        <w:ind w:firstLine="560"/>
      </w:pPr>
      <w:r>
        <w:rPr>
          <w:rFonts w:ascii="Times New Roman" w:hAnsi="Times New Roman"/>
          <w:b w:val="0"/>
          <w:i/>
          <w:sz w:val="26"/>
        </w:rPr>
        <w:t>Phiên bản v2: bản mẫu đã sửa đổi một số điều, bỏ một điều và thêm một điều mới để phục vụ thực nghiệm.</w:t>
      </w:r>
    </w:p>
    <w:p>
      <w:pPr>
        <w:jc w:val="center"/>
      </w:pPr>
      <w:r>
        <w:rPr>
          <w:rFonts w:ascii="Times New Roman" w:hAnsi="Times New Roman"/>
          <w:b/>
          <w:i w:val="0"/>
          <w:sz w:val="26"/>
        </w:rPr>
        <w:t>Chương I</w:t>
      </w:r>
    </w:p>
    <w:p>
      <w:pPr>
        <w:jc w:val="center"/>
      </w:pPr>
      <w:r>
        <w:rPr>
          <w:rFonts w:ascii="Times New Roman" w:hAnsi="Times New Roman"/>
          <w:b/>
          <w:i w:val="0"/>
          <w:sz w:val="26"/>
        </w:rPr>
        <w:t>NHỮNG QUY ĐỊNH CHUNG</w:t>
      </w:r>
    </w:p>
    <w:p>
      <w:pPr>
        <w:spacing w:after="80"/>
        <w:ind w:firstLine="560"/>
      </w:pPr>
      <w:r>
        <w:rPr>
          <w:rFonts w:ascii="Times New Roman" w:hAnsi="Times New Roman"/>
          <w:b/>
          <w:i w:val="0"/>
          <w:sz w:val="26"/>
        </w:rPr>
        <w:t>Điều 1. Phạm vi điều chỉnh</w:t>
      </w:r>
    </w:p>
    <w:p>
      <w:pPr>
        <w:spacing w:after="80"/>
        <w:ind w:firstLine="560"/>
      </w:pPr>
      <w:r>
        <w:rPr>
          <w:rFonts w:ascii="Times New Roman" w:hAnsi="Times New Roman"/>
          <w:b w:val="0"/>
          <w:i w:val="0"/>
          <w:sz w:val="26"/>
        </w:rPr>
        <w:t>Luật này quy định về nhiệm vụ, quyền hạn; tổ chức bộ máy; thẩm quyền, trình tự, thủ tục tố tụng; thi hành bản án, quyết định; Thẩm phán, Thư ký Tòa án, người đại diện của các bên; bảo đảm hoạt động và cơ chế quản lý dữ liệu điện tử của Tòa án chuyên biệt tại Trung tâm tài chính quốc tế.</w:t>
      </w:r>
    </w:p>
    <w:p>
      <w:pPr>
        <w:spacing w:after="80"/>
        <w:ind w:firstLine="560"/>
      </w:pPr>
      <w:r>
        <w:rPr>
          <w:rFonts w:ascii="Times New Roman" w:hAnsi="Times New Roman"/>
          <w:b/>
          <w:i w:val="0"/>
          <w:sz w:val="26"/>
        </w:rPr>
        <w:t>Điều 2. Đối tượng áp dụng</w:t>
      </w:r>
    </w:p>
    <w:p>
      <w:pPr>
        <w:spacing w:after="80"/>
        <w:ind w:firstLine="560"/>
      </w:pPr>
      <w:r>
        <w:rPr>
          <w:rFonts w:ascii="Times New Roman" w:hAnsi="Times New Roman"/>
          <w:b w:val="0"/>
          <w:i w:val="0"/>
          <w:sz w:val="26"/>
        </w:rPr>
        <w:t>Luật này áp dụng đối với Tòa án chuyên biệt, Thành viên Trung tâm tài chính quốc tế, nhà đầu tư, cơ quan, tổ chức, cá nhân có liên quan đến việc giải quyết vụ việc thuộc thẩm quyền của Tòa án chuyên biệt.</w:t>
      </w:r>
    </w:p>
    <w:p>
      <w:pPr>
        <w:spacing w:after="80"/>
        <w:ind w:firstLine="560"/>
      </w:pPr>
      <w:r>
        <w:rPr>
          <w:rFonts w:ascii="Times New Roman" w:hAnsi="Times New Roman"/>
          <w:b/>
          <w:i w:val="0"/>
          <w:sz w:val="26"/>
        </w:rPr>
        <w:t>Điều 3. Nguyên tắc tổ chức và hoạt động của Tòa án chuyên biệt</w:t>
      </w:r>
    </w:p>
    <w:p>
      <w:pPr>
        <w:spacing w:after="80"/>
        <w:ind w:firstLine="560"/>
      </w:pPr>
      <w:r>
        <w:rPr>
          <w:rFonts w:ascii="Times New Roman" w:hAnsi="Times New Roman"/>
          <w:b w:val="0"/>
          <w:i w:val="0"/>
          <w:sz w:val="26"/>
        </w:rPr>
        <w:t>1. Độc lập theo thẩm quyền xét xử.</w:t>
      </w:r>
    </w:p>
    <w:p>
      <w:pPr>
        <w:spacing w:after="80"/>
        <w:ind w:firstLine="560"/>
      </w:pPr>
      <w:r>
        <w:rPr>
          <w:rFonts w:ascii="Times New Roman" w:hAnsi="Times New Roman"/>
          <w:b w:val="0"/>
          <w:i w:val="0"/>
          <w:sz w:val="26"/>
        </w:rPr>
        <w:t>2. Thẩm phán xét xử độc lập và chỉ tuân theo pháp luật.</w:t>
      </w:r>
    </w:p>
    <w:p>
      <w:pPr>
        <w:spacing w:after="80"/>
        <w:ind w:firstLine="560"/>
      </w:pPr>
      <w:r>
        <w:rPr>
          <w:rFonts w:ascii="Times New Roman" w:hAnsi="Times New Roman"/>
          <w:b w:val="0"/>
          <w:i w:val="0"/>
          <w:sz w:val="26"/>
        </w:rPr>
        <w:t>3. Bảo đảm quyền bình đẳng trước pháp luật và Tòa án.</w:t>
      </w:r>
    </w:p>
    <w:p>
      <w:pPr>
        <w:spacing w:after="80"/>
        <w:ind w:firstLine="560"/>
      </w:pPr>
      <w:r>
        <w:rPr>
          <w:rFonts w:ascii="Times New Roman" w:hAnsi="Times New Roman"/>
          <w:b w:val="0"/>
          <w:i w:val="0"/>
          <w:sz w:val="26"/>
        </w:rPr>
        <w:t>4. Chế độ xét xử sơ thẩm, phúc thẩm được bảo đảm.</w:t>
      </w:r>
    </w:p>
    <w:p>
      <w:pPr>
        <w:spacing w:after="80"/>
        <w:ind w:firstLine="560"/>
      </w:pPr>
      <w:r>
        <w:rPr>
          <w:rFonts w:ascii="Times New Roman" w:hAnsi="Times New Roman"/>
          <w:b w:val="0"/>
          <w:i w:val="0"/>
          <w:sz w:val="26"/>
        </w:rPr>
        <w:t>5. Tòa án xét xử công khai, trừ trường hợp xét xử kín theo quy định của Luật này.</w:t>
      </w:r>
    </w:p>
    <w:p>
      <w:pPr>
        <w:spacing w:after="80"/>
        <w:ind w:firstLine="560"/>
      </w:pPr>
      <w:r>
        <w:rPr>
          <w:rFonts w:ascii="Times New Roman" w:hAnsi="Times New Roman"/>
          <w:b w:val="0"/>
          <w:i w:val="0"/>
          <w:sz w:val="26"/>
        </w:rPr>
        <w:t>6. Giải quyết vụ việc công bằng, minh bạch, vô tư, khách quan, nhanh chóng, hiệu quả.</w:t>
      </w:r>
    </w:p>
    <w:p>
      <w:pPr>
        <w:spacing w:after="80"/>
        <w:ind w:firstLine="560"/>
      </w:pPr>
      <w:r>
        <w:rPr>
          <w:rFonts w:ascii="Times New Roman" w:hAnsi="Times New Roman"/>
          <w:b w:val="0"/>
          <w:i w:val="0"/>
          <w:sz w:val="26"/>
        </w:rPr>
        <w:t>7. Bảo đảm an toàn thông tin, bảo vệ dữ liệu điện tử và quyền tiếp cận công lý của các bên.</w:t>
      </w:r>
    </w:p>
    <w:p>
      <w:pPr>
        <w:spacing w:after="80"/>
        <w:ind w:firstLine="560"/>
      </w:pPr>
      <w:r>
        <w:rPr>
          <w:rFonts w:ascii="Times New Roman" w:hAnsi="Times New Roman"/>
          <w:b/>
          <w:i w:val="0"/>
          <w:sz w:val="26"/>
        </w:rPr>
        <w:t>Điều 4. Giải thích từ ngữ</w:t>
      </w:r>
    </w:p>
    <w:p>
      <w:pPr>
        <w:spacing w:after="80"/>
        <w:ind w:firstLine="560"/>
      </w:pPr>
      <w:r>
        <w:rPr>
          <w:rFonts w:ascii="Times New Roman" w:hAnsi="Times New Roman"/>
          <w:b w:val="0"/>
          <w:i w:val="0"/>
          <w:sz w:val="26"/>
        </w:rPr>
        <w:t>Trong Luật này, Tòa án chuyên biệt tại Trung tâm tài chính quốc tế là Tòa án thuộc hệ thống Tòa án nhân dân được tổ chức, hoạt động theo quy định của Luật này.</w:t>
      </w:r>
    </w:p>
    <w:p>
      <w:pPr>
        <w:spacing w:after="80"/>
        <w:ind w:firstLine="560"/>
      </w:pPr>
      <w:r>
        <w:rPr>
          <w:rFonts w:ascii="Times New Roman" w:hAnsi="Times New Roman"/>
          <w:b w:val="0"/>
          <w:i w:val="0"/>
          <w:sz w:val="26"/>
        </w:rPr>
        <w:t>Quy tắc tố tụng của Tòa án chuyên biệt là quy định pháp luật do Tòa án nhân dân tối cao ban hành để giải quyết vụ việc tại Tòa án chuyên biệt.</w:t>
      </w:r>
    </w:p>
    <w:p>
      <w:pPr>
        <w:spacing w:after="80"/>
        <w:ind w:firstLine="560"/>
      </w:pPr>
      <w:r>
        <w:rPr>
          <w:rFonts w:ascii="Times New Roman" w:hAnsi="Times New Roman"/>
          <w:b w:val="0"/>
          <w:i w:val="0"/>
          <w:sz w:val="26"/>
        </w:rPr>
        <w:t>Các bên bao gồm bên khởi kiện, bên bị kiện, người yêu cầu, người bị yêu cầu và người thứ ba.</w:t>
      </w:r>
    </w:p>
    <w:p>
      <w:pPr>
        <w:spacing w:after="80"/>
        <w:ind w:firstLine="560"/>
      </w:pPr>
      <w:r>
        <w:rPr>
          <w:rFonts w:ascii="Times New Roman" w:hAnsi="Times New Roman"/>
          <w:b/>
          <w:i w:val="0"/>
          <w:sz w:val="26"/>
        </w:rPr>
        <w:t>Điều 5. Nguyên tắc áp dụng pháp luật</w:t>
      </w:r>
    </w:p>
    <w:p>
      <w:pPr>
        <w:spacing w:after="80"/>
        <w:ind w:firstLine="560"/>
      </w:pPr>
      <w:r>
        <w:rPr>
          <w:rFonts w:ascii="Times New Roman" w:hAnsi="Times New Roman"/>
          <w:b w:val="0"/>
          <w:i w:val="0"/>
          <w:sz w:val="26"/>
        </w:rPr>
        <w:t>Trường hợp có quy định khác nhau giữa Luật này với luật, nghị quyết khác của Quốc hội về cùng một vấn đề thì thực hiện theo quy định của Luật này.</w:t>
      </w:r>
    </w:p>
    <w:p>
      <w:pPr>
        <w:spacing w:after="80"/>
        <w:ind w:firstLine="560"/>
      </w:pPr>
      <w:r>
        <w:rPr>
          <w:rFonts w:ascii="Times New Roman" w:hAnsi="Times New Roman"/>
          <w:b w:val="0"/>
          <w:i w:val="0"/>
          <w:sz w:val="26"/>
        </w:rPr>
        <w:t>Trường hợp điều ước quốc tế mà Việt Nam là thành viên có quy định khác thì áp dụng quy định của điều ước quốc tế đó.</w:t>
      </w:r>
    </w:p>
    <w:p>
      <w:pPr>
        <w:spacing w:after="80"/>
        <w:ind w:firstLine="560"/>
      </w:pPr>
      <w:r>
        <w:rPr>
          <w:rFonts w:ascii="Times New Roman" w:hAnsi="Times New Roman"/>
          <w:b/>
          <w:i w:val="0"/>
          <w:sz w:val="26"/>
        </w:rPr>
        <w:t>Điều 6. Áp dụng pháp luật để giải quyết vụ việc</w:t>
      </w:r>
    </w:p>
    <w:p>
      <w:pPr>
        <w:spacing w:after="80"/>
        <w:ind w:firstLine="560"/>
      </w:pPr>
      <w:r>
        <w:rPr>
          <w:rFonts w:ascii="Times New Roman" w:hAnsi="Times New Roman"/>
          <w:b w:val="0"/>
          <w:i w:val="0"/>
          <w:sz w:val="26"/>
        </w:rPr>
        <w:t>Pháp luật tố tụng được áp dụng để giải quyết vụ việc tại Tòa án chuyên biệt được thực hiện theo quy định của Luật này và Quy tắc tố tụng bảo đảm linh hoạt, rút gọn.</w:t>
      </w:r>
    </w:p>
    <w:p>
      <w:pPr>
        <w:spacing w:after="80"/>
        <w:ind w:firstLine="560"/>
      </w:pPr>
      <w:r>
        <w:rPr>
          <w:rFonts w:ascii="Times New Roman" w:hAnsi="Times New Roman"/>
          <w:b w:val="0"/>
          <w:i w:val="0"/>
          <w:sz w:val="26"/>
        </w:rPr>
        <w:t>Pháp luật nội dung được áp dụng theo thỏa thuận của các bên, trừ trường hợp pháp luật Việt Nam có quy định bắt buộc khác.</w:t>
      </w:r>
    </w:p>
    <w:p>
      <w:pPr>
        <w:jc w:val="center"/>
      </w:pPr>
      <w:r>
        <w:rPr>
          <w:rFonts w:ascii="Times New Roman" w:hAnsi="Times New Roman"/>
          <w:b/>
          <w:i w:val="0"/>
          <w:sz w:val="26"/>
        </w:rPr>
        <w:t>Chương II</w:t>
      </w:r>
    </w:p>
    <w:p>
      <w:pPr>
        <w:jc w:val="center"/>
      </w:pPr>
      <w:r>
        <w:rPr>
          <w:rFonts w:ascii="Times New Roman" w:hAnsi="Times New Roman"/>
          <w:b/>
          <w:i w:val="0"/>
          <w:sz w:val="26"/>
        </w:rPr>
        <w:t>TỔ CHỨC TÒA ÁN</w:t>
      </w:r>
    </w:p>
    <w:p>
      <w:pPr>
        <w:spacing w:after="80"/>
        <w:ind w:firstLine="560"/>
      </w:pPr>
      <w:r>
        <w:rPr>
          <w:rFonts w:ascii="Times New Roman" w:hAnsi="Times New Roman"/>
          <w:b/>
          <w:i w:val="0"/>
          <w:sz w:val="26"/>
        </w:rPr>
        <w:t>Điều 7. Tổ chức Tòa án chuyên biệt</w:t>
      </w:r>
    </w:p>
    <w:p>
      <w:pPr>
        <w:spacing w:after="80"/>
        <w:ind w:firstLine="560"/>
      </w:pPr>
      <w:r>
        <w:rPr>
          <w:rFonts w:ascii="Times New Roman" w:hAnsi="Times New Roman"/>
          <w:b w:val="0"/>
          <w:i w:val="0"/>
          <w:sz w:val="26"/>
        </w:rPr>
        <w:t>1. Thành lập Tòa án chuyên biệt đặt tại Thành phố Hồ Chí Minh.</w:t>
      </w:r>
    </w:p>
    <w:p>
      <w:pPr>
        <w:spacing w:after="80"/>
        <w:ind w:firstLine="560"/>
      </w:pPr>
      <w:r>
        <w:rPr>
          <w:rFonts w:ascii="Times New Roman" w:hAnsi="Times New Roman"/>
          <w:b w:val="0"/>
          <w:i w:val="0"/>
          <w:sz w:val="26"/>
        </w:rPr>
        <w:t>2. Cơ cấu tổ chức của Tòa án chuyên biệt bao gồm Tòa Sơ thẩm, Tòa Phúc thẩm, bộ máy giúp việc và Phòng Công nghệ, dữ liệu điện tử.</w:t>
      </w:r>
    </w:p>
    <w:p>
      <w:pPr>
        <w:spacing w:after="80"/>
        <w:ind w:firstLine="560"/>
      </w:pPr>
      <w:r>
        <w:rPr>
          <w:rFonts w:ascii="Times New Roman" w:hAnsi="Times New Roman"/>
          <w:b w:val="0"/>
          <w:i w:val="0"/>
          <w:sz w:val="26"/>
        </w:rPr>
        <w:t>3. Tòa án chuyên biệt có Chánh án, Phó Chánh án, Chánh tòa, Phó Chánh tòa, Thẩm phán, Thư ký Tòa án, chuyên viên công nghệ thông tin, công chức khác và người lao động.</w:t>
      </w:r>
    </w:p>
    <w:p>
      <w:pPr>
        <w:spacing w:after="80"/>
        <w:ind w:firstLine="560"/>
      </w:pPr>
      <w:r>
        <w:rPr>
          <w:rFonts w:ascii="Times New Roman" w:hAnsi="Times New Roman"/>
          <w:b/>
          <w:i w:val="0"/>
          <w:sz w:val="26"/>
        </w:rPr>
        <w:t>Điều 8. Quyền hạn của Tòa án chuyên biệt</w:t>
      </w:r>
    </w:p>
    <w:p>
      <w:pPr>
        <w:spacing w:after="80"/>
        <w:ind w:firstLine="560"/>
      </w:pPr>
      <w:r>
        <w:rPr>
          <w:rFonts w:ascii="Times New Roman" w:hAnsi="Times New Roman"/>
          <w:b w:val="0"/>
          <w:i w:val="0"/>
          <w:sz w:val="26"/>
        </w:rPr>
        <w:t>Tòa án thực hiện thẩm quyền theo quy định của Luật này; ban hành quyết định quản lý vụ việc; khuyến khích hòa giải; yêu cầu các bên cung cấp chứng cứ; xử lý hành vi cản trở hoạt động tố tụng.</w:t>
      </w:r>
    </w:p>
    <w:p>
      <w:pPr>
        <w:spacing w:after="80"/>
        <w:ind w:firstLine="560"/>
      </w:pPr>
      <w:r>
        <w:rPr>
          <w:rFonts w:ascii="Times New Roman" w:hAnsi="Times New Roman"/>
          <w:b/>
          <w:i w:val="0"/>
          <w:sz w:val="26"/>
        </w:rPr>
        <w:t>Điều 9. Chánh án, Phó Chánh án Tòa án chuyên biệt</w:t>
      </w:r>
    </w:p>
    <w:p>
      <w:pPr>
        <w:spacing w:after="80"/>
        <w:ind w:firstLine="560"/>
      </w:pPr>
      <w:r>
        <w:rPr>
          <w:rFonts w:ascii="Times New Roman" w:hAnsi="Times New Roman"/>
          <w:b w:val="0"/>
          <w:i w:val="0"/>
          <w:sz w:val="26"/>
        </w:rPr>
        <w:t>Chánh án, Phó Chánh án Tòa án chuyên biệt do Chánh án Tòa án nhân dân tối cao bổ nhiệm, miễn nhiệm, cách chức.</w:t>
      </w:r>
    </w:p>
    <w:p>
      <w:pPr>
        <w:spacing w:after="80"/>
        <w:ind w:firstLine="560"/>
      </w:pPr>
      <w:r>
        <w:rPr>
          <w:rFonts w:ascii="Times New Roman" w:hAnsi="Times New Roman"/>
          <w:b w:val="0"/>
          <w:i w:val="0"/>
          <w:sz w:val="26"/>
        </w:rPr>
        <w:t>Nhiệm kỳ của Chánh án, Phó Chánh án Tòa án chuyên biệt là 05 năm kể từ ngày được bổ nhiệm.</w:t>
      </w:r>
    </w:p>
    <w:p>
      <w:pPr>
        <w:spacing w:after="80"/>
        <w:ind w:firstLine="560"/>
      </w:pPr>
      <w:r>
        <w:rPr>
          <w:rFonts w:ascii="Times New Roman" w:hAnsi="Times New Roman"/>
          <w:b/>
          <w:i w:val="0"/>
          <w:sz w:val="26"/>
        </w:rPr>
        <w:t>Điều 10. Thẩm phán</w:t>
      </w:r>
    </w:p>
    <w:p>
      <w:pPr>
        <w:spacing w:after="80"/>
        <w:ind w:firstLine="560"/>
      </w:pPr>
      <w:r>
        <w:rPr>
          <w:rFonts w:ascii="Times New Roman" w:hAnsi="Times New Roman"/>
          <w:b w:val="0"/>
          <w:i w:val="0"/>
          <w:sz w:val="26"/>
        </w:rPr>
        <w:t>Thẩm phán bao gồm người nước ngoài được bổ nhiệm làm Thẩm phán và công dân Việt Nam được bổ nhiệm làm Thẩm phán theo quy định của Luật này.</w:t>
      </w:r>
    </w:p>
    <w:p>
      <w:pPr>
        <w:spacing w:after="80"/>
        <w:ind w:firstLine="560"/>
      </w:pPr>
      <w:r>
        <w:rPr>
          <w:rFonts w:ascii="Times New Roman" w:hAnsi="Times New Roman"/>
          <w:b w:val="0"/>
          <w:i w:val="0"/>
          <w:sz w:val="26"/>
        </w:rPr>
        <w:t>Thẩm phán là người nước ngoài phải có ít nhất 10 năm kinh nghiệm tham gia xét xử, giải quyết vụ việc liên quan đến hoạt động đầu tư, kinh doanh; có năng lực tiếng Anh để xét xử, giải quyết vụ việc tại Tòa án chuyên biệt; không quá 70 tuổi.</w:t>
      </w:r>
    </w:p>
    <w:p>
      <w:pPr>
        <w:spacing w:after="80"/>
        <w:ind w:firstLine="560"/>
      </w:pPr>
      <w:r>
        <w:rPr>
          <w:rFonts w:ascii="Times New Roman" w:hAnsi="Times New Roman"/>
          <w:b w:val="0"/>
          <w:i w:val="0"/>
          <w:sz w:val="26"/>
        </w:rPr>
        <w:t>Thẩm phán là công dân Việt Nam phải có phẩm chất đạo đức tốt, kiến thức chuyên môn phù hợp, am hiểu pháp luật về đầu tư, kinh doanh.</w:t>
      </w:r>
    </w:p>
    <w:p>
      <w:pPr>
        <w:spacing w:after="80"/>
        <w:ind w:firstLine="560"/>
      </w:pPr>
      <w:r>
        <w:rPr>
          <w:rFonts w:ascii="Times New Roman" w:hAnsi="Times New Roman"/>
          <w:b/>
          <w:i w:val="0"/>
          <w:sz w:val="26"/>
        </w:rPr>
        <w:t>Điều 11. Bảo vệ Thẩm phán</w:t>
      </w:r>
    </w:p>
    <w:p>
      <w:pPr>
        <w:spacing w:after="80"/>
        <w:ind w:firstLine="560"/>
      </w:pPr>
      <w:r>
        <w:rPr>
          <w:rFonts w:ascii="Times New Roman" w:hAnsi="Times New Roman"/>
          <w:b w:val="0"/>
          <w:i w:val="0"/>
          <w:sz w:val="26"/>
        </w:rPr>
        <w:t>Thẩm phán được tôn trọng danh dự, uy tín, được bảo vệ theo quy định của pháp luật khi thi hành công vụ hoặc vì lý do công vụ.</w:t>
      </w:r>
    </w:p>
    <w:p>
      <w:pPr>
        <w:spacing w:after="80"/>
        <w:ind w:firstLine="560"/>
      </w:pPr>
      <w:r>
        <w:rPr>
          <w:rFonts w:ascii="Times New Roman" w:hAnsi="Times New Roman"/>
          <w:b w:val="0"/>
          <w:i w:val="0"/>
          <w:sz w:val="26"/>
        </w:rPr>
        <w:t>Thẩm phán được miễn trừ trách nhiệm khi thực hiện nhiệm vụ, quyền hạn theo quy định của Luật này và Quy tắc tố tụng, trừ trường hợp có căn cứ xác định vi phạm pháp luật nghiêm trọng do lỗi cố ý.</w:t>
      </w:r>
    </w:p>
    <w:p>
      <w:pPr>
        <w:spacing w:after="80"/>
        <w:ind w:firstLine="560"/>
      </w:pPr>
      <w:r>
        <w:rPr>
          <w:rFonts w:ascii="Times New Roman" w:hAnsi="Times New Roman"/>
          <w:b/>
          <w:i w:val="0"/>
          <w:sz w:val="26"/>
        </w:rPr>
        <w:t>Điều 12. Thư ký Tòa án</w:t>
      </w:r>
    </w:p>
    <w:p>
      <w:pPr>
        <w:spacing w:after="80"/>
        <w:ind w:firstLine="560"/>
      </w:pPr>
      <w:r>
        <w:rPr>
          <w:rFonts w:ascii="Times New Roman" w:hAnsi="Times New Roman"/>
          <w:b w:val="0"/>
          <w:i w:val="0"/>
          <w:sz w:val="26"/>
        </w:rPr>
        <w:t>Thư ký Tòa án do Chánh án Tòa án nhân dân tối cao tuyển dụng, bổ nhiệm bao gồm người nước ngoài và công dân Việt Nam theo quy định của Luật này.</w:t>
      </w:r>
    </w:p>
    <w:p>
      <w:pPr>
        <w:spacing w:after="80"/>
        <w:ind w:firstLine="560"/>
      </w:pPr>
      <w:r>
        <w:rPr>
          <w:rFonts w:ascii="Times New Roman" w:hAnsi="Times New Roman"/>
          <w:b w:val="0"/>
          <w:i w:val="0"/>
          <w:sz w:val="26"/>
        </w:rPr>
        <w:t>Thư ký Tòa án thực hiện nhiệm vụ thư ký tại phiên tòa, phiên họp; nhiệm vụ hành chính tư pháp; nhiệm vụ khác theo phân công của Chánh án Tòa án chuyên biệt.</w:t>
      </w:r>
    </w:p>
    <w:p>
      <w:pPr>
        <w:jc w:val="center"/>
      </w:pPr>
      <w:r>
        <w:rPr>
          <w:rFonts w:ascii="Times New Roman" w:hAnsi="Times New Roman"/>
          <w:b/>
          <w:i w:val="0"/>
          <w:sz w:val="26"/>
        </w:rPr>
        <w:t>Chương III</w:t>
      </w:r>
    </w:p>
    <w:p>
      <w:pPr>
        <w:jc w:val="center"/>
      </w:pPr>
      <w:r>
        <w:rPr>
          <w:rFonts w:ascii="Times New Roman" w:hAnsi="Times New Roman"/>
          <w:b/>
          <w:i w:val="0"/>
          <w:sz w:val="26"/>
        </w:rPr>
        <w:t>THỦ TỤC TỐ TỤNG TẠI TÒA ÁN CHUYÊN BIỆT</w:t>
      </w:r>
    </w:p>
    <w:p>
      <w:pPr>
        <w:spacing w:after="80"/>
        <w:ind w:firstLine="560"/>
      </w:pPr>
      <w:r>
        <w:rPr>
          <w:rFonts w:ascii="Times New Roman" w:hAnsi="Times New Roman"/>
          <w:b/>
          <w:i w:val="0"/>
          <w:sz w:val="26"/>
        </w:rPr>
        <w:t>Điều 13. Thẩm quyền của Tòa án chuyên biệt</w:t>
      </w:r>
    </w:p>
    <w:p>
      <w:pPr>
        <w:spacing w:after="80"/>
        <w:ind w:firstLine="560"/>
      </w:pPr>
      <w:r>
        <w:rPr>
          <w:rFonts w:ascii="Times New Roman" w:hAnsi="Times New Roman"/>
          <w:b w:val="0"/>
          <w:i w:val="0"/>
          <w:sz w:val="26"/>
        </w:rPr>
        <w:t>Tòa án chuyên biệt có thẩm quyền giải quyết vụ việc về đầu tư, kinh doanh giữa các Thành viên Trung tâm tài chính quốc tế với nhau hoặc với tổ chức, cá nhân khác.</w:t>
      </w:r>
    </w:p>
    <w:p>
      <w:pPr>
        <w:spacing w:after="80"/>
        <w:ind w:firstLine="560"/>
      </w:pPr>
      <w:r>
        <w:rPr>
          <w:rFonts w:ascii="Times New Roman" w:hAnsi="Times New Roman"/>
          <w:b w:val="0"/>
          <w:i w:val="0"/>
          <w:sz w:val="26"/>
        </w:rPr>
        <w:t>Tòa Sơ thẩm Tòa án chuyên biệt có thẩm quyền xét xử, giải quyết theo thủ tục sơ thẩm. Tòa Phúc thẩm có thẩm quyền xét xử, giải quyết theo thủ tục phúc thẩm.</w:t>
      </w:r>
    </w:p>
    <w:p>
      <w:pPr>
        <w:spacing w:after="80"/>
        <w:ind w:firstLine="560"/>
      </w:pPr>
      <w:r>
        <w:rPr>
          <w:rFonts w:ascii="Times New Roman" w:hAnsi="Times New Roman"/>
          <w:b/>
          <w:i w:val="0"/>
          <w:sz w:val="26"/>
        </w:rPr>
        <w:t>Điều 14. Tiếng nói, chữ viết dùng trước Tòa án chuyên biệt</w:t>
      </w:r>
    </w:p>
    <w:p>
      <w:pPr>
        <w:spacing w:after="80"/>
        <w:ind w:firstLine="560"/>
      </w:pPr>
      <w:r>
        <w:rPr>
          <w:rFonts w:ascii="Times New Roman" w:hAnsi="Times New Roman"/>
          <w:b w:val="0"/>
          <w:i w:val="0"/>
          <w:sz w:val="26"/>
        </w:rPr>
        <w:t>Tiếng nói, chữ viết dùng trước Tòa án chuyên biệt là tiếng Anh hoặc tiếng Anh kèm theo bản dịch tiếng Việt.</w:t>
      </w:r>
    </w:p>
    <w:p>
      <w:pPr>
        <w:spacing w:after="80"/>
        <w:ind w:firstLine="560"/>
      </w:pPr>
      <w:r>
        <w:rPr>
          <w:rFonts w:ascii="Times New Roman" w:hAnsi="Times New Roman"/>
          <w:b w:val="0"/>
          <w:i w:val="0"/>
          <w:sz w:val="26"/>
        </w:rPr>
        <w:t>Bản án, quyết định của Tòa án được ban hành bằng tiếng Anh hoặc tiếng Anh kèm theo bản dịch tiếng Việt.</w:t>
      </w:r>
    </w:p>
    <w:p>
      <w:pPr>
        <w:spacing w:after="80"/>
        <w:ind w:firstLine="560"/>
      </w:pPr>
      <w:r>
        <w:rPr>
          <w:rFonts w:ascii="Times New Roman" w:hAnsi="Times New Roman"/>
          <w:b w:val="0"/>
          <w:i w:val="0"/>
          <w:sz w:val="26"/>
        </w:rPr>
        <w:t>Trong trường hợp cần thiết, Tòa án có thể chấp nhận tài liệu bằng ngôn ngữ khác nếu các bên thống nhất và có bản dịch được chứng thực.</w:t>
      </w:r>
    </w:p>
    <w:p>
      <w:pPr>
        <w:spacing w:after="80"/>
        <w:ind w:firstLine="560"/>
      </w:pPr>
      <w:r>
        <w:rPr>
          <w:rFonts w:ascii="Times New Roman" w:hAnsi="Times New Roman"/>
          <w:b/>
          <w:i w:val="0"/>
          <w:sz w:val="26"/>
        </w:rPr>
        <w:t>Điều 15. Thành phần xét xử sơ thẩm, phúc thẩm</w:t>
      </w:r>
    </w:p>
    <w:p>
      <w:pPr>
        <w:spacing w:after="80"/>
        <w:ind w:firstLine="560"/>
      </w:pPr>
      <w:r>
        <w:rPr>
          <w:rFonts w:ascii="Times New Roman" w:hAnsi="Times New Roman"/>
          <w:b w:val="0"/>
          <w:i w:val="0"/>
          <w:sz w:val="26"/>
        </w:rPr>
        <w:t>Việc xét xử sơ thẩm bằng một Thẩm phán. Trường hợp vụ việc phức tạp, Chánh án Tòa án chuyên biệt quyết định việc xét xử sơ thẩm bằng Hội đồng gồm ba Thẩm phán.</w:t>
      </w:r>
    </w:p>
    <w:p>
      <w:pPr>
        <w:spacing w:after="80"/>
        <w:ind w:firstLine="560"/>
      </w:pPr>
      <w:r>
        <w:rPr>
          <w:rFonts w:ascii="Times New Roman" w:hAnsi="Times New Roman"/>
          <w:b w:val="0"/>
          <w:i w:val="0"/>
          <w:sz w:val="26"/>
        </w:rPr>
        <w:t>Việc xét xử phúc thẩm bằng Hội đồng gồm ba Thẩm phán.</w:t>
      </w:r>
    </w:p>
    <w:p>
      <w:pPr>
        <w:spacing w:after="80"/>
        <w:ind w:firstLine="560"/>
      </w:pPr>
      <w:r>
        <w:rPr>
          <w:rFonts w:ascii="Times New Roman" w:hAnsi="Times New Roman"/>
          <w:b/>
          <w:i w:val="0"/>
          <w:sz w:val="26"/>
        </w:rPr>
        <w:t>Điều 16. Xét xử, giải quyết vụ việc trên môi trường điện tử</w:t>
      </w:r>
    </w:p>
    <w:p>
      <w:pPr>
        <w:spacing w:after="80"/>
        <w:ind w:firstLine="560"/>
      </w:pPr>
      <w:r>
        <w:rPr>
          <w:rFonts w:ascii="Times New Roman" w:hAnsi="Times New Roman"/>
          <w:b w:val="0"/>
          <w:i w:val="0"/>
          <w:sz w:val="26"/>
        </w:rPr>
        <w:t>Việc nộp đơn khởi kiện, xử lý đơn khởi kiện, tống đạt, thông báo văn bản tố tụng, nộp lệ phí, án phí, chi phí tố tụng khác, giao nộp tài liệu, chứng cứ, phiên họp và phiên tòa có thể được thực hiện trên Cổng thông tin điện tử của Tòa án chuyên biệt.</w:t>
      </w:r>
    </w:p>
    <w:p>
      <w:pPr>
        <w:spacing w:after="80"/>
        <w:ind w:firstLine="560"/>
      </w:pPr>
      <w:r>
        <w:rPr>
          <w:rFonts w:ascii="Times New Roman" w:hAnsi="Times New Roman"/>
          <w:b w:val="0"/>
          <w:i w:val="0"/>
          <w:sz w:val="26"/>
        </w:rPr>
        <w:t>Việc xét xử, giải quyết vụ việc trên môi trường điện tử được thực hiện theo Quy tắc tố tụng và quy định về bảo đảm an toàn, bảo mật dữ liệu.</w:t>
      </w:r>
    </w:p>
    <w:p>
      <w:pPr>
        <w:spacing w:after="80"/>
        <w:ind w:firstLine="560"/>
      </w:pPr>
      <w:r>
        <w:rPr>
          <w:rFonts w:ascii="Times New Roman" w:hAnsi="Times New Roman"/>
          <w:b/>
          <w:i w:val="0"/>
          <w:sz w:val="26"/>
        </w:rPr>
        <w:t>Điều 17. Cấp, tống đạt, thông báo văn bản tố tụng</w:t>
      </w:r>
    </w:p>
    <w:p>
      <w:pPr>
        <w:spacing w:after="80"/>
        <w:ind w:firstLine="560"/>
      </w:pPr>
      <w:r>
        <w:rPr>
          <w:rFonts w:ascii="Times New Roman" w:hAnsi="Times New Roman"/>
          <w:b w:val="0"/>
          <w:i w:val="0"/>
          <w:sz w:val="26"/>
        </w:rPr>
        <w:t>Việc cấp, tống đạt, thông báo đơn khởi kiện, tài liệu và văn bản tố tụng khác được thực hiện theo Quy tắc tố tụng.</w:t>
      </w:r>
    </w:p>
    <w:p>
      <w:pPr>
        <w:spacing w:after="80"/>
        <w:ind w:firstLine="560"/>
      </w:pPr>
      <w:r>
        <w:rPr>
          <w:rFonts w:ascii="Times New Roman" w:hAnsi="Times New Roman"/>
          <w:b/>
          <w:i w:val="0"/>
          <w:sz w:val="26"/>
        </w:rPr>
        <w:t>Điều 18. Thời hiệu khởi kiện, thời hiệu yêu cầu giải quyết vụ việc</w:t>
      </w:r>
    </w:p>
    <w:p>
      <w:pPr>
        <w:spacing w:after="80"/>
        <w:ind w:firstLine="560"/>
      </w:pPr>
      <w:r>
        <w:rPr>
          <w:rFonts w:ascii="Times New Roman" w:hAnsi="Times New Roman"/>
          <w:b w:val="0"/>
          <w:i w:val="0"/>
          <w:sz w:val="26"/>
        </w:rPr>
        <w:t>Đối với vụ việc quy định tại điểm a và điểm b khoản 1 Điều 13 của Luật này thì thời hiệu khởi kiện, thời hiệu yêu cầu là 05 năm kể từ ngày xảy ra sự kiện dẫn đến thủ tục tố tụng.</w:t>
      </w:r>
    </w:p>
    <w:p>
      <w:pPr>
        <w:spacing w:after="80"/>
        <w:ind w:firstLine="560"/>
      </w:pPr>
      <w:r>
        <w:rPr>
          <w:rFonts w:ascii="Times New Roman" w:hAnsi="Times New Roman"/>
          <w:b w:val="0"/>
          <w:i w:val="0"/>
          <w:sz w:val="26"/>
        </w:rPr>
        <w:t>Thời hiệu yêu cầu quy định tại điểm c khoản 1 Điều 13 của Luật này được thực hiện theo quy định của pháp luật về trọng tài thương mại.</w:t>
      </w:r>
    </w:p>
    <w:p>
      <w:pPr>
        <w:spacing w:after="80"/>
        <w:ind w:firstLine="560"/>
      </w:pPr>
      <w:r>
        <w:rPr>
          <w:rFonts w:ascii="Times New Roman" w:hAnsi="Times New Roman"/>
          <w:b/>
          <w:i w:val="0"/>
          <w:sz w:val="26"/>
        </w:rPr>
        <w:t>Điều 19. Người đại diện</w:t>
      </w:r>
    </w:p>
    <w:p>
      <w:pPr>
        <w:spacing w:after="80"/>
        <w:ind w:firstLine="560"/>
      </w:pPr>
      <w:r>
        <w:rPr>
          <w:rFonts w:ascii="Times New Roman" w:hAnsi="Times New Roman"/>
          <w:b w:val="0"/>
          <w:i w:val="0"/>
          <w:sz w:val="26"/>
        </w:rPr>
        <w:t>Người đại diện của các bên tham gia tố tụng tại Tòa án chuyên biệt bao gồm luật sư Việt Nam, luật sư nước ngoài, người đại diện theo pháp luật và người đại diện theo ủy quyền.</w:t>
      </w:r>
    </w:p>
    <w:p>
      <w:pPr>
        <w:spacing w:after="80"/>
        <w:ind w:firstLine="560"/>
      </w:pPr>
      <w:r>
        <w:rPr>
          <w:rFonts w:ascii="Times New Roman" w:hAnsi="Times New Roman"/>
          <w:b w:val="0"/>
          <w:i w:val="0"/>
          <w:sz w:val="26"/>
        </w:rPr>
        <w:t>Pháp nhân khởi kiện hoặc bị kiện phải được đại diện bởi luật sư, trừ trường hợp Quy tắc tố tụng có quy định khác.</w:t>
      </w:r>
    </w:p>
    <w:p>
      <w:pPr>
        <w:spacing w:after="80"/>
        <w:ind w:firstLine="560"/>
      </w:pPr>
      <w:r>
        <w:rPr>
          <w:rFonts w:ascii="Times New Roman" w:hAnsi="Times New Roman"/>
          <w:b/>
          <w:i w:val="0"/>
          <w:sz w:val="26"/>
        </w:rPr>
        <w:t>Điều 20. Chi phí tố tụng tại Tòa án chuyên biệt</w:t>
      </w:r>
    </w:p>
    <w:p>
      <w:pPr>
        <w:spacing w:after="80"/>
        <w:ind w:firstLine="560"/>
      </w:pPr>
      <w:r>
        <w:rPr>
          <w:rFonts w:ascii="Times New Roman" w:hAnsi="Times New Roman"/>
          <w:b w:val="0"/>
          <w:i w:val="0"/>
          <w:sz w:val="26"/>
        </w:rPr>
        <w:t>Chi phí tố tụng bao gồm án phí, lệ phí, chi phí hợp lý cho luật sư và chi phí khác để giải quyết vụ việc do Tòa án quyết định.</w:t>
      </w:r>
    </w:p>
    <w:p>
      <w:pPr>
        <w:spacing w:after="80"/>
        <w:ind w:firstLine="560"/>
      </w:pPr>
      <w:r>
        <w:rPr>
          <w:rFonts w:ascii="Times New Roman" w:hAnsi="Times New Roman"/>
          <w:b w:val="0"/>
          <w:i w:val="0"/>
          <w:sz w:val="26"/>
        </w:rPr>
        <w:t>Bên có yêu cầu phải nộp tạm ứng chi phí tố tụng, khoản tiền để bảo đảm chi phí cho việc giải quyết vụ việc theo quyết định của Tòa án.</w:t>
      </w:r>
    </w:p>
    <w:p>
      <w:pPr>
        <w:spacing w:after="80"/>
        <w:ind w:firstLine="560"/>
      </w:pPr>
      <w:r>
        <w:rPr>
          <w:rFonts w:ascii="Times New Roman" w:hAnsi="Times New Roman"/>
          <w:b w:val="0"/>
          <w:i w:val="0"/>
          <w:sz w:val="26"/>
        </w:rPr>
        <w:t>Các bên phải chịu chi phí tố tụng khi yêu cầu của họ không được Tòa án chấp nhận, trừ trường hợp các bên có thỏa thuận khác.</w:t>
      </w:r>
    </w:p>
    <w:p>
      <w:pPr>
        <w:spacing w:after="80"/>
        <w:ind w:firstLine="560"/>
      </w:pPr>
      <w:r>
        <w:rPr>
          <w:rFonts w:ascii="Times New Roman" w:hAnsi="Times New Roman"/>
          <w:b w:val="0"/>
          <w:i w:val="0"/>
          <w:sz w:val="26"/>
        </w:rPr>
        <w:t>Tòa án có thể yêu cầu bổ sung tạm ứng chi phí tố tụng nếu chi phí thực tế phát sinh vượt quá khoản tiền đã nộp ban đầu.</w:t>
      </w:r>
    </w:p>
    <w:p>
      <w:pPr>
        <w:jc w:val="center"/>
      </w:pPr>
      <w:r>
        <w:rPr>
          <w:rFonts w:ascii="Times New Roman" w:hAnsi="Times New Roman"/>
          <w:b/>
          <w:i w:val="0"/>
          <w:sz w:val="26"/>
        </w:rPr>
        <w:t>Mục 2</w:t>
      </w:r>
    </w:p>
    <w:p>
      <w:pPr>
        <w:jc w:val="center"/>
      </w:pPr>
      <w:r>
        <w:rPr>
          <w:rFonts w:ascii="Times New Roman" w:hAnsi="Times New Roman"/>
          <w:b/>
          <w:i w:val="0"/>
          <w:sz w:val="26"/>
        </w:rPr>
        <w:t>THỦ TỤC GIẢI QUYẾT VỤ VIỆC</w:t>
      </w:r>
    </w:p>
    <w:p>
      <w:pPr>
        <w:spacing w:after="80"/>
        <w:ind w:firstLine="560"/>
      </w:pPr>
      <w:r>
        <w:rPr>
          <w:rFonts w:ascii="Times New Roman" w:hAnsi="Times New Roman"/>
          <w:b/>
          <w:i w:val="0"/>
          <w:sz w:val="26"/>
        </w:rPr>
        <w:t>Điều 21. Khởi kiện và phát hành đơn khởi kiện</w:t>
      </w:r>
    </w:p>
    <w:p>
      <w:pPr>
        <w:spacing w:after="80"/>
        <w:ind w:firstLine="560"/>
      </w:pPr>
      <w:r>
        <w:rPr>
          <w:rFonts w:ascii="Times New Roman" w:hAnsi="Times New Roman"/>
          <w:b w:val="0"/>
          <w:i w:val="0"/>
          <w:sz w:val="26"/>
        </w:rPr>
        <w:t>Cá nhân, pháp nhân có quyền khởi kiện vụ việc tại Tòa án chuyên biệt để yêu cầu bảo vệ quyền và lợi ích hợp pháp của mình.</w:t>
      </w:r>
    </w:p>
    <w:p>
      <w:pPr>
        <w:spacing w:after="80"/>
        <w:ind w:firstLine="560"/>
      </w:pPr>
      <w:r>
        <w:rPr>
          <w:rFonts w:ascii="Times New Roman" w:hAnsi="Times New Roman"/>
          <w:b w:val="0"/>
          <w:i w:val="0"/>
          <w:sz w:val="26"/>
        </w:rPr>
        <w:t>Thủ tục tố tụng được bắt đầu khi Tòa án phát hành đơn khởi kiện.</w:t>
      </w:r>
    </w:p>
    <w:p>
      <w:pPr>
        <w:spacing w:after="80"/>
        <w:ind w:firstLine="560"/>
      </w:pPr>
      <w:r>
        <w:rPr>
          <w:rFonts w:ascii="Times New Roman" w:hAnsi="Times New Roman"/>
          <w:b/>
          <w:i w:val="0"/>
          <w:sz w:val="26"/>
        </w:rPr>
        <w:t>Điều 22. Yêu cầu phản tố của bên bị kiện, yêu cầu của người thứ ba</w:t>
      </w:r>
    </w:p>
    <w:p>
      <w:pPr>
        <w:spacing w:after="80"/>
        <w:ind w:firstLine="560"/>
      </w:pPr>
      <w:r>
        <w:rPr>
          <w:rFonts w:ascii="Times New Roman" w:hAnsi="Times New Roman"/>
          <w:b w:val="0"/>
          <w:i w:val="0"/>
          <w:sz w:val="26"/>
        </w:rPr>
        <w:t>Bên bị kiện có quyền đưa ra yêu cầu phản tố đối với bên khởi kiện hoặc người thứ ba. Người thứ ba có quyền yêu cầu khi vụ việc liên quan đến quyền, nghĩa vụ của họ.</w:t>
      </w:r>
    </w:p>
    <w:p>
      <w:pPr>
        <w:spacing w:after="80"/>
        <w:ind w:firstLine="560"/>
      </w:pPr>
      <w:r>
        <w:rPr>
          <w:rFonts w:ascii="Times New Roman" w:hAnsi="Times New Roman"/>
          <w:b/>
          <w:i w:val="0"/>
          <w:sz w:val="26"/>
        </w:rPr>
        <w:t>Điều 23. Ban hành quyết định giải quyết vụ việc</w:t>
      </w:r>
    </w:p>
    <w:p>
      <w:pPr>
        <w:spacing w:after="80"/>
        <w:ind w:firstLine="560"/>
      </w:pPr>
      <w:r>
        <w:rPr>
          <w:rFonts w:ascii="Times New Roman" w:hAnsi="Times New Roman"/>
          <w:b w:val="0"/>
          <w:i w:val="0"/>
          <w:sz w:val="26"/>
        </w:rPr>
        <w:t>Theo yêu cầu của bên khởi kiện, Tòa án xem xét, ban hành phán quyết mặc định khi bên bị kiện không nộp văn bản phản hồi trong thời hạn quy định.</w:t>
      </w:r>
    </w:p>
    <w:p>
      <w:pPr>
        <w:spacing w:after="80"/>
        <w:ind w:firstLine="560"/>
      </w:pPr>
      <w:r>
        <w:rPr>
          <w:rFonts w:ascii="Times New Roman" w:hAnsi="Times New Roman"/>
          <w:b w:val="0"/>
          <w:i w:val="0"/>
          <w:sz w:val="26"/>
        </w:rPr>
        <w:t>Tòa án có thể ban hành quyết định tức thời trong bất kỳ giai đoạn tố tụng nào khi có đủ điều kiện theo Luật này.</w:t>
      </w:r>
    </w:p>
    <w:p>
      <w:pPr>
        <w:spacing w:after="80"/>
        <w:ind w:firstLine="560"/>
      </w:pPr>
      <w:r>
        <w:rPr>
          <w:rFonts w:ascii="Times New Roman" w:hAnsi="Times New Roman"/>
          <w:b/>
          <w:i w:val="0"/>
          <w:sz w:val="26"/>
        </w:rPr>
        <w:t>Điều 24. Phiên họp quản lý vụ việc</w:t>
      </w:r>
    </w:p>
    <w:p>
      <w:pPr>
        <w:spacing w:after="80"/>
        <w:ind w:firstLine="560"/>
      </w:pPr>
      <w:r>
        <w:rPr>
          <w:rFonts w:ascii="Times New Roman" w:hAnsi="Times New Roman"/>
          <w:b w:val="0"/>
          <w:i w:val="0"/>
          <w:sz w:val="26"/>
        </w:rPr>
        <w:t>Sau khi bên bị kiện đã có văn bản nêu ý kiến đối với đơn khởi kiện, Thẩm phán có thể tổ chức phiên họp quản lý vụ việc.</w:t>
      </w:r>
    </w:p>
    <w:p>
      <w:pPr>
        <w:spacing w:after="80"/>
        <w:ind w:firstLine="560"/>
      </w:pPr>
      <w:r>
        <w:rPr>
          <w:rFonts w:ascii="Times New Roman" w:hAnsi="Times New Roman"/>
          <w:b w:val="0"/>
          <w:i w:val="0"/>
          <w:sz w:val="26"/>
        </w:rPr>
        <w:t>Nội dung phiên họp bao gồm xác định vấn đề và phạm vi tranh chấp; khả năng thương lượng, hòa giải; trao đổi tài liệu, chứng cứ; trình tự và thời hạn thực hiện các thủ tục tố tụng.</w:t>
      </w:r>
    </w:p>
    <w:p>
      <w:pPr>
        <w:spacing w:after="80"/>
        <w:ind w:firstLine="560"/>
      </w:pPr>
      <w:r>
        <w:rPr>
          <w:rFonts w:ascii="Times New Roman" w:hAnsi="Times New Roman"/>
          <w:b w:val="0"/>
          <w:i w:val="0"/>
          <w:sz w:val="26"/>
        </w:rPr>
        <w:t>Trường hợp vụ việc có yếu tố kỹ thuật phức tạp, Thẩm phán có thể mời chuyên gia kỹ thuật tham dự phiên họp quản lý vụ việc.</w:t>
      </w:r>
    </w:p>
    <w:p>
      <w:pPr>
        <w:spacing w:after="80"/>
        <w:ind w:firstLine="560"/>
      </w:pPr>
      <w:r>
        <w:rPr>
          <w:rFonts w:ascii="Times New Roman" w:hAnsi="Times New Roman"/>
          <w:b/>
          <w:i w:val="0"/>
          <w:sz w:val="26"/>
        </w:rPr>
        <w:t>Điều 25. Công bố, xuất trình, giao nộp tài liệu, chứng cứ</w:t>
      </w:r>
    </w:p>
    <w:p>
      <w:pPr>
        <w:spacing w:after="80"/>
        <w:ind w:firstLine="560"/>
      </w:pPr>
      <w:r>
        <w:rPr>
          <w:rFonts w:ascii="Times New Roman" w:hAnsi="Times New Roman"/>
          <w:b w:val="0"/>
          <w:i w:val="0"/>
          <w:sz w:val="26"/>
        </w:rPr>
        <w:t>Các bên có nghĩa vụ công bố, xuất trình, giao nộp tất cả tài liệu, chứng cứ do mình đang quản lý, nắm giữ, trừ trường hợp Quy tắc tố tụng có quy định khác.</w:t>
      </w:r>
    </w:p>
    <w:p>
      <w:pPr>
        <w:spacing w:after="80"/>
        <w:ind w:firstLine="560"/>
      </w:pPr>
      <w:r>
        <w:rPr>
          <w:rFonts w:ascii="Times New Roman" w:hAnsi="Times New Roman"/>
          <w:b/>
          <w:i w:val="0"/>
          <w:sz w:val="26"/>
        </w:rPr>
        <w:t>Điều 26. Chứng cứ chuyên gia</w:t>
      </w:r>
    </w:p>
    <w:p>
      <w:pPr>
        <w:spacing w:after="80"/>
        <w:ind w:firstLine="560"/>
      </w:pPr>
      <w:r>
        <w:rPr>
          <w:rFonts w:ascii="Times New Roman" w:hAnsi="Times New Roman"/>
          <w:b w:val="0"/>
          <w:i w:val="0"/>
          <w:sz w:val="26"/>
        </w:rPr>
        <w:t>Tòa án cho phép các bên thỏa thuận lựa chọn chuyên gia hoặc Tòa án chỉ định chuyên gia trong trường hợp cần thiết. Chuyên gia có trách nhiệm đưa ra ý kiến độc lập, vô tư, khách quan.</w:t>
      </w:r>
    </w:p>
    <w:p>
      <w:pPr>
        <w:spacing w:after="80"/>
        <w:ind w:firstLine="560"/>
      </w:pPr>
      <w:r>
        <w:rPr>
          <w:rFonts w:ascii="Times New Roman" w:hAnsi="Times New Roman"/>
          <w:b/>
          <w:i w:val="0"/>
          <w:sz w:val="26"/>
        </w:rPr>
        <w:t>Điều 28. Các biện pháp khẩn cấp tạm thời</w:t>
      </w:r>
    </w:p>
    <w:p>
      <w:pPr>
        <w:spacing w:after="80"/>
        <w:ind w:firstLine="560"/>
      </w:pPr>
      <w:r>
        <w:rPr>
          <w:rFonts w:ascii="Times New Roman" w:hAnsi="Times New Roman"/>
          <w:b w:val="0"/>
          <w:i w:val="0"/>
          <w:sz w:val="26"/>
        </w:rPr>
        <w:t>Các biện pháp khẩn cấp tạm thời gồm kê biên tài sản đang tranh chấp; cấm chuyển dịch quyền về tài sản; phong tỏa tài khoản; tạm giữ tài sản, giấy tờ; cấm thay đổi hiện trạng tài sản; cho phép tiếp cận bất động sản; bảo vệ chứng cứ, người làm chứng; thực hiện thanh toán trước; giao nộp giấy tờ, tài liệu, chứng cứ; cấm hoặc buộc thực hiện hành vi nhất định.</w:t>
      </w:r>
    </w:p>
    <w:p>
      <w:pPr>
        <w:spacing w:after="80"/>
        <w:ind w:firstLine="560"/>
      </w:pPr>
      <w:r>
        <w:rPr>
          <w:rFonts w:ascii="Times New Roman" w:hAnsi="Times New Roman"/>
          <w:b w:val="0"/>
          <w:i w:val="0"/>
          <w:sz w:val="26"/>
        </w:rPr>
        <w:t>Biện pháp khẩn cấp tạm thời có thể bao gồm phong tỏa, sao lưu hoặc bảo toàn dữ liệu điện tử có liên quan trực tiếp đến tranh chấp.</w:t>
      </w:r>
    </w:p>
    <w:p>
      <w:pPr>
        <w:spacing w:after="80"/>
        <w:ind w:firstLine="560"/>
      </w:pPr>
      <w:r>
        <w:rPr>
          <w:rFonts w:ascii="Times New Roman" w:hAnsi="Times New Roman"/>
          <w:b/>
          <w:i w:val="0"/>
          <w:sz w:val="26"/>
        </w:rPr>
        <w:t>Điều 29. Thương lượng, hòa giải</w:t>
      </w:r>
    </w:p>
    <w:p>
      <w:pPr>
        <w:spacing w:after="80"/>
        <w:ind w:firstLine="560"/>
      </w:pPr>
      <w:r>
        <w:rPr>
          <w:rFonts w:ascii="Times New Roman" w:hAnsi="Times New Roman"/>
          <w:b w:val="0"/>
          <w:i w:val="0"/>
          <w:sz w:val="26"/>
        </w:rPr>
        <w:t>Trong quá trình giải quyết vụ việc, Tòa án khuyến khích, tạo điều kiện thuận lợi cho các bên thương lượng, hòa giải trực tiếp hoặc hòa giải trực tuyến.</w:t>
      </w:r>
    </w:p>
    <w:p>
      <w:pPr>
        <w:spacing w:after="80"/>
        <w:ind w:firstLine="560"/>
      </w:pPr>
      <w:r>
        <w:rPr>
          <w:rFonts w:ascii="Times New Roman" w:hAnsi="Times New Roman"/>
          <w:b w:val="0"/>
          <w:i w:val="0"/>
          <w:sz w:val="26"/>
        </w:rPr>
        <w:t>Trường hợp qua thương lượng, hòa giải, các bên thỏa thuận được với nhau về vấn đề giải quyết trong vụ việc thì Thẩm phán xem xét, quyết định công nhận sự thỏa thuận của các bên.</w:t>
      </w:r>
    </w:p>
    <w:p>
      <w:pPr>
        <w:spacing w:after="80"/>
        <w:ind w:firstLine="560"/>
      </w:pPr>
      <w:r>
        <w:rPr>
          <w:rFonts w:ascii="Times New Roman" w:hAnsi="Times New Roman"/>
          <w:b/>
          <w:i w:val="0"/>
          <w:sz w:val="26"/>
        </w:rPr>
        <w:t>Điều 30. Tạm đình chỉ, đình chỉ vụ việc</w:t>
      </w:r>
    </w:p>
    <w:p>
      <w:pPr>
        <w:spacing w:after="80"/>
        <w:ind w:firstLine="560"/>
      </w:pPr>
      <w:r>
        <w:rPr>
          <w:rFonts w:ascii="Times New Roman" w:hAnsi="Times New Roman"/>
          <w:b w:val="0"/>
          <w:i w:val="0"/>
          <w:sz w:val="26"/>
        </w:rPr>
        <w:t>Việc tạm đình chỉ, đình chỉ vụ việc; trình tự, thủ tục, hậu quả pháp lý của việc tạm đình chỉ, đình chỉ vụ việc thực hiện theo Quy tắc tố tụng.</w:t>
      </w:r>
    </w:p>
    <w:p>
      <w:pPr>
        <w:spacing w:after="80"/>
        <w:ind w:firstLine="560"/>
      </w:pPr>
      <w:r>
        <w:rPr>
          <w:rFonts w:ascii="Times New Roman" w:hAnsi="Times New Roman"/>
          <w:b/>
          <w:i w:val="0"/>
          <w:sz w:val="26"/>
        </w:rPr>
        <w:t>Điều 31. Chuẩn bị trước khi xét xử</w:t>
      </w:r>
    </w:p>
    <w:p>
      <w:pPr>
        <w:spacing w:after="80"/>
        <w:ind w:firstLine="560"/>
      </w:pPr>
      <w:r>
        <w:rPr>
          <w:rFonts w:ascii="Times New Roman" w:hAnsi="Times New Roman"/>
          <w:b w:val="0"/>
          <w:i w:val="0"/>
          <w:sz w:val="26"/>
        </w:rPr>
        <w:t>Tòa án có thể triệu tập phiên họp trước khi xét xử để bảo đảm việc tổ chức phiên tòa. Việc chuẩn bị hồ sơ xét xử, trách nhiệm và thời hạn nộp hồ sơ được thực hiện theo Quy tắc tố tụng.</w:t>
      </w:r>
    </w:p>
    <w:p>
      <w:pPr>
        <w:spacing w:after="80"/>
        <w:ind w:firstLine="560"/>
      </w:pPr>
      <w:r>
        <w:rPr>
          <w:rFonts w:ascii="Times New Roman" w:hAnsi="Times New Roman"/>
          <w:b/>
          <w:i w:val="0"/>
          <w:sz w:val="26"/>
        </w:rPr>
        <w:t>Điều 32. Phiên tòa sơ thẩm</w:t>
      </w:r>
    </w:p>
    <w:p>
      <w:pPr>
        <w:spacing w:after="80"/>
        <w:ind w:firstLine="560"/>
      </w:pPr>
      <w:r>
        <w:rPr>
          <w:rFonts w:ascii="Times New Roman" w:hAnsi="Times New Roman"/>
          <w:b w:val="0"/>
          <w:i w:val="0"/>
          <w:sz w:val="26"/>
        </w:rPr>
        <w:t>Phiên tòa xét xử được tiến hành công khai. Trường hợp cần giữ bí mật nhà nước, bí mật kinh doanh, bí mật dữ liệu cá nhân, bí mật nghề nghiệp hoặc bảo vệ người chưa thành niên, Tòa án có thể xét xử kín theo yêu cầu chính đáng của các bên.</w:t>
      </w:r>
    </w:p>
    <w:p>
      <w:pPr>
        <w:spacing w:after="80"/>
        <w:ind w:firstLine="560"/>
      </w:pPr>
      <w:r>
        <w:rPr>
          <w:rFonts w:ascii="Times New Roman" w:hAnsi="Times New Roman"/>
          <w:b w:val="0"/>
          <w:i w:val="0"/>
          <w:sz w:val="26"/>
        </w:rPr>
        <w:t>Thẩm phán điều hành phiên tòa bảo đảm tính công bằng, nhanh chóng, hiệu quả và khả năng tiếp cận từ xa trong trường hợp cần thiết.</w:t>
      </w:r>
    </w:p>
    <w:p>
      <w:pPr>
        <w:spacing w:after="80"/>
        <w:ind w:firstLine="560"/>
      </w:pPr>
      <w:r>
        <w:rPr>
          <w:rFonts w:ascii="Times New Roman" w:hAnsi="Times New Roman"/>
          <w:b/>
          <w:i w:val="0"/>
          <w:sz w:val="26"/>
        </w:rPr>
        <w:t>Điều 33. Hiệu lực của bản án, quyết định sơ thẩm</w:t>
      </w:r>
    </w:p>
    <w:p>
      <w:pPr>
        <w:spacing w:after="80"/>
        <w:ind w:firstLine="560"/>
      </w:pPr>
      <w:r>
        <w:rPr>
          <w:rFonts w:ascii="Times New Roman" w:hAnsi="Times New Roman"/>
          <w:b w:val="0"/>
          <w:i w:val="0"/>
          <w:sz w:val="26"/>
        </w:rPr>
        <w:t>Bản án, quyết định sơ thẩm của Tòa án chuyên biệt không bị kháng cáo thì có hiệu lực pháp luật. Bản án, quyết định sơ thẩm có thể bị kháng cáo theo Quy tắc tố tụng.</w:t>
      </w:r>
    </w:p>
    <w:p>
      <w:pPr>
        <w:spacing w:after="80"/>
        <w:ind w:firstLine="560"/>
      </w:pPr>
      <w:r>
        <w:rPr>
          <w:rFonts w:ascii="Times New Roman" w:hAnsi="Times New Roman"/>
          <w:b/>
          <w:i w:val="0"/>
          <w:sz w:val="26"/>
        </w:rPr>
        <w:t>Điều 34. Quyền kháng cáo</w:t>
      </w:r>
    </w:p>
    <w:p>
      <w:pPr>
        <w:spacing w:after="80"/>
        <w:ind w:firstLine="560"/>
      </w:pPr>
      <w:r>
        <w:rPr>
          <w:rFonts w:ascii="Times New Roman" w:hAnsi="Times New Roman"/>
          <w:b w:val="0"/>
          <w:i w:val="0"/>
          <w:sz w:val="26"/>
        </w:rPr>
        <w:t>Các bên, người đại diện của các bên, người khác có liên quan đến bản án, quyết định của Tòa án có quyền kháng cáo bản án, quyết định sơ thẩm.</w:t>
      </w:r>
    </w:p>
    <w:p>
      <w:pPr>
        <w:spacing w:after="80"/>
        <w:ind w:firstLine="560"/>
      </w:pPr>
      <w:r>
        <w:rPr>
          <w:rFonts w:ascii="Times New Roman" w:hAnsi="Times New Roman"/>
          <w:b w:val="0"/>
          <w:i w:val="0"/>
          <w:sz w:val="26"/>
        </w:rPr>
        <w:t>Thời hạn kháng cáo bản án, quyết định sơ thẩm là 10 ngày kể từ ngày tuyên án hoặc kể từ ngày nhận được bản án, quyết định.</w:t>
      </w:r>
    </w:p>
    <w:p>
      <w:pPr>
        <w:spacing w:after="80"/>
        <w:ind w:firstLine="560"/>
      </w:pPr>
      <w:r>
        <w:rPr>
          <w:rFonts w:ascii="Times New Roman" w:hAnsi="Times New Roman"/>
          <w:b/>
          <w:i w:val="0"/>
          <w:sz w:val="26"/>
        </w:rPr>
        <w:t>Điều 35. Thủ tục phúc thẩm</w:t>
      </w:r>
    </w:p>
    <w:p>
      <w:pPr>
        <w:spacing w:after="80"/>
        <w:ind w:firstLine="560"/>
      </w:pPr>
      <w:r>
        <w:rPr>
          <w:rFonts w:ascii="Times New Roman" w:hAnsi="Times New Roman"/>
          <w:b w:val="0"/>
          <w:i w:val="0"/>
          <w:sz w:val="26"/>
        </w:rPr>
        <w:t>Sau khi vụ việc đủ điều kiện để xem xét, giải quyết theo thủ tục phúc thẩm, Chánh án Tòa án chuyên biệt thành lập Hội đồng xét xử gồm ba Thẩm phán xét xử.</w:t>
      </w:r>
    </w:p>
    <w:p>
      <w:pPr>
        <w:spacing w:after="80"/>
        <w:ind w:firstLine="560"/>
      </w:pPr>
      <w:r>
        <w:rPr>
          <w:rFonts w:ascii="Times New Roman" w:hAnsi="Times New Roman"/>
          <w:b w:val="0"/>
          <w:i w:val="0"/>
          <w:sz w:val="26"/>
        </w:rPr>
        <w:t>Tòa Phúc thẩm có thẩm quyền giữ nguyên, sửa, hủy và thẩm quyền khác đối với bản án, quyết định của Tòa Sơ thẩm.</w:t>
      </w:r>
    </w:p>
    <w:p>
      <w:pPr>
        <w:spacing w:after="80"/>
        <w:ind w:firstLine="560"/>
      </w:pPr>
      <w:r>
        <w:rPr>
          <w:rFonts w:ascii="Times New Roman" w:hAnsi="Times New Roman"/>
          <w:b/>
          <w:i w:val="0"/>
          <w:sz w:val="26"/>
        </w:rPr>
        <w:t>Điều 36. Thủ tục giải quyết yêu cầu</w:t>
      </w:r>
    </w:p>
    <w:p>
      <w:pPr>
        <w:spacing w:after="80"/>
        <w:ind w:firstLine="560"/>
      </w:pPr>
      <w:r>
        <w:rPr>
          <w:rFonts w:ascii="Times New Roman" w:hAnsi="Times New Roman"/>
          <w:b w:val="0"/>
          <w:i w:val="0"/>
          <w:sz w:val="26"/>
        </w:rPr>
        <w:t>Việc giải quyết yêu cầu quy định tại điểm b và điểm c khoản 1 Điều 13 của Luật này được thực hiện theo quy định tương ứng của Luật này và Quy tắc tố tụng.</w:t>
      </w:r>
    </w:p>
    <w:p>
      <w:pPr>
        <w:jc w:val="center"/>
      </w:pPr>
      <w:r>
        <w:rPr>
          <w:rFonts w:ascii="Times New Roman" w:hAnsi="Times New Roman"/>
          <w:b/>
          <w:i w:val="0"/>
          <w:sz w:val="26"/>
        </w:rPr>
        <w:t>Mục 3</w:t>
      </w:r>
    </w:p>
    <w:p>
      <w:pPr>
        <w:jc w:val="center"/>
      </w:pPr>
      <w:r>
        <w:rPr>
          <w:rFonts w:ascii="Times New Roman" w:hAnsi="Times New Roman"/>
          <w:b/>
          <w:i w:val="0"/>
          <w:sz w:val="26"/>
        </w:rPr>
        <w:t>THI HÀNH BẢN ÁN, QUYẾT ĐỊNH CỦA TÒA ÁN CHUYÊN BIỆT</w:t>
      </w:r>
    </w:p>
    <w:p>
      <w:pPr>
        <w:spacing w:after="80"/>
        <w:ind w:firstLine="560"/>
      </w:pPr>
      <w:r>
        <w:rPr>
          <w:rFonts w:ascii="Times New Roman" w:hAnsi="Times New Roman"/>
          <w:b/>
          <w:i w:val="0"/>
          <w:sz w:val="26"/>
        </w:rPr>
        <w:t>Điều 37. Thẩm quyền ra quyết định thi hành bản án, quyết định</w:t>
      </w:r>
    </w:p>
    <w:p>
      <w:pPr>
        <w:spacing w:after="80"/>
        <w:ind w:firstLine="560"/>
      </w:pPr>
      <w:r>
        <w:rPr>
          <w:rFonts w:ascii="Times New Roman" w:hAnsi="Times New Roman"/>
          <w:b w:val="0"/>
          <w:i w:val="0"/>
          <w:sz w:val="26"/>
        </w:rPr>
        <w:t>Tòa án chuyên biệt có thẩm quyền ra quyết định thi hành các bản án, quyết định đã có hiệu lực pháp luật của Tòa Sơ thẩm và Tòa Phúc thẩm.</w:t>
      </w:r>
    </w:p>
    <w:p>
      <w:pPr>
        <w:spacing w:after="80"/>
        <w:ind w:firstLine="560"/>
      </w:pPr>
      <w:r>
        <w:rPr>
          <w:rFonts w:ascii="Times New Roman" w:hAnsi="Times New Roman"/>
          <w:b/>
          <w:i w:val="0"/>
          <w:sz w:val="26"/>
        </w:rPr>
        <w:t>Điều 38. Quyết định và tổ chức thi hành bản án, quyết định</w:t>
      </w:r>
    </w:p>
    <w:p>
      <w:pPr>
        <w:spacing w:after="80"/>
        <w:ind w:firstLine="560"/>
      </w:pPr>
      <w:r>
        <w:rPr>
          <w:rFonts w:ascii="Times New Roman" w:hAnsi="Times New Roman"/>
          <w:b w:val="0"/>
          <w:i w:val="0"/>
          <w:sz w:val="26"/>
        </w:rPr>
        <w:t>Trong thời hạn 06 năm kể từ ngày bản án, quyết định có hiệu lực pháp luật, bên được thi hành án, bên phải thi hành án có quyền yêu cầu Tòa án chuyên biệt ra quyết định thi hành án.</w:t>
      </w:r>
    </w:p>
    <w:p>
      <w:pPr>
        <w:spacing w:after="80"/>
        <w:ind w:firstLine="560"/>
      </w:pPr>
      <w:r>
        <w:rPr>
          <w:rFonts w:ascii="Times New Roman" w:hAnsi="Times New Roman"/>
          <w:b w:val="0"/>
          <w:i w:val="0"/>
          <w:sz w:val="26"/>
        </w:rPr>
        <w:t>Thẩm phán được phân công thực hiện nhiệm vụ, quyền hạn về thi hành án và tổ chức thi hành bản án, quyết định của Tòa án chuyên biệt.</w:t>
      </w:r>
    </w:p>
    <w:p>
      <w:pPr>
        <w:spacing w:after="80"/>
        <w:ind w:firstLine="560"/>
      </w:pPr>
      <w:r>
        <w:rPr>
          <w:rFonts w:ascii="Times New Roman" w:hAnsi="Times New Roman"/>
          <w:b/>
          <w:i w:val="0"/>
          <w:sz w:val="26"/>
        </w:rPr>
        <w:t>Điều 39. Trách nhiệm của cơ quan, tổ chức, cá nhân trong thi hành bản án, quyết định</w:t>
      </w:r>
    </w:p>
    <w:p>
      <w:pPr>
        <w:spacing w:after="80"/>
        <w:ind w:firstLine="560"/>
      </w:pPr>
      <w:r>
        <w:rPr>
          <w:rFonts w:ascii="Times New Roman" w:hAnsi="Times New Roman"/>
          <w:b w:val="0"/>
          <w:i w:val="0"/>
          <w:sz w:val="26"/>
        </w:rPr>
        <w:t>Cơ quan, tổ chức, cá nhân liên quan có trách nhiệm thực hiện nghiêm chỉnh và kịp thời bản án, quyết định; các quyết định về thi hành án, văn bản, yêu cầu, đề nghị của Tòa án liên quan tới quá trình thi hành án.</w:t>
      </w:r>
    </w:p>
    <w:p>
      <w:pPr>
        <w:jc w:val="center"/>
      </w:pPr>
      <w:r>
        <w:rPr>
          <w:rFonts w:ascii="Times New Roman" w:hAnsi="Times New Roman"/>
          <w:b/>
          <w:i w:val="0"/>
          <w:sz w:val="26"/>
        </w:rPr>
        <w:t>Chương IV</w:t>
      </w:r>
    </w:p>
    <w:p>
      <w:pPr>
        <w:jc w:val="center"/>
      </w:pPr>
      <w:r>
        <w:rPr>
          <w:rFonts w:ascii="Times New Roman" w:hAnsi="Times New Roman"/>
          <w:b/>
          <w:i w:val="0"/>
          <w:sz w:val="26"/>
        </w:rPr>
        <w:t>BẢO ĐẢM HOẠT ĐỘNG CỦA TÒA ÁN CHUYÊN BIỆT</w:t>
      </w:r>
    </w:p>
    <w:p>
      <w:pPr>
        <w:spacing w:after="80"/>
        <w:ind w:firstLine="560"/>
      </w:pPr>
      <w:r>
        <w:rPr>
          <w:rFonts w:ascii="Times New Roman" w:hAnsi="Times New Roman"/>
          <w:b/>
          <w:i w:val="0"/>
          <w:sz w:val="26"/>
        </w:rPr>
        <w:t>Điều 40. Thù lao, tiền lương, phụ cấp và chế độ đãi ngộ khác</w:t>
      </w:r>
    </w:p>
    <w:p>
      <w:pPr>
        <w:spacing w:after="80"/>
        <w:ind w:firstLine="560"/>
      </w:pPr>
      <w:r>
        <w:rPr>
          <w:rFonts w:ascii="Times New Roman" w:hAnsi="Times New Roman"/>
          <w:b w:val="0"/>
          <w:i w:val="0"/>
          <w:sz w:val="26"/>
        </w:rPr>
        <w:t>Nhà nước có chính sách ưu đãi đặc thù về thù lao, tiền lương, phụ cấp và chế độ đãi ngộ khác đối với Thẩm phán, Thư ký Tòa án, công chức khác, người lao động tại Tòa án chuyên biệt.</w:t>
      </w:r>
    </w:p>
    <w:p>
      <w:pPr>
        <w:spacing w:after="80"/>
        <w:ind w:firstLine="560"/>
      </w:pPr>
      <w:r>
        <w:rPr>
          <w:rFonts w:ascii="Times New Roman" w:hAnsi="Times New Roman"/>
          <w:b w:val="0"/>
          <w:i w:val="0"/>
          <w:sz w:val="26"/>
        </w:rPr>
        <w:t>Thù lao, tiền lương, phụ cấp và chế độ đãi ngộ khác cho các đối tượng quy định tại khoản 1 Điều này không thấp hơn chế độ tương ứng áp dụng đối với cán bộ, công chức, viên chức, người hưởng lương, phụ cấp, người lao động làm việc trong cơ quan điều hành, cơ quan giám sát Trung tâm tài chính quốc tế.</w:t>
      </w:r>
    </w:p>
    <w:p>
      <w:pPr>
        <w:spacing w:after="80"/>
        <w:ind w:firstLine="560"/>
      </w:pPr>
      <w:r>
        <w:rPr>
          <w:rFonts w:ascii="Times New Roman" w:hAnsi="Times New Roman"/>
          <w:b w:val="0"/>
          <w:i w:val="0"/>
          <w:sz w:val="26"/>
        </w:rPr>
        <w:t>Chế độ đãi ngộ đối với chuyên viên công nghệ thông tin của Tòa án chuyên biệt được xác định tương xứng với yêu cầu vận hành hệ thống xét xử điện tử.</w:t>
      </w:r>
    </w:p>
    <w:p>
      <w:pPr>
        <w:spacing w:after="80"/>
        <w:ind w:firstLine="560"/>
      </w:pPr>
      <w:r>
        <w:rPr>
          <w:rFonts w:ascii="Times New Roman" w:hAnsi="Times New Roman"/>
          <w:b/>
          <w:i w:val="0"/>
          <w:sz w:val="26"/>
        </w:rPr>
        <w:t>Điều 41. Chế độ đào tạo, bồi dưỡng</w:t>
      </w:r>
    </w:p>
    <w:p>
      <w:pPr>
        <w:spacing w:after="80"/>
        <w:ind w:firstLine="560"/>
      </w:pPr>
      <w:r>
        <w:rPr>
          <w:rFonts w:ascii="Times New Roman" w:hAnsi="Times New Roman"/>
          <w:b w:val="0"/>
          <w:i w:val="0"/>
          <w:sz w:val="26"/>
        </w:rPr>
        <w:t>Nhà nước có chính sách đặc biệt đối với công tác đào tạo, bồi dưỡng Thẩm phán, Thư ký Tòa án, công chức khác, người lao động để đáp ứng yêu cầu giải quyết vụ việc tại Tòa án chuyên biệt.</w:t>
      </w:r>
    </w:p>
    <w:p>
      <w:pPr>
        <w:spacing w:after="80"/>
        <w:ind w:firstLine="560"/>
      </w:pPr>
      <w:r>
        <w:rPr>
          <w:rFonts w:ascii="Times New Roman" w:hAnsi="Times New Roman"/>
          <w:b/>
          <w:i w:val="0"/>
          <w:sz w:val="26"/>
        </w:rPr>
        <w:t>Điều 42. Kinh phí hoạt động, cơ sở vật chất</w:t>
      </w:r>
    </w:p>
    <w:p>
      <w:pPr>
        <w:spacing w:after="80"/>
        <w:ind w:firstLine="560"/>
      </w:pPr>
      <w:r>
        <w:rPr>
          <w:rFonts w:ascii="Times New Roman" w:hAnsi="Times New Roman"/>
          <w:b w:val="0"/>
          <w:i w:val="0"/>
          <w:sz w:val="26"/>
        </w:rPr>
        <w:t>Nhà nước đầu tư cơ sở vật chất, bảo đảm kinh phí, điều kiện hoạt động của Tòa án chuyên biệt. Ngân sách địa phương, Trung tâm tài chính quốc tế hỗ trợ để đầu tư trụ sở, cơ sở vật chất, chế độ đãi ngộ và bảo đảm các điều kiện hoạt động khác.</w:t>
      </w:r>
    </w:p>
    <w:p>
      <w:pPr>
        <w:jc w:val="center"/>
      </w:pPr>
      <w:r>
        <w:rPr>
          <w:rFonts w:ascii="Times New Roman" w:hAnsi="Times New Roman"/>
          <w:b/>
          <w:i w:val="0"/>
          <w:sz w:val="26"/>
        </w:rPr>
        <w:t>Chương V</w:t>
      </w:r>
    </w:p>
    <w:p>
      <w:pPr>
        <w:jc w:val="center"/>
      </w:pPr>
      <w:r>
        <w:rPr>
          <w:rFonts w:ascii="Times New Roman" w:hAnsi="Times New Roman"/>
          <w:b/>
          <w:i w:val="0"/>
          <w:sz w:val="26"/>
        </w:rPr>
        <w:t>ĐIỀU KHOẢN THI HÀNH</w:t>
      </w:r>
    </w:p>
    <w:p>
      <w:pPr>
        <w:spacing w:after="80"/>
        <w:ind w:firstLine="560"/>
      </w:pPr>
      <w:r>
        <w:rPr>
          <w:rFonts w:ascii="Times New Roman" w:hAnsi="Times New Roman"/>
          <w:b/>
          <w:i w:val="0"/>
          <w:sz w:val="26"/>
        </w:rPr>
        <w:t>Điều 43. Sửa đổi, bổ sung luật có liên quan</w:t>
      </w:r>
    </w:p>
    <w:p>
      <w:pPr>
        <w:spacing w:after="80"/>
        <w:ind w:firstLine="560"/>
      </w:pPr>
      <w:r>
        <w:rPr>
          <w:rFonts w:ascii="Times New Roman" w:hAnsi="Times New Roman"/>
          <w:b w:val="0"/>
          <w:i w:val="0"/>
          <w:sz w:val="26"/>
        </w:rPr>
        <w:t>Bãi bỏ khoản 2 Điều 62 của Luật Tổ chức Tòa án nhân dân số 34/2024/QH15 đã được sửa đổi, bổ sung một số điều theo Luật số 81/2025/QH15.</w:t>
      </w:r>
    </w:p>
    <w:p>
      <w:pPr>
        <w:spacing w:after="80"/>
        <w:ind w:firstLine="560"/>
      </w:pPr>
      <w:r>
        <w:rPr>
          <w:rFonts w:ascii="Times New Roman" w:hAnsi="Times New Roman"/>
          <w:b/>
          <w:i w:val="0"/>
          <w:sz w:val="26"/>
        </w:rPr>
        <w:t>Điều 44. Hiệu lực thi hành</w:t>
      </w:r>
    </w:p>
    <w:p>
      <w:pPr>
        <w:spacing w:after="80"/>
        <w:ind w:firstLine="560"/>
      </w:pPr>
      <w:r>
        <w:rPr>
          <w:rFonts w:ascii="Times New Roman" w:hAnsi="Times New Roman"/>
          <w:b w:val="0"/>
          <w:i w:val="0"/>
          <w:sz w:val="26"/>
        </w:rPr>
        <w:t>Luật này có hiệu lực thi hành từ ngày 01 tháng 07 năm 2026.</w:t>
      </w:r>
    </w:p>
    <w:p>
      <w:pPr>
        <w:spacing w:after="80"/>
        <w:ind w:firstLine="560"/>
      </w:pPr>
      <w:r>
        <w:rPr>
          <w:rFonts w:ascii="Times New Roman" w:hAnsi="Times New Roman"/>
          <w:b w:val="0"/>
          <w:i w:val="0"/>
          <w:sz w:val="26"/>
        </w:rPr>
        <w:t>Chính phủ, Tòa án nhân dân tối cao, trong phạm vi nhiệm vụ, quyền hạn của mình, tổ chức thi hành Luật này; ban hành văn bản quy định chi tiết, hướng dẫn thi hành các điều được giao trong Luật này.</w:t>
      </w:r>
    </w:p>
    <w:p>
      <w:pPr>
        <w:spacing w:after="80"/>
        <w:ind w:firstLine="560"/>
      </w:pPr>
      <w:r>
        <w:rPr>
          <w:rFonts w:ascii="Times New Roman" w:hAnsi="Times New Roman"/>
          <w:b/>
          <w:i w:val="0"/>
          <w:sz w:val="26"/>
        </w:rPr>
        <w:t>Điều 45. Điều khoản chuyển tiếp</w:t>
      </w:r>
    </w:p>
    <w:p>
      <w:pPr>
        <w:spacing w:after="80"/>
        <w:ind w:firstLine="560"/>
      </w:pPr>
      <w:r>
        <w:rPr>
          <w:rFonts w:ascii="Times New Roman" w:hAnsi="Times New Roman"/>
          <w:b w:val="0"/>
          <w:i w:val="0"/>
          <w:sz w:val="26"/>
        </w:rPr>
        <w:t>Các vụ việc đã được Tòa án chuyên biệt thụ lý trước ngày Luật này có hiệu lực tiếp tục được giải quyết theo thủ tục đã áp dụng, trừ trường hợp các bên có thỏa thuận áp dụng quy định mới có lợi hơn cho việc giải quyết vụ việc.</w:t>
      </w:r>
    </w:p>
    <w:p>
      <w:pPr>
        <w:spacing w:after="80"/>
        <w:ind w:firstLine="560"/>
      </w:pPr>
      <w:r>
        <w:rPr>
          <w:rFonts w:ascii="Times New Roman" w:hAnsi="Times New Roman"/>
          <w:b w:val="0"/>
          <w:i w:val="0"/>
          <w:sz w:val="26"/>
        </w:rPr>
        <w:t>Tòa án nhân dân tối cao hướng dẫn việc chuyển tiếp dữ liệu, hồ sơ điện tử và phân công Thẩm phán đối với các vụ việc đang giải quyết.</w:t>
      </w:r>
    </w:p>
    <w:p>
      <w:pPr>
        <w:spacing w:after="80"/>
        <w:ind w:firstLine="560"/>
      </w:pPr>
      <w:r>
        <w:rPr>
          <w:rFonts w:ascii="Times New Roman" w:hAnsi="Times New Roman"/>
          <w:b w:val="0"/>
          <w:i/>
          <w:sz w:val="26"/>
        </w:rPr>
        <w:t>Luật này được Quốc hội nước Cộng hòa xã hội chủ nghĩa Việt Nam khóa XV thông qua ngày 11 tháng 12 năm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