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8B0000"/>
          <w:sz w:val="40"/>
          <w:szCs w:val="40"/>
        </w:rPr>
        <w:t xml:space="preserve">Remote Sensing and AI-Based Detection of Marble Slurry Contamination in Khyber Pakhtunkhwa</w:t>
      </w:r>
    </w:p>
    <w:p>
      <w:pPr>
        <w:spacing w:before="200"/>
        <w:jc w:val="center"/>
      </w:pPr>
      <w:r>
        <w:rPr>
          <w:color w:val="2C3E50"/>
          <w:sz w:val="26"/>
          <w:szCs w:val="26"/>
        </w:rPr>
        <w:t xml:space="preserve">A Google Earth Engine–Based Evidence and Monitoring System</w:t>
      </w:r>
    </w:p>
    <w:p>
      <w:pPr>
        <w:spacing w:before="400"/>
        <w:jc w:val="center"/>
      </w:pPr>
      <w:r>
        <w:rPr>
          <w:i/>
          <w:iCs/>
          <w:color w:val="555555"/>
          <w:sz w:val="21"/>
          <w:szCs w:val="21"/>
        </w:rPr>
        <w:t xml:space="preserve">Study Clusters: Peshawar · Shabqadar · Risalpur · Jehangira · Mohmand · Buner</w:t>
      </w:r>
    </w:p>
    <w:p>
      <w:pPr>
        <w:spacing w:before="800"/>
        <w:jc w:val="center"/>
      </w:pPr>
      <w:r>
        <w:rPr>
          <w:color w:val="2C3E50"/>
          <w:sz w:val="22"/>
          <w:szCs w:val="22"/>
        </w:rPr>
        <w:t xml:space="preserve">Project Report</w:t>
      </w:r>
    </w:p>
    <w:p>
      <w:pPr>
        <w:spacing w:before="100"/>
        <w:jc w:val="center"/>
      </w:pPr>
      <w:r>
        <w:rPr>
          <w:color w:val="555555"/>
          <w:sz w:val="21"/>
          <w:szCs w:val="21"/>
        </w:rPr>
        <w:t xml:space="preserve">September 2026</w:t>
      </w:r>
    </w:p>
    <w:p>
      <w:r>
        <w:br w:type="page"/>
      </w:r>
    </w:p>
    <w:p>
      <w:pPr>
        <w:pBdr>
          <w:top w:val="single" w:color="C9A227" w:sz="4"/>
          <w:bottom w:val="single" w:color="C9A227" w:sz="4"/>
          <w:left w:val="single" w:color="C9A227" w:sz="4"/>
          <w:right w:val="single" w:color="C9A227" w:sz="4"/>
        </w:pBdr>
        <w:shd w:fill="FDF3D0" w:val="clear"/>
        <w:spacing w:after="220" w:before="120"/>
      </w:pPr>
      <w:r>
        <w:rPr>
          <w:i/>
          <w:iCs/>
          <w:color w:val="5C4A00"/>
          <w:sz w:val="20"/>
          <w:szCs w:val="20"/>
        </w:rPr>
        <w:t xml:space="preserve">Note on this report: Sections describing the system design, data, and methodology reflect the workflow as implemented. Sections that depend on a completed run of the tool and on field verification (marked “Results and Maps” and the buffer-statistics table) are presented as a reporting template with placeholders, to be populated with the system's actual outputs once a full run has been executed and, where the outputs may inform enforcement action, field-verified. Figures/values should not be treated as final findings until that verification step is complete.</w:t>
      </w:r>
    </w:p>
    <w:p>
      <w:pPr>
        <w:pStyle w:val="Heading1"/>
        <w:pBdr>
          <w:bottom w:val="single" w:color="8B0000" w:sz="6" w:space="4"/>
        </w:pBdr>
        <w:spacing w:after="140" w:before="320"/>
      </w:pPr>
      <w:r>
        <w:rPr>
          <w:b/>
          <w:bCs/>
          <w:color w:val="8B0000"/>
          <w:sz w:val="26"/>
          <w:szCs w:val="26"/>
        </w:rPr>
        <w:t xml:space="preserve">1. Problem Statement</w:t>
      </w:r>
    </w:p>
    <w:p>
      <w:pPr>
        <w:spacing w:after="150" w:line="300"/>
        <w:jc w:val="both"/>
      </w:pPr>
      <w:r>
        <w:rPr>
          <w:sz w:val="21"/>
          <w:szCs w:val="21"/>
        </w:rPr>
        <w:t xml:space="preserve">Marble and granite processing clusters across Khyber Pakhtunkhwa (KP) — concentrated around Peshawar, Shabqadar (Charsadda), Risalpur (Nowshera), Jehangira (Swabi), Mohmand, and Buner — generate large volumes of marble slurry, a wet calcium-carbonate by-product of stone cutting and polishing. Where slurry is not captured and treated, it is commonly discharged onto open ground, into drainage channels, or into nearby streams. Once dried, it forms a hard, largely impermeable crust that suppresses vegetation, degrades soil fertility, and, when washed into watercourses, raises turbidity and can affect downstream irrigation and aquatic habitat.</w:t>
      </w:r>
    </w:p>
    <w:p>
      <w:pPr>
        <w:spacing w:after="150" w:line="300"/>
        <w:jc w:val="both"/>
      </w:pPr>
      <w:r>
        <w:rPr>
          <w:sz w:val="21"/>
          <w:szCs w:val="21"/>
        </w:rPr>
        <w:t xml:space="preserve">Processing units are numerous, dispersed, and frequently informal, which makes manual, field-based monitoring slow and difficult to scale. Environmental authorities currently lack a systematic, repeatable method to (a) screen large areas for candidate slurry-contaminated ground, (b) track whether contamination at a given site is growing or stable over time, and (c) prioritize sites by proximity to sensitive water bodies. This report describes a remote-sensing and machine-learning workflow, built on Google Earth Engine (GEE), intended to close that gap as a first-pass screening tool — one that flags candidate sites for field verification rather than replacing it.</w:t>
      </w:r>
    </w:p>
    <w:p>
      <w:pPr>
        <w:pStyle w:val="Heading1"/>
        <w:pBdr>
          <w:bottom w:val="single" w:color="8B0000" w:sz="6" w:space="4"/>
        </w:pBdr>
        <w:spacing w:after="140" w:before="320"/>
      </w:pPr>
      <w:r>
        <w:rPr>
          <w:b/>
          <w:bCs/>
          <w:color w:val="8B0000"/>
          <w:sz w:val="26"/>
          <w:szCs w:val="26"/>
        </w:rPr>
        <w:t xml:space="preserve">2. Objectives</w:t>
      </w:r>
    </w:p>
    <w:p>
      <w:pPr>
        <w:pStyle w:val="ListParagraph"/>
        <w:numPr>
          <w:ilvl w:val="0"/>
          <w:numId w:val="2"/>
        </w:numPr>
        <w:spacing w:after="90" w:line="280"/>
      </w:pPr>
      <w:r>
        <w:rPr>
          <w:sz w:val="21"/>
          <w:szCs w:val="21"/>
        </w:rPr>
        <w:t xml:space="preserve">Develop a repeatable, cloud-based workflow to detect surface indicators of marble slurry deposition across known processing clusters in KP using Sentinel-2 imagery.</w:t>
      </w:r>
    </w:p>
    <w:p>
      <w:pPr>
        <w:pStyle w:val="ListParagraph"/>
        <w:numPr>
          <w:ilvl w:val="0"/>
          <w:numId w:val="2"/>
        </w:numPr>
        <w:spacing w:after="90" w:line="280"/>
      </w:pPr>
      <w:r>
        <w:rPr>
          <w:sz w:val="21"/>
          <w:szCs w:val="21"/>
        </w:rPr>
        <w:t xml:space="preserve">Derive spectral indices — NDVI, NDWI, NDBI, and a custom Slurry Index — to characterize land cover and surface condition around each processing site.</w:t>
      </w:r>
    </w:p>
    <w:p>
      <w:pPr>
        <w:pStyle w:val="ListParagraph"/>
        <w:numPr>
          <w:ilvl w:val="0"/>
          <w:numId w:val="2"/>
        </w:numPr>
        <w:spacing w:after="90" w:line="280"/>
      </w:pPr>
      <w:r>
        <w:rPr>
          <w:sz w:val="21"/>
          <w:szCs w:val="21"/>
        </w:rPr>
        <w:t xml:space="preserve">Apply a supervised Random Forest classifier to independently corroborate index-based hotspot detection through image classification.</w:t>
      </w:r>
    </w:p>
    <w:p>
      <w:pPr>
        <w:pStyle w:val="ListParagraph"/>
        <w:numPr>
          <w:ilvl w:val="0"/>
          <w:numId w:val="2"/>
        </w:numPr>
        <w:spacing w:after="90" w:line="280"/>
      </w:pPr>
      <w:r>
        <w:rPr>
          <w:sz w:val="21"/>
          <w:szCs w:val="21"/>
        </w:rPr>
        <w:t xml:space="preserve">Model the multi-year (2018–2026) trend in Slurry Index values on a per-pixel basis to flag sites with an increasing accumulation trajectory.</w:t>
      </w:r>
    </w:p>
    <w:p>
      <w:pPr>
        <w:pStyle w:val="ListParagraph"/>
        <w:numPr>
          <w:ilvl w:val="0"/>
          <w:numId w:val="2"/>
        </w:numPr>
        <w:spacing w:after="90" w:line="280"/>
      </w:pPr>
      <w:r>
        <w:rPr>
          <w:sz w:val="21"/>
          <w:szCs w:val="21"/>
        </w:rPr>
        <w:t xml:space="preserve">Quantify candidate contamination area within regulatory-relevant buffer distances (100 m stream buffer; 500 m environmental buffer) of each site.</w:t>
      </w:r>
    </w:p>
    <w:p>
      <w:pPr>
        <w:pStyle w:val="ListParagraph"/>
        <w:numPr>
          <w:ilvl w:val="0"/>
          <w:numId w:val="2"/>
        </w:numPr>
        <w:spacing w:after="90" w:line="280"/>
      </w:pPr>
      <w:r>
        <w:rPr>
          <w:sz w:val="21"/>
          <w:szCs w:val="21"/>
        </w:rPr>
        <w:t xml:space="preserve">Deliver the workflow as an interactive web application (Earth Engine App) so non-technical stakeholders can browse layers, inspect time-series trends, and export outputs.</w:t>
      </w:r>
    </w:p>
    <w:p>
      <w:pPr>
        <w:pStyle w:val="Heading1"/>
        <w:pBdr>
          <w:bottom w:val="single" w:color="8B0000" w:sz="6" w:space="4"/>
        </w:pBdr>
        <w:spacing w:after="140" w:before="320"/>
      </w:pPr>
      <w:r>
        <w:rPr>
          <w:b/>
          <w:bCs/>
          <w:color w:val="8B0000"/>
          <w:sz w:val="26"/>
          <w:szCs w:val="26"/>
        </w:rPr>
        <w:t xml:space="preserve">3. Study Area</w:t>
      </w:r>
    </w:p>
    <w:p>
      <w:pPr>
        <w:spacing w:after="150" w:line="300"/>
        <w:jc w:val="both"/>
      </w:pPr>
      <w:r>
        <w:rPr>
          <w:sz w:val="21"/>
          <w:szCs w:val="21"/>
        </w:rPr>
        <w:t xml:space="preserve">The study covers seven verified marble-processing site clusters across six districts of Khyber Pakhtunkhwa province, Pakistan: Peshawar, Charsadda, Nowshera, Swabi, Mohmand, and Buner. The region spans the Peshawar valley floor and adjoining piedmont/hill terrain toward Mohmand and Buner, and includes areas in proximity to seasonal and perennial watercourses that are potential receptors for slurry runoff. The analysis region of interest (ROI) is defined as the bounding extent of all mapped sites, padded by a 10 km buffer, to provide sufficient contextual imagery around each cluster.</w:t>
      </w:r>
    </w:p>
    <w:p>
      <w:pPr>
        <w:spacing w:after="80" w:before="160"/>
      </w:pPr>
      <w:r>
        <w:rPr>
          <w:b/>
          <w:bCs/>
          <w:color w:val="2C3E50"/>
          <w:sz w:val="22"/>
          <w:szCs w:val="22"/>
        </w:rPr>
        <w:t xml:space="preserve">Table 1. Mapped processing-site clusters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1800"/>
      </w:tblGrid>
      <w:tr>
        <w:trPr>
          <w:tblHeader/>
        </w:trPr>
        <w:tc>
          <w:tcPr>
            <w:tcW w:type="dxa" w:w="2600"/>
            <w:shd w:fill="2C3E50" w:val="clear"/>
            <w:tcMar>
              <w:top w:type="dxa" w:w="60"/>
              <w:left w:type="dxa" w:w="100"/>
              <w:bottom w:type="dxa" w:w="60"/>
              <w:right w:type="dxa" w:w="100"/>
            </w:tcMar>
            <w:vAlign w:val="center"/>
          </w:tcPr>
          <w:p>
            <w:r>
              <w:rPr>
                <w:b/>
                <w:bCs/>
                <w:i w:val="false"/>
                <w:iCs w:val="false"/>
                <w:color w:val="FFFFFF"/>
                <w:sz w:val="19"/>
                <w:szCs w:val="19"/>
              </w:rPr>
              <w:t xml:space="preserve">Site</w:t>
            </w:r>
          </w:p>
        </w:tc>
        <w:tc>
          <w:tcPr>
            <w:tcW w:type="dxa" w:w="2200"/>
            <w:shd w:fill="2C3E50" w:val="clear"/>
            <w:tcMar>
              <w:top w:type="dxa" w:w="60"/>
              <w:left w:type="dxa" w:w="100"/>
              <w:bottom w:type="dxa" w:w="60"/>
              <w:right w:type="dxa" w:w="100"/>
            </w:tcMar>
            <w:vAlign w:val="center"/>
          </w:tcPr>
          <w:p>
            <w:r>
              <w:rPr>
                <w:b/>
                <w:bCs/>
                <w:i w:val="false"/>
                <w:iCs w:val="false"/>
                <w:color w:val="FFFFFF"/>
                <w:sz w:val="19"/>
                <w:szCs w:val="19"/>
              </w:rPr>
              <w:t xml:space="preserve">District</w:t>
            </w:r>
          </w:p>
        </w:tc>
        <w:tc>
          <w:tcPr>
            <w:tcW w:type="dxa" w:w="2200"/>
            <w:shd w:fill="2C3E50" w:val="clear"/>
            <w:tcMar>
              <w:top w:type="dxa" w:w="60"/>
              <w:left w:type="dxa" w:w="100"/>
              <w:bottom w:type="dxa" w:w="60"/>
              <w:right w:type="dxa" w:w="100"/>
            </w:tcMar>
            <w:vAlign w:val="center"/>
          </w:tcPr>
          <w:p>
            <w:r>
              <w:rPr>
                <w:b/>
                <w:bCs/>
                <w:i w:val="false"/>
                <w:iCs w:val="false"/>
                <w:color w:val="FFFFFF"/>
                <w:sz w:val="19"/>
                <w:szCs w:val="19"/>
              </w:rPr>
              <w:t xml:space="preserve">Approx. Coordinates (Lon, Lat)</w:t>
            </w:r>
          </w:p>
        </w:tc>
        <w:tc>
          <w:tcPr>
            <w:tcW w:type="dxa" w:w="1800"/>
            <w:shd w:fill="2C3E50" w:val="clear"/>
            <w:tcMar>
              <w:top w:type="dxa" w:w="60"/>
              <w:left w:type="dxa" w:w="100"/>
              <w:bottom w:type="dxa" w:w="60"/>
              <w:right w:type="dxa" w:w="100"/>
            </w:tcMar>
            <w:vAlign w:val="center"/>
          </w:tcPr>
          <w:p>
            <w:r>
              <w:rPr>
                <w:b/>
                <w:bCs/>
                <w:i w:val="false"/>
                <w:iCs w:val="false"/>
                <w:color w:val="FFFFFF"/>
                <w:sz w:val="19"/>
                <w:szCs w:val="19"/>
              </w:rPr>
              <w:t xml:space="preserve">Notes</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Peshawar Cluster</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Peshawar</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71.4325, 34.0150</w:t>
            </w:r>
          </w:p>
        </w:tc>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Urban-periphery cluster</w:t>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Shabqadar Cluster</w:t>
            </w:r>
          </w:p>
        </w:tc>
        <w:tc>
          <w:tcPr>
            <w:tcW w:type="dxa" w:w="22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Charsadda</w:t>
            </w:r>
          </w:p>
        </w:tc>
        <w:tc>
          <w:tcPr>
            <w:tcW w:type="dxa" w:w="22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71.5610, 34.2140</w:t>
            </w:r>
          </w:p>
        </w:tc>
        <w:tc>
          <w:tcPr>
            <w:tcW w:type="dxa" w:w="1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Includes RF training point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Risalpur Cluster</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Nowshera</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71.9120, 34.0580</w:t>
            </w:r>
          </w:p>
        </w:tc>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Jehangira Cluster</w:t>
            </w:r>
          </w:p>
        </w:tc>
        <w:tc>
          <w:tcPr>
            <w:tcW w:type="dxa" w:w="22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Swabi</w:t>
            </w:r>
          </w:p>
        </w:tc>
        <w:tc>
          <w:tcPr>
            <w:tcW w:type="dxa" w:w="22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72.2150, 33.9620</w:t>
            </w:r>
          </w:p>
        </w:tc>
        <w:tc>
          <w:tcPr>
            <w:tcW w:type="dxa" w:w="1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Near river corridor</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Mohmand Cluster</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Mohmand</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71.4110, 34.3210</w:t>
            </w:r>
          </w:p>
        </w:tc>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Buner Cluster A</w:t>
            </w:r>
          </w:p>
        </w:tc>
        <w:tc>
          <w:tcPr>
            <w:tcW w:type="dxa" w:w="22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Buner</w:t>
            </w:r>
          </w:p>
        </w:tc>
        <w:tc>
          <w:tcPr>
            <w:tcW w:type="dxa" w:w="22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72.3020, 34.5810</w:t>
            </w:r>
          </w:p>
        </w:tc>
        <w:tc>
          <w:tcPr>
            <w:tcW w:type="dxa" w:w="1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Includes RF training point</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Buner Cluster B</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Buner</w:t>
            </w:r>
          </w:p>
        </w:tc>
        <w:tc>
          <w:tcPr>
            <w:tcW w:type="dxa" w:w="2200"/>
            <w:tcMar>
              <w:top w:type="dxa" w:w="60"/>
              <w:left w:type="dxa" w:w="100"/>
              <w:bottom w:type="dxa" w:w="60"/>
              <w:right w:type="dxa" w:w="100"/>
            </w:tcMar>
            <w:vAlign w:val="center"/>
          </w:tcPr>
          <w:p>
            <w:r>
              <w:rPr>
                <w:b w:val="false"/>
                <w:bCs w:val="false"/>
                <w:i w:val="false"/>
                <w:iCs w:val="false"/>
                <w:color w:val="000000"/>
                <w:sz w:val="19"/>
                <w:szCs w:val="19"/>
              </w:rPr>
              <w:t xml:space="preserve">72.3550, 34.6200</w:t>
            </w:r>
          </w:p>
        </w:tc>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Hilly terrain</w:t>
            </w:r>
          </w:p>
        </w:tc>
      </w:tr>
    </w:tbl>
    <w:p>
      <w:pPr>
        <w:pBdr>
          <w:top w:val="single" w:color="C9A227" w:sz="4"/>
          <w:bottom w:val="single" w:color="C9A227" w:sz="4"/>
          <w:left w:val="single" w:color="C9A227" w:sz="4"/>
          <w:right w:val="single" w:color="C9A227" w:sz="4"/>
        </w:pBdr>
        <w:shd w:fill="FDF3D0" w:val="clear"/>
        <w:spacing w:after="220" w:before="120"/>
      </w:pPr>
      <w:r>
        <w:rPr>
          <w:i/>
          <w:iCs/>
          <w:color w:val="5C4A00"/>
          <w:sz w:val="20"/>
          <w:szCs w:val="20"/>
        </w:rPr>
        <w:t xml:space="preserve">The dataset currently contains seven verified site coordinates. Additional informal or unlicensed processing sites almost certainly exist in the region; coordinates for such sites should only be added once independently verified, not estimated, given the evidentiary purpose of this system.</w:t>
      </w:r>
    </w:p>
    <w:p>
      <w:pPr>
        <w:pStyle w:val="Heading1"/>
        <w:pBdr>
          <w:bottom w:val="single" w:color="8B0000" w:sz="6" w:space="4"/>
        </w:pBdr>
        <w:spacing w:after="140" w:before="320"/>
      </w:pPr>
      <w:r>
        <w:rPr>
          <w:b/>
          <w:bCs/>
          <w:color w:val="8B0000"/>
          <w:sz w:val="26"/>
          <w:szCs w:val="26"/>
        </w:rPr>
        <w:t xml:space="preserve">4. Data and Sources</w:t>
      </w:r>
    </w:p>
    <w:p>
      <w:pPr>
        <w:spacing w:after="150" w:line="300"/>
        <w:jc w:val="both"/>
      </w:pPr>
      <w:r>
        <w:rPr>
          <w:sz w:val="21"/>
          <w:szCs w:val="21"/>
        </w:rPr>
        <w:t xml:space="preserve">All imagery is drawn from the Copernicus Sentinel-2 mission via the Google Earth Engine data catalogue. A cloud-filtered, cloud-masked median composite for calendar year 2023 (CLOUDY_PIXEL_PERCENTAGE &lt; 20%) forms the primary basis for spectral index computation and classification; a longer 2018–2026 time series of the same collection supports the multi-year trend model. Site coordinates and land-cover calibration points were manually compiled rather than sourced from an existing government dataset.</w:t>
      </w:r>
    </w:p>
    <w:p>
      <w:pPr>
        <w:spacing w:after="80" w:before="160"/>
      </w:pPr>
      <w:r>
        <w:rPr>
          <w:b/>
          <w:bCs/>
          <w:color w:val="2C3E50"/>
          <w:sz w:val="22"/>
          <w:szCs w:val="22"/>
        </w:rPr>
        <w:t xml:space="preserve">Table 2. Data sources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800"/>
      </w:tblGrid>
      <w:tr>
        <w:trPr>
          <w:tblHeader/>
        </w:trPr>
        <w:tc>
          <w:tcPr>
            <w:tcW w:type="dxa" w:w="2600"/>
            <w:shd w:fill="2C3E50" w:val="clear"/>
            <w:tcMar>
              <w:top w:type="dxa" w:w="60"/>
              <w:left w:type="dxa" w:w="100"/>
              <w:bottom w:type="dxa" w:w="60"/>
              <w:right w:type="dxa" w:w="100"/>
            </w:tcMar>
            <w:vAlign w:val="center"/>
          </w:tcPr>
          <w:p>
            <w:r>
              <w:rPr>
                <w:b/>
                <w:bCs/>
                <w:i w:val="false"/>
                <w:iCs w:val="false"/>
                <w:color w:val="FFFFFF"/>
                <w:sz w:val="19"/>
                <w:szCs w:val="19"/>
              </w:rPr>
              <w:t xml:space="preserve">Dataset</w:t>
            </w:r>
          </w:p>
        </w:tc>
        <w:tc>
          <w:tcPr>
            <w:tcW w:type="dxa" w:w="3400"/>
            <w:shd w:fill="2C3E50" w:val="clear"/>
            <w:tcMar>
              <w:top w:type="dxa" w:w="60"/>
              <w:left w:type="dxa" w:w="100"/>
              <w:bottom w:type="dxa" w:w="60"/>
              <w:right w:type="dxa" w:w="100"/>
            </w:tcMar>
            <w:vAlign w:val="center"/>
          </w:tcPr>
          <w:p>
            <w:r>
              <w:rPr>
                <w:b/>
                <w:bCs/>
                <w:i w:val="false"/>
                <w:iCs w:val="false"/>
                <w:color w:val="FFFFFF"/>
                <w:sz w:val="19"/>
                <w:szCs w:val="19"/>
              </w:rPr>
              <w:t xml:space="preserve">Source / Identifier</w:t>
            </w:r>
          </w:p>
        </w:tc>
        <w:tc>
          <w:tcPr>
            <w:tcW w:type="dxa" w:w="2800"/>
            <w:shd w:fill="2C3E50" w:val="clear"/>
            <w:tcMar>
              <w:top w:type="dxa" w:w="60"/>
              <w:left w:type="dxa" w:w="100"/>
              <w:bottom w:type="dxa" w:w="60"/>
              <w:right w:type="dxa" w:w="100"/>
            </w:tcMar>
            <w:vAlign w:val="center"/>
          </w:tcPr>
          <w:p>
            <w:r>
              <w:rPr>
                <w:b/>
                <w:bCs/>
                <w:i w:val="false"/>
                <w:iCs w:val="false"/>
                <w:color w:val="FFFFFF"/>
                <w:sz w:val="19"/>
                <w:szCs w:val="19"/>
              </w:rPr>
              <w:t xml:space="preserve">Role in Analysis</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Sentinel-2 L2A Surface Reflectance</w:t>
            </w:r>
          </w:p>
        </w:tc>
        <w:tc>
          <w:tcPr>
            <w:tcW w:type="dxa" w:w="3400"/>
            <w:tcMar>
              <w:top w:type="dxa" w:w="60"/>
              <w:left w:type="dxa" w:w="100"/>
              <w:bottom w:type="dxa" w:w="60"/>
              <w:right w:type="dxa" w:w="100"/>
            </w:tcMar>
            <w:vAlign w:val="center"/>
          </w:tcPr>
          <w:p>
            <w:r>
              <w:rPr>
                <w:b w:val="false"/>
                <w:bCs w:val="false"/>
                <w:i w:val="false"/>
                <w:iCs w:val="false"/>
                <w:color w:val="000000"/>
                <w:sz w:val="19"/>
                <w:szCs w:val="19"/>
              </w:rPr>
              <w:t xml:space="preserve">COPERNICUS/S2_SR_HARMONIZED (Google Earth Engine Data Catalog)</w:t>
            </w:r>
          </w:p>
        </w:tc>
        <w:tc>
          <w:tcPr>
            <w:tcW w:type="dxa" w:w="2800"/>
            <w:tcMar>
              <w:top w:type="dxa" w:w="60"/>
              <w:left w:type="dxa" w:w="100"/>
              <w:bottom w:type="dxa" w:w="60"/>
              <w:right w:type="dxa" w:w="100"/>
            </w:tcMar>
            <w:vAlign w:val="center"/>
          </w:tcPr>
          <w:p>
            <w:r>
              <w:rPr>
                <w:b w:val="false"/>
                <w:bCs w:val="false"/>
                <w:i w:val="false"/>
                <w:iCs w:val="false"/>
                <w:color w:val="000000"/>
                <w:sz w:val="19"/>
                <w:szCs w:val="19"/>
              </w:rPr>
              <w:t xml:space="preserve">Primary optical imagery for compositing and index computation</w:t>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Cloud/cirrus mask</w:t>
            </w:r>
          </w:p>
        </w:tc>
        <w:tc>
          <w:tcPr>
            <w:tcW w:type="dxa" w:w="34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Sentinel-2 QA60 band</w:t>
            </w:r>
          </w:p>
        </w:tc>
        <w:tc>
          <w:tcPr>
            <w:tcW w:type="dxa" w:w="2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Removes cloud- and cirrus-affected pixels prior to compositing</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Site location data</w:t>
            </w:r>
          </w:p>
        </w:tc>
        <w:tc>
          <w:tcPr>
            <w:tcW w:type="dxa" w:w="3400"/>
            <w:tcMar>
              <w:top w:type="dxa" w:w="60"/>
              <w:left w:type="dxa" w:w="100"/>
              <w:bottom w:type="dxa" w:w="60"/>
              <w:right w:type="dxa" w:w="100"/>
            </w:tcMar>
            <w:vAlign w:val="center"/>
          </w:tcPr>
          <w:p>
            <w:r>
              <w:rPr>
                <w:b w:val="false"/>
                <w:bCs w:val="false"/>
                <w:i w:val="false"/>
                <w:iCs w:val="false"/>
                <w:color w:val="000000"/>
                <w:sz w:val="19"/>
                <w:szCs w:val="19"/>
              </w:rPr>
              <w:t xml:space="preserve">Manually verified coordinates (desk/field research)</w:t>
            </w:r>
          </w:p>
        </w:tc>
        <w:tc>
          <w:tcPr>
            <w:tcW w:type="dxa" w:w="2800"/>
            <w:tcMar>
              <w:top w:type="dxa" w:w="60"/>
              <w:left w:type="dxa" w:w="100"/>
              <w:bottom w:type="dxa" w:w="60"/>
              <w:right w:type="dxa" w:w="100"/>
            </w:tcMar>
            <w:vAlign w:val="center"/>
          </w:tcPr>
          <w:p>
            <w:r>
              <w:rPr>
                <w:b w:val="false"/>
                <w:bCs w:val="false"/>
                <w:i w:val="false"/>
                <w:iCs w:val="false"/>
                <w:color w:val="000000"/>
                <w:sz w:val="19"/>
                <w:szCs w:val="19"/>
              </w:rPr>
              <w:t xml:space="preserve">Defines processing clusters, buffers, and ROI</w:t>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Land-cover calibration points</w:t>
            </w:r>
          </w:p>
        </w:tc>
        <w:tc>
          <w:tcPr>
            <w:tcW w:type="dxa" w:w="34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Manually selected reference points (7 total)</w:t>
            </w:r>
          </w:p>
        </w:tc>
        <w:tc>
          <w:tcPr>
            <w:tcW w:type="dxa" w:w="2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Training data for Random Forest classifier</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Multi-year image time series</w:t>
            </w:r>
          </w:p>
        </w:tc>
        <w:tc>
          <w:tcPr>
            <w:tcW w:type="dxa" w:w="3400"/>
            <w:tcMar>
              <w:top w:type="dxa" w:w="60"/>
              <w:left w:type="dxa" w:w="100"/>
              <w:bottom w:type="dxa" w:w="60"/>
              <w:right w:type="dxa" w:w="100"/>
            </w:tcMar>
            <w:vAlign w:val="center"/>
          </w:tcPr>
          <w:p>
            <w:r>
              <w:rPr>
                <w:b w:val="false"/>
                <w:bCs w:val="false"/>
                <w:i w:val="false"/>
                <w:iCs w:val="false"/>
                <w:color w:val="000000"/>
                <w:sz w:val="19"/>
                <w:szCs w:val="19"/>
              </w:rPr>
              <w:t xml:space="preserve">COPERNICUS/S2_SR_HARMONIZED, 2018–2026</w:t>
            </w:r>
          </w:p>
        </w:tc>
        <w:tc>
          <w:tcPr>
            <w:tcW w:type="dxa" w:w="2800"/>
            <w:tcMar>
              <w:top w:type="dxa" w:w="60"/>
              <w:left w:type="dxa" w:w="100"/>
              <w:bottom w:type="dxa" w:w="60"/>
              <w:right w:type="dxa" w:w="100"/>
            </w:tcMar>
            <w:vAlign w:val="center"/>
          </w:tcPr>
          <w:p>
            <w:r>
              <w:rPr>
                <w:b w:val="false"/>
                <w:bCs w:val="false"/>
                <w:i w:val="false"/>
                <w:iCs w:val="false"/>
                <w:color w:val="000000"/>
                <w:sz w:val="19"/>
                <w:szCs w:val="19"/>
              </w:rPr>
              <w:t xml:space="preserve">Per-pixel linear trend (accumulation slope) modelling</w:t>
            </w:r>
          </w:p>
        </w:tc>
      </w:tr>
    </w:tbl>
    <w:p>
      <w:pPr>
        <w:pStyle w:val="Heading1"/>
        <w:pBdr>
          <w:bottom w:val="single" w:color="8B0000" w:sz="6" w:space="4"/>
        </w:pBdr>
        <w:spacing w:after="140" w:before="320"/>
      </w:pPr>
      <w:r>
        <w:rPr>
          <w:b/>
          <w:bCs/>
          <w:color w:val="8B0000"/>
          <w:sz w:val="26"/>
          <w:szCs w:val="26"/>
        </w:rPr>
        <w:t xml:space="preserve">5. Methodology</w:t>
      </w:r>
    </w:p>
    <w:p>
      <w:pPr>
        <w:spacing w:after="80" w:before="160"/>
      </w:pPr>
      <w:r>
        <w:rPr>
          <w:b/>
          <w:bCs/>
          <w:color w:val="2C3E50"/>
          <w:sz w:val="22"/>
          <w:szCs w:val="22"/>
        </w:rPr>
        <w:t xml:space="preserve">5.1 Pre-processing</w:t>
      </w:r>
    </w:p>
    <w:p>
      <w:pPr>
        <w:spacing w:after="150" w:line="300"/>
        <w:jc w:val="both"/>
      </w:pPr>
      <w:r>
        <w:rPr>
          <w:sz w:val="21"/>
          <w:szCs w:val="21"/>
        </w:rPr>
        <w:t xml:space="preserve">Sentinel-2 scenes intersecting the ROI for the 2023 calendar year, with less than 20% cloud cover, are cloud- and cirrus-masked using the QA60 bit mask and scaled to surface reflectance. A per-pixel median composite is then generated, which reduces residual cloud, shadow, and transient noise relative to a single scene.</w:t>
      </w:r>
    </w:p>
    <w:p>
      <w:pPr>
        <w:spacing w:after="80" w:before="160"/>
      </w:pPr>
      <w:r>
        <w:rPr>
          <w:b/>
          <w:bCs/>
          <w:color w:val="2C3E50"/>
          <w:sz w:val="22"/>
          <w:szCs w:val="22"/>
        </w:rPr>
        <w:t xml:space="preserve">5.2 Spectral indices</w:t>
      </w:r>
    </w:p>
    <w:p>
      <w:pPr>
        <w:pStyle w:val="ListParagraph"/>
        <w:numPr>
          <w:ilvl w:val="0"/>
          <w:numId w:val="2"/>
        </w:numPr>
        <w:spacing w:after="90" w:line="280"/>
      </w:pPr>
      <w:r>
        <w:rPr>
          <w:sz w:val="21"/>
          <w:szCs w:val="21"/>
        </w:rPr>
        <w:t xml:space="preserve">NDVI (B8, B4) — vegetation vigor; low values indicate sparse or absent vegetation.</w:t>
      </w:r>
    </w:p>
    <w:p>
      <w:pPr>
        <w:pStyle w:val="ListParagraph"/>
        <w:numPr>
          <w:ilvl w:val="0"/>
          <w:numId w:val="2"/>
        </w:numPr>
        <w:spacing w:after="90" w:line="280"/>
      </w:pPr>
      <w:r>
        <w:rPr>
          <w:sz w:val="21"/>
          <w:szCs w:val="21"/>
        </w:rPr>
        <w:t xml:space="preserve">NDWI (B3, B8) — surface water; used to identify and exclude water bodies from the hotspot mask.</w:t>
      </w:r>
    </w:p>
    <w:p>
      <w:pPr>
        <w:pStyle w:val="ListParagraph"/>
        <w:numPr>
          <w:ilvl w:val="0"/>
          <w:numId w:val="2"/>
        </w:numPr>
        <w:spacing w:after="90" w:line="280"/>
      </w:pPr>
      <w:r>
        <w:rPr>
          <w:sz w:val="21"/>
          <w:szCs w:val="21"/>
        </w:rPr>
        <w:t xml:space="preserve">NDBI (B11, B8) — built-up/impervious surface indicator, computed for contextual interpretation.</w:t>
      </w:r>
    </w:p>
    <w:p>
      <w:pPr>
        <w:pStyle w:val="ListParagraph"/>
        <w:numPr>
          <w:ilvl w:val="0"/>
          <w:numId w:val="2"/>
        </w:numPr>
        <w:spacing w:after="90" w:line="280"/>
      </w:pPr>
      <w:r>
        <w:rPr>
          <w:sz w:val="21"/>
          <w:szCs w:val="21"/>
        </w:rPr>
        <w:t xml:space="preserve">Slurry Index, (B11 − B8) / (B11 + B8) — a shortwave-infrared/NIR contrast index used as the primary proxy for dried marble slurry deposits, which are bright in SWIR relative to NIR.</w:t>
      </w:r>
    </w:p>
    <w:p>
      <w:pPr>
        <w:spacing w:after="80" w:before="160"/>
      </w:pPr>
      <w:r>
        <w:rPr>
          <w:b/>
          <w:bCs/>
          <w:color w:val="2C3E50"/>
          <w:sz w:val="22"/>
          <w:szCs w:val="22"/>
        </w:rPr>
        <w:t xml:space="preserve">5.3 Rule-based hotspot detection</w:t>
      </w:r>
    </w:p>
    <w:p>
      <w:pPr>
        <w:spacing w:after="150" w:line="300"/>
        <w:jc w:val="both"/>
      </w:pPr>
      <w:r>
        <w:rPr>
          <w:sz w:val="21"/>
          <w:szCs w:val="21"/>
        </w:rPr>
        <w:t xml:space="preserve">A pixel is flagged as a candidate slurry hotspot where the Slurry Index exceeds 0.15, NDVI is below 0.2 (indicating little to no vegetation), and NDWI is at or below 0.1 (i.e., not classified as open water). The water exclusion reduces false positives from wet slurry ponds or riverbank pixels that can otherwise resemble dried slurry in this index.</w:t>
      </w:r>
    </w:p>
    <w:p>
      <w:pPr>
        <w:spacing w:after="80" w:before="160"/>
      </w:pPr>
      <w:r>
        <w:rPr>
          <w:b/>
          <w:bCs/>
          <w:color w:val="2C3E50"/>
          <w:sz w:val="22"/>
          <w:szCs w:val="22"/>
        </w:rPr>
        <w:t xml:space="preserve">5.4 Machine-learning classification</w:t>
      </w:r>
    </w:p>
    <w:p>
      <w:pPr>
        <w:spacing w:after="150" w:line="300"/>
        <w:jc w:val="both"/>
      </w:pPr>
      <w:r>
        <w:rPr>
          <w:sz w:val="21"/>
          <w:szCs w:val="21"/>
        </w:rPr>
        <w:t xml:space="preserve">A Random Forest classifier (50 trees) is trained on six Sentinel-2 bands (B2, B3, B4, B8, B11, B12) using seven manually labelled calibration points across four classes: slurry, vegetation, water, and bare/built. The trained classifier produces a four-class land-cover map; pixels classified as slurry form an independent “ML-predicted” hotspot layer, which is combined with the rule-based layer (logical AND) to produce a higher-confidence hotspot layer where both methods agree.</w:t>
      </w:r>
    </w:p>
    <w:p>
      <w:pPr>
        <w:spacing w:after="80" w:before="160"/>
      </w:pPr>
      <w:r>
        <w:rPr>
          <w:b/>
          <w:bCs/>
          <w:color w:val="2C3E50"/>
          <w:sz w:val="22"/>
          <w:szCs w:val="22"/>
        </w:rPr>
        <w:t xml:space="preserve">5.5 Multi-year trend / future-risk modelling</w:t>
      </w:r>
    </w:p>
    <w:p>
      <w:pPr>
        <w:spacing w:after="150" w:line="300"/>
        <w:jc w:val="both"/>
      </w:pPr>
      <w:r>
        <w:rPr>
          <w:sz w:val="21"/>
          <w:szCs w:val="21"/>
        </w:rPr>
        <w:t xml:space="preserve">For the 2018–2026 period, each available Sentinel-2 image is reduced to a per-pixel Slurry Index value and paired with its elapsed time (in years) since 1 January 2018. A per-pixel linear regression (least-squares fit) of Slurry Index against time yields a slope image representing the annual rate of change. Pixels with a positive slope above 0.02 per year and a current Slurry Index above 0.1 are flagged as a projected future hotspot, intended to highlight sites where contamination appears to be actively increasing rather than static.</w:t>
      </w:r>
    </w:p>
    <w:p>
      <w:pPr>
        <w:spacing w:after="80" w:before="160"/>
      </w:pPr>
      <w:r>
        <w:rPr>
          <w:b/>
          <w:bCs/>
          <w:color w:val="2C3E50"/>
          <w:sz w:val="22"/>
          <w:szCs w:val="22"/>
        </w:rPr>
        <w:t xml:space="preserve">5.6 Buffer and proximity diagnostics</w:t>
      </w:r>
    </w:p>
    <w:p>
      <w:pPr>
        <w:spacing w:after="150" w:line="300"/>
        <w:jc w:val="both"/>
      </w:pPr>
      <w:r>
        <w:rPr>
          <w:sz w:val="21"/>
          <w:szCs w:val="21"/>
        </w:rPr>
        <w:t xml:space="preserve">Two buffers are generated around each site: a 100 m “critical stream buffer” and a 500 m “environmental risk buffer.” The area of rule-based hotspot pixels falling within each buffer is computed per site using zonal statistics (pixel-area-weighted sum), giving a quantitative proximity-risk figure per site rather than a purely visual buffer outline.</w:t>
      </w:r>
    </w:p>
    <w:p>
      <w:pPr>
        <w:pStyle w:val="Heading1"/>
        <w:pBdr>
          <w:bottom w:val="single" w:color="8B0000" w:sz="6" w:space="4"/>
        </w:pBdr>
        <w:spacing w:after="140" w:before="320"/>
      </w:pPr>
      <w:r>
        <w:rPr>
          <w:b/>
          <w:bCs/>
          <w:color w:val="8B0000"/>
          <w:sz w:val="26"/>
          <w:szCs w:val="26"/>
        </w:rPr>
        <w:t xml:space="preserve">6. System / Application Workflow</w:t>
      </w:r>
    </w:p>
    <w:p>
      <w:pPr>
        <w:spacing w:after="150" w:line="300"/>
        <w:jc w:val="both"/>
      </w:pPr>
      <w:r>
        <w:rPr>
          <w:sz w:val="21"/>
          <w:szCs w:val="21"/>
        </w:rPr>
        <w:t xml:space="preserve">The workflow is implemented end-to-end in Google Earth Engine and deployed as an Earth Engine App so that stakeholders without coding experience can use it through a browser.</w:t>
      </w:r>
    </w:p>
    <w:p>
      <w:pPr>
        <w:spacing w:after="80" w:before="160"/>
      </w:pPr>
      <w:r>
        <w:rPr>
          <w:b/>
          <w:bCs/>
          <w:color w:val="2C3E50"/>
          <w:sz w:val="22"/>
          <w:szCs w:val="22"/>
        </w:rPr>
        <w:t xml:space="preserve">Table 3. Processing pipeline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400"/>
      </w:tblGrid>
      <w:tr>
        <w:trPr>
          <w:tblHeader/>
        </w:trPr>
        <w:tc>
          <w:tcPr>
            <w:tcW w:type="dxa" w:w="1800"/>
            <w:shd w:fill="2C3E50" w:val="clear"/>
            <w:tcMar>
              <w:top w:type="dxa" w:w="60"/>
              <w:left w:type="dxa" w:w="100"/>
              <w:bottom w:type="dxa" w:w="60"/>
              <w:right w:type="dxa" w:w="100"/>
            </w:tcMar>
            <w:vAlign w:val="center"/>
          </w:tcPr>
          <w:p>
            <w:r>
              <w:rPr>
                <w:b/>
                <w:bCs/>
                <w:i w:val="false"/>
                <w:iCs w:val="false"/>
                <w:color w:val="FFFFFF"/>
                <w:sz w:val="19"/>
                <w:szCs w:val="19"/>
              </w:rPr>
              <w:t xml:space="preserve">Stage</w:t>
            </w:r>
          </w:p>
        </w:tc>
        <w:tc>
          <w:tcPr>
            <w:tcW w:type="dxa" w:w="3600"/>
            <w:shd w:fill="2C3E50" w:val="clear"/>
            <w:tcMar>
              <w:top w:type="dxa" w:w="60"/>
              <w:left w:type="dxa" w:w="100"/>
              <w:bottom w:type="dxa" w:w="60"/>
              <w:right w:type="dxa" w:w="100"/>
            </w:tcMar>
            <w:vAlign w:val="center"/>
          </w:tcPr>
          <w:p>
            <w:r>
              <w:rPr>
                <w:b/>
                <w:bCs/>
                <w:i w:val="false"/>
                <w:iCs w:val="false"/>
                <w:color w:val="FFFFFF"/>
                <w:sz w:val="19"/>
                <w:szCs w:val="19"/>
              </w:rPr>
              <w:t xml:space="preserve">Process</w:t>
            </w:r>
          </w:p>
        </w:tc>
        <w:tc>
          <w:tcPr>
            <w:tcW w:type="dxa" w:w="3400"/>
            <w:shd w:fill="2C3E50" w:val="clear"/>
            <w:tcMar>
              <w:top w:type="dxa" w:w="60"/>
              <w:left w:type="dxa" w:w="100"/>
              <w:bottom w:type="dxa" w:w="60"/>
              <w:right w:type="dxa" w:w="100"/>
            </w:tcMar>
            <w:vAlign w:val="center"/>
          </w:tcPr>
          <w:p>
            <w:r>
              <w:rPr>
                <w:b/>
                <w:bCs/>
                <w:i w:val="false"/>
                <w:iCs w:val="false"/>
                <w:color w:val="FFFFFF"/>
                <w:sz w:val="19"/>
                <w:szCs w:val="19"/>
              </w:rPr>
              <w:t xml:space="preserve">Output</w:t>
            </w:r>
          </w:p>
        </w:tc>
      </w:tr>
      <w:tr>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Input</w:t>
            </w:r>
          </w:p>
        </w:tc>
        <w:tc>
          <w:tcPr>
            <w:tcW w:type="dxa" w:w="3600"/>
            <w:tcMar>
              <w:top w:type="dxa" w:w="60"/>
              <w:left w:type="dxa" w:w="100"/>
              <w:bottom w:type="dxa" w:w="60"/>
              <w:right w:type="dxa" w:w="100"/>
            </w:tcMar>
            <w:vAlign w:val="center"/>
          </w:tcPr>
          <w:p>
            <w:r>
              <w:rPr>
                <w:b w:val="false"/>
                <w:bCs w:val="false"/>
                <w:i w:val="false"/>
                <w:iCs w:val="false"/>
                <w:color w:val="000000"/>
                <w:sz w:val="19"/>
                <w:szCs w:val="19"/>
              </w:rPr>
              <w:t xml:space="preserve">Sentinel-2 SR imagery + site coordinates + calibration points</w:t>
            </w:r>
          </w:p>
        </w:tc>
        <w:tc>
          <w:tcPr>
            <w:tcW w:type="dxa" w:w="3400"/>
            <w:tcMar>
              <w:top w:type="dxa" w:w="60"/>
              <w:left w:type="dxa" w:w="100"/>
              <w:bottom w:type="dxa" w:w="60"/>
              <w:right w:type="dxa" w:w="100"/>
            </w:tcMar>
            <w:vAlign w:val="center"/>
          </w:tcPr>
          <w:p>
            <w:r>
              <w:rPr>
                <w:b w:val="false"/>
                <w:bCs w:val="false"/>
                <w:i w:val="false"/>
                <w:iCs w:val="false"/>
                <w:color w:val="000000"/>
                <w:sz w:val="19"/>
                <w:szCs w:val="19"/>
              </w:rPr>
              <w:t xml:space="preserve">Filtered image collection, ROI, training features</w:t>
            </w:r>
          </w:p>
        </w:tc>
      </w:tr>
      <w:tr>
        <w:tc>
          <w:tcPr>
            <w:tcW w:type="dxa" w:w="1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Processing</w:t>
            </w:r>
          </w:p>
        </w:tc>
        <w:tc>
          <w:tcPr>
            <w:tcW w:type="dxa" w:w="3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Cloud masking → median composite → index computation</w:t>
            </w:r>
          </w:p>
        </w:tc>
        <w:tc>
          <w:tcPr>
            <w:tcW w:type="dxa" w:w="34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NDVI, NDWI, NDBI, Slurry Index rasters</w:t>
            </w:r>
          </w:p>
        </w:tc>
      </w:tr>
      <w:tr>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Detection</w:t>
            </w:r>
          </w:p>
        </w:tc>
        <w:tc>
          <w:tcPr>
            <w:tcW w:type="dxa" w:w="3600"/>
            <w:tcMar>
              <w:top w:type="dxa" w:w="60"/>
              <w:left w:type="dxa" w:w="100"/>
              <w:bottom w:type="dxa" w:w="60"/>
              <w:right w:type="dxa" w:w="100"/>
            </w:tcMar>
            <w:vAlign w:val="center"/>
          </w:tcPr>
          <w:p>
            <w:r>
              <w:rPr>
                <w:b w:val="false"/>
                <w:bCs w:val="false"/>
                <w:i w:val="false"/>
                <w:iCs w:val="false"/>
                <w:color w:val="000000"/>
                <w:sz w:val="19"/>
                <w:szCs w:val="19"/>
              </w:rPr>
              <w:t xml:space="preserve">Threshold rule + Random Forest classification</w:t>
            </w:r>
          </w:p>
        </w:tc>
        <w:tc>
          <w:tcPr>
            <w:tcW w:type="dxa" w:w="3400"/>
            <w:tcMar>
              <w:top w:type="dxa" w:w="60"/>
              <w:left w:type="dxa" w:w="100"/>
              <w:bottom w:type="dxa" w:w="60"/>
              <w:right w:type="dxa" w:w="100"/>
            </w:tcMar>
            <w:vAlign w:val="center"/>
          </w:tcPr>
          <w:p>
            <w:r>
              <w:rPr>
                <w:b w:val="false"/>
                <w:bCs w:val="false"/>
                <w:i w:val="false"/>
                <w:iCs w:val="false"/>
                <w:color w:val="000000"/>
                <w:sz w:val="19"/>
                <w:szCs w:val="19"/>
              </w:rPr>
              <w:t xml:space="preserve">Candidate hotspot layer, ML land-cover map, high-confidence layer</w:t>
            </w:r>
          </w:p>
        </w:tc>
      </w:tr>
      <w:tr>
        <w:tc>
          <w:tcPr>
            <w:tcW w:type="dxa" w:w="1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Forecasting</w:t>
            </w:r>
          </w:p>
        </w:tc>
        <w:tc>
          <w:tcPr>
            <w:tcW w:type="dxa" w:w="3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Per-pixel linear trend fit (2018–2026)</w:t>
            </w:r>
          </w:p>
        </w:tc>
        <w:tc>
          <w:tcPr>
            <w:tcW w:type="dxa" w:w="34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Accumulation-slope raster, projected future-hotspot layer</w:t>
            </w:r>
          </w:p>
        </w:tc>
      </w:tr>
      <w:tr>
        <w:tc>
          <w:tcPr>
            <w:tcW w:type="dxa" w:w="1800"/>
            <w:tcMar>
              <w:top w:type="dxa" w:w="60"/>
              <w:left w:type="dxa" w:w="100"/>
              <w:bottom w:type="dxa" w:w="60"/>
              <w:right w:type="dxa" w:w="100"/>
            </w:tcMar>
            <w:vAlign w:val="center"/>
          </w:tcPr>
          <w:p>
            <w:r>
              <w:rPr>
                <w:b w:val="false"/>
                <w:bCs w:val="false"/>
                <w:i w:val="false"/>
                <w:iCs w:val="false"/>
                <w:color w:val="000000"/>
                <w:sz w:val="19"/>
                <w:szCs w:val="19"/>
              </w:rPr>
              <w:t xml:space="preserve">Diagnostics</w:t>
            </w:r>
          </w:p>
        </w:tc>
        <w:tc>
          <w:tcPr>
            <w:tcW w:type="dxa" w:w="3600"/>
            <w:tcMar>
              <w:top w:type="dxa" w:w="60"/>
              <w:left w:type="dxa" w:w="100"/>
              <w:bottom w:type="dxa" w:w="60"/>
              <w:right w:type="dxa" w:w="100"/>
            </w:tcMar>
            <w:vAlign w:val="center"/>
          </w:tcPr>
          <w:p>
            <w:r>
              <w:rPr>
                <w:b w:val="false"/>
                <w:bCs w:val="false"/>
                <w:i w:val="false"/>
                <w:iCs w:val="false"/>
                <w:color w:val="000000"/>
                <w:sz w:val="19"/>
                <w:szCs w:val="19"/>
              </w:rPr>
              <w:t xml:space="preserve">Zonal statistics within 100 m / 500 m buffers</w:t>
            </w:r>
          </w:p>
        </w:tc>
        <w:tc>
          <w:tcPr>
            <w:tcW w:type="dxa" w:w="3400"/>
            <w:tcMar>
              <w:top w:type="dxa" w:w="60"/>
              <w:left w:type="dxa" w:w="100"/>
              <w:bottom w:type="dxa" w:w="60"/>
              <w:right w:type="dxa" w:w="100"/>
            </w:tcMar>
            <w:vAlign w:val="center"/>
          </w:tcPr>
          <w:p>
            <w:r>
              <w:rPr>
                <w:b w:val="false"/>
                <w:bCs w:val="false"/>
                <w:i w:val="false"/>
                <w:iCs w:val="false"/>
                <w:color w:val="000000"/>
                <w:sz w:val="19"/>
                <w:szCs w:val="19"/>
              </w:rPr>
              <w:t xml:space="preserve">Per-site contaminated-area statistics</w:t>
            </w:r>
          </w:p>
        </w:tc>
      </w:tr>
      <w:tr>
        <w:tc>
          <w:tcPr>
            <w:tcW w:type="dxa" w:w="18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Delivery</w:t>
            </w:r>
          </w:p>
        </w:tc>
        <w:tc>
          <w:tcPr>
            <w:tcW w:type="dxa" w:w="3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Earth Engine App: map layers, legend, click-to-chart, export buttons</w:t>
            </w:r>
          </w:p>
        </w:tc>
        <w:tc>
          <w:tcPr>
            <w:tcW w:type="dxa" w:w="34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Interactive web portal; PNG map; GeoTIFF export to Drive</w:t>
            </w:r>
          </w:p>
        </w:tc>
      </w:tr>
    </w:tbl>
    <w:p>
      <w:pPr>
        <w:spacing w:after="80" w:before="160"/>
      </w:pPr>
      <w:r>
        <w:rPr>
          <w:b/>
          <w:bCs/>
          <w:color w:val="2C3E50"/>
          <w:sz w:val="22"/>
          <w:szCs w:val="22"/>
        </w:rPr>
        <w:t xml:space="preserve">6.1 Application interface</w:t>
      </w:r>
    </w:p>
    <w:p>
      <w:pPr>
        <w:pStyle w:val="ListParagraph"/>
        <w:numPr>
          <w:ilvl w:val="0"/>
          <w:numId w:val="2"/>
        </w:numPr>
        <w:spacing w:after="90" w:line="280"/>
      </w:pPr>
      <w:r>
        <w:rPr>
          <w:sz w:val="21"/>
          <w:szCs w:val="21"/>
        </w:rPr>
        <w:t xml:space="preserve">A toggleable map layer stack: natural-colour composite, NDVI, NDWI, Slurry Index, ML land-cover classification, candidate hotspot, high-confidence hotspot, projected future hotspot, and buffer outlines.</w:t>
      </w:r>
    </w:p>
    <w:p>
      <w:pPr>
        <w:pStyle w:val="ListParagraph"/>
        <w:numPr>
          <w:ilvl w:val="0"/>
          <w:numId w:val="2"/>
        </w:numPr>
        <w:spacing w:after="90" w:line="280"/>
      </w:pPr>
      <w:r>
        <w:rPr>
          <w:sz w:val="21"/>
          <w:szCs w:val="21"/>
        </w:rPr>
        <w:t xml:space="preserve">A side panel with a colour-coded legend matching each layer's visualization parameters.</w:t>
      </w:r>
    </w:p>
    <w:p>
      <w:pPr>
        <w:pStyle w:val="ListParagraph"/>
        <w:numPr>
          <w:ilvl w:val="0"/>
          <w:numId w:val="2"/>
        </w:numPr>
        <w:spacing w:after="90" w:line="280"/>
      </w:pPr>
      <w:r>
        <w:rPr>
          <w:sz w:val="21"/>
          <w:szCs w:val="21"/>
        </w:rPr>
        <w:t xml:space="preserve">A “compute buffer risk statistics” control that runs the zonal-statistics diagnostic on demand and reports contaminated area per site.</w:t>
      </w:r>
    </w:p>
    <w:p>
      <w:pPr>
        <w:pStyle w:val="ListParagraph"/>
        <w:numPr>
          <w:ilvl w:val="0"/>
          <w:numId w:val="2"/>
        </w:numPr>
        <w:spacing w:after="90" w:line="280"/>
      </w:pPr>
      <w:r>
        <w:rPr>
          <w:sz w:val="21"/>
          <w:szCs w:val="21"/>
        </w:rPr>
        <w:t xml:space="preserve">A click-to-inspect tool: clicking any point on the map plots a 2018–2026 time series of NDVI and Slurry Index at that location.</w:t>
      </w:r>
    </w:p>
    <w:p>
      <w:pPr>
        <w:pStyle w:val="ListParagraph"/>
        <w:numPr>
          <w:ilvl w:val="0"/>
          <w:numId w:val="2"/>
        </w:numPr>
        <w:spacing w:after="90" w:line="280"/>
      </w:pPr>
      <w:r>
        <w:rPr>
          <w:sz w:val="21"/>
          <w:szCs w:val="21"/>
        </w:rPr>
        <w:t xml:space="preserve">Export controls: a direct PNG/JPEG download link for a composited map image, a GeoTIFF export task to Google Drive (Slurry Index, future-hotspot, and ML classification bands), and a clean print/screenshot view.</w:t>
      </w:r>
    </w:p>
    <w:p>
      <w:pPr>
        <w:pStyle w:val="Heading1"/>
        <w:pBdr>
          <w:bottom w:val="single" w:color="8B0000" w:sz="6" w:space="4"/>
        </w:pBdr>
        <w:spacing w:after="140" w:before="320"/>
      </w:pPr>
      <w:r>
        <w:rPr>
          <w:b/>
          <w:bCs/>
          <w:color w:val="8B0000"/>
          <w:sz w:val="26"/>
          <w:szCs w:val="26"/>
        </w:rPr>
        <w:t xml:space="preserve">7. Results and Maps</w:t>
      </w:r>
    </w:p>
    <w:p>
      <w:pPr>
        <w:pBdr>
          <w:top w:val="single" w:color="C9A227" w:sz="4"/>
          <w:bottom w:val="single" w:color="C9A227" w:sz="4"/>
          <w:left w:val="single" w:color="C9A227" w:sz="4"/>
          <w:right w:val="single" w:color="C9A227" w:sz="4"/>
        </w:pBdr>
        <w:shd w:fill="FDF3D0" w:val="clear"/>
        <w:spacing w:after="220" w:before="120"/>
      </w:pPr>
      <w:r>
        <w:rPr>
          <w:i/>
          <w:iCs/>
          <w:color w:val="5C4A00"/>
          <w:sz w:val="20"/>
          <w:szCs w:val="20"/>
        </w:rPr>
        <w:t xml:space="preserve">Placeholder section. The items below describe the outputs the system is designed to produce. Replace each placeholder with the corresponding screenshot, exported map, or computed value from an actual run of the application, and field-verify before treating any figure as a confirmed finding.</w:t>
      </w:r>
    </w:p>
    <w:p>
      <w:pPr>
        <w:spacing w:after="80" w:before="160"/>
      </w:pPr>
      <w:r>
        <w:rPr>
          <w:b/>
          <w:bCs/>
          <w:color w:val="2C3E50"/>
          <w:sz w:val="22"/>
          <w:szCs w:val="22"/>
        </w:rPr>
        <w:t xml:space="preserve">Figure 1. Natural-colour composite (2023)</w:t>
      </w:r>
    </w:p>
    <w:p>
      <w:pPr>
        <w:spacing w:after="150" w:line="300"/>
        <w:jc w:val="both"/>
      </w:pPr>
      <w:r>
        <w:rPr>
          <w:i/>
          <w:iCs/>
          <w:color w:val="777777"/>
          <w:sz w:val="21"/>
          <w:szCs w:val="21"/>
        </w:rPr>
        <w:t xml:space="preserve">[Insert screenshot of the RGB composite layer over the study ROI.]</w:t>
      </w:r>
    </w:p>
    <w:p>
      <w:pPr>
        <w:spacing w:after="80" w:before="160"/>
      </w:pPr>
      <w:r>
        <w:rPr>
          <w:b/>
          <w:bCs/>
          <w:color w:val="2C3E50"/>
          <w:sz w:val="22"/>
          <w:szCs w:val="22"/>
        </w:rPr>
        <w:t xml:space="preserve">Figure 2. Marble Slurry Index map</w:t>
      </w:r>
    </w:p>
    <w:p>
      <w:pPr>
        <w:spacing w:after="150" w:line="300"/>
        <w:jc w:val="both"/>
      </w:pPr>
      <w:r>
        <w:rPr>
          <w:i/>
          <w:iCs/>
          <w:color w:val="777777"/>
          <w:sz w:val="21"/>
          <w:szCs w:val="21"/>
        </w:rPr>
        <w:t xml:space="preserve">[Insert screenshot of the Slurry Index layer, gray–yellow–red palette.]</w:t>
      </w:r>
    </w:p>
    <w:p>
      <w:pPr>
        <w:spacing w:after="80" w:before="160"/>
      </w:pPr>
      <w:r>
        <w:rPr>
          <w:b/>
          <w:bCs/>
          <w:color w:val="2C3E50"/>
          <w:sz w:val="22"/>
          <w:szCs w:val="22"/>
        </w:rPr>
        <w:t xml:space="preserve">Figure 3. Candidate high-risk hotspot layer with buffers</w:t>
      </w:r>
    </w:p>
    <w:p>
      <w:pPr>
        <w:spacing w:after="150" w:line="300"/>
        <w:jc w:val="both"/>
      </w:pPr>
      <w:r>
        <w:rPr>
          <w:i/>
          <w:iCs/>
          <w:color w:val="777777"/>
          <w:sz w:val="21"/>
          <w:szCs w:val="21"/>
        </w:rPr>
        <w:t xml:space="preserve">[Insert screenshot showing red hotspot pixels with 100 m / 500 m buffer outlines around each site.]</w:t>
      </w:r>
    </w:p>
    <w:p>
      <w:pPr>
        <w:spacing w:after="80" w:before="160"/>
      </w:pPr>
      <w:r>
        <w:rPr>
          <w:b/>
          <w:bCs/>
          <w:color w:val="2C3E50"/>
          <w:sz w:val="22"/>
          <w:szCs w:val="22"/>
        </w:rPr>
        <w:t xml:space="preserve">Figure 4. AI/ML land-cover classification</w:t>
      </w:r>
    </w:p>
    <w:p>
      <w:pPr>
        <w:spacing w:after="150" w:line="300"/>
        <w:jc w:val="both"/>
      </w:pPr>
      <w:r>
        <w:rPr>
          <w:i/>
          <w:iCs/>
          <w:color w:val="777777"/>
          <w:sz w:val="21"/>
          <w:szCs w:val="21"/>
        </w:rPr>
        <w:t xml:space="preserve">[Insert screenshot of the Random Forest classification layer, with resubstitution accuracy value reported from the console.]</w:t>
      </w:r>
    </w:p>
    <w:p>
      <w:pPr>
        <w:spacing w:after="80" w:before="160"/>
      </w:pPr>
      <w:r>
        <w:rPr>
          <w:b/>
          <w:bCs/>
          <w:color w:val="2C3E50"/>
          <w:sz w:val="22"/>
          <w:szCs w:val="22"/>
        </w:rPr>
        <w:t xml:space="preserve">Figure 5. High-confidence hotspot (index and ML agreement)</w:t>
      </w:r>
    </w:p>
    <w:p>
      <w:pPr>
        <w:spacing w:after="150" w:line="300"/>
        <w:jc w:val="both"/>
      </w:pPr>
      <w:r>
        <w:rPr>
          <w:i/>
          <w:iCs/>
          <w:color w:val="777777"/>
          <w:sz w:val="21"/>
          <w:szCs w:val="21"/>
        </w:rPr>
        <w:t xml:space="preserve">[Insert screenshot of the layer where rule-based and ML detections overlap.]</w:t>
      </w:r>
    </w:p>
    <w:p>
      <w:pPr>
        <w:spacing w:after="80" w:before="160"/>
      </w:pPr>
      <w:r>
        <w:rPr>
          <w:b/>
          <w:bCs/>
          <w:color w:val="2C3E50"/>
          <w:sz w:val="22"/>
          <w:szCs w:val="22"/>
        </w:rPr>
        <w:t xml:space="preserve">Figure 6. Projected future hotspot (trend-based)</w:t>
      </w:r>
    </w:p>
    <w:p>
      <w:pPr>
        <w:spacing w:after="150" w:line="300"/>
        <w:jc w:val="both"/>
      </w:pPr>
      <w:r>
        <w:rPr>
          <w:i/>
          <w:iCs/>
          <w:color w:val="777777"/>
          <w:sz w:val="21"/>
          <w:szCs w:val="21"/>
        </w:rPr>
        <w:t xml:space="preserve">[Insert screenshot of the magenta projected-future-hotspot layer.]</w:t>
      </w:r>
    </w:p>
    <w:p>
      <w:pPr>
        <w:spacing w:after="80" w:before="160"/>
      </w:pPr>
      <w:r>
        <w:rPr>
          <w:b/>
          <w:bCs/>
          <w:color w:val="2C3E50"/>
          <w:sz w:val="22"/>
          <w:szCs w:val="22"/>
        </w:rPr>
        <w:t xml:space="preserve">Table 4. Buffer risk statistics (per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shd w:fill="2C3E50" w:val="clear"/>
            <w:tcMar>
              <w:top w:type="dxa" w:w="60"/>
              <w:left w:type="dxa" w:w="100"/>
              <w:bottom w:type="dxa" w:w="60"/>
              <w:right w:type="dxa" w:w="100"/>
            </w:tcMar>
            <w:vAlign w:val="center"/>
          </w:tcPr>
          <w:p>
            <w:r>
              <w:rPr>
                <w:b/>
                <w:bCs/>
                <w:i w:val="false"/>
                <w:iCs w:val="false"/>
                <w:color w:val="FFFFFF"/>
                <w:sz w:val="19"/>
                <w:szCs w:val="19"/>
              </w:rPr>
              <w:t xml:space="preserve">Site</w:t>
            </w:r>
          </w:p>
        </w:tc>
        <w:tc>
          <w:tcPr>
            <w:tcW w:type="dxa" w:w="3213"/>
            <w:shd w:fill="2C3E50" w:val="clear"/>
            <w:tcMar>
              <w:top w:type="dxa" w:w="60"/>
              <w:left w:type="dxa" w:w="100"/>
              <w:bottom w:type="dxa" w:w="60"/>
              <w:right w:type="dxa" w:w="100"/>
            </w:tcMar>
            <w:vAlign w:val="center"/>
          </w:tcPr>
          <w:p>
            <w:r>
              <w:rPr>
                <w:b/>
                <w:bCs/>
                <w:i w:val="false"/>
                <w:iCs w:val="false"/>
                <w:color w:val="FFFFFF"/>
                <w:sz w:val="19"/>
                <w:szCs w:val="19"/>
              </w:rPr>
              <w:t xml:space="preserve">Area within 100 m (m²)</w:t>
            </w:r>
          </w:p>
        </w:tc>
        <w:tc>
          <w:tcPr>
            <w:tcW w:type="dxa" w:w="3213"/>
            <w:shd w:fill="2C3E50" w:val="clear"/>
            <w:tcMar>
              <w:top w:type="dxa" w:w="60"/>
              <w:left w:type="dxa" w:w="100"/>
              <w:bottom w:type="dxa" w:w="60"/>
              <w:right w:type="dxa" w:w="100"/>
            </w:tcMar>
            <w:vAlign w:val="center"/>
          </w:tcPr>
          <w:p>
            <w:r>
              <w:rPr>
                <w:b/>
                <w:bCs/>
                <w:i w:val="false"/>
                <w:iCs w:val="false"/>
                <w:color w:val="FFFFFF"/>
                <w:sz w:val="19"/>
                <w:szCs w:val="19"/>
              </w:rPr>
              <w:t xml:space="preserve">Area within 500 m (m²)</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Peshawar Cluster</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Shabqadar Cluster</w:t>
            </w:r>
          </w:p>
        </w:tc>
        <w:tc>
          <w:tcPr>
            <w:tcW w:type="dxa" w:w="3213"/>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TBD</w:t>
            </w:r>
          </w:p>
        </w:tc>
        <w:tc>
          <w:tcPr>
            <w:tcW w:type="dxa" w:w="3213"/>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TBD</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Risalpur Cluster</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Jehangira Cluster</w:t>
            </w:r>
          </w:p>
        </w:tc>
        <w:tc>
          <w:tcPr>
            <w:tcW w:type="dxa" w:w="3213"/>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TBD</w:t>
            </w:r>
          </w:p>
        </w:tc>
        <w:tc>
          <w:tcPr>
            <w:tcW w:type="dxa" w:w="3213"/>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TBD</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Mohmand Cluster</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r>
      <w:tr>
        <w:tc>
          <w:tcPr>
            <w:tcW w:type="dxa" w:w="2600"/>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Buner Cluster A</w:t>
            </w:r>
          </w:p>
        </w:tc>
        <w:tc>
          <w:tcPr>
            <w:tcW w:type="dxa" w:w="3213"/>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TBD</w:t>
            </w:r>
          </w:p>
        </w:tc>
        <w:tc>
          <w:tcPr>
            <w:tcW w:type="dxa" w:w="3213"/>
            <w:shd w:fill="F2F2F2" w:val="clear"/>
            <w:tcMar>
              <w:top w:type="dxa" w:w="60"/>
              <w:left w:type="dxa" w:w="100"/>
              <w:bottom w:type="dxa" w:w="60"/>
              <w:right w:type="dxa" w:w="100"/>
            </w:tcMar>
            <w:vAlign w:val="center"/>
          </w:tcPr>
          <w:p>
            <w:r>
              <w:rPr>
                <w:b w:val="false"/>
                <w:bCs w:val="false"/>
                <w:i w:val="false"/>
                <w:iCs w:val="false"/>
                <w:color w:val="000000"/>
                <w:sz w:val="19"/>
                <w:szCs w:val="19"/>
              </w:rPr>
              <w:t xml:space="preserve">TBD</w:t>
            </w:r>
          </w:p>
        </w:tc>
      </w:tr>
      <w:tr>
        <w:tc>
          <w:tcPr>
            <w:tcW w:type="dxa" w:w="2600"/>
            <w:tcMar>
              <w:top w:type="dxa" w:w="60"/>
              <w:left w:type="dxa" w:w="100"/>
              <w:bottom w:type="dxa" w:w="60"/>
              <w:right w:type="dxa" w:w="100"/>
            </w:tcMar>
            <w:vAlign w:val="center"/>
          </w:tcPr>
          <w:p>
            <w:r>
              <w:rPr>
                <w:b w:val="false"/>
                <w:bCs w:val="false"/>
                <w:i w:val="false"/>
                <w:iCs w:val="false"/>
                <w:color w:val="000000"/>
                <w:sz w:val="19"/>
                <w:szCs w:val="19"/>
              </w:rPr>
              <w:t xml:space="preserve">Buner Cluster B</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c>
          <w:tcPr>
            <w:tcW w:type="dxa" w:w="3213"/>
            <w:tcMar>
              <w:top w:type="dxa" w:w="60"/>
              <w:left w:type="dxa" w:w="100"/>
              <w:bottom w:type="dxa" w:w="60"/>
              <w:right w:type="dxa" w:w="100"/>
            </w:tcMar>
            <w:vAlign w:val="center"/>
          </w:tcPr>
          <w:p>
            <w:r>
              <w:rPr>
                <w:b w:val="false"/>
                <w:bCs w:val="false"/>
                <w:i w:val="false"/>
                <w:iCs w:val="false"/>
                <w:color w:val="000000"/>
                <w:sz w:val="19"/>
                <w:szCs w:val="19"/>
              </w:rPr>
              <w:t xml:space="preserve">TBD</w:t>
            </w:r>
          </w:p>
        </w:tc>
      </w:tr>
    </w:tbl>
    <w:p>
      <w:pPr>
        <w:spacing w:after="150" w:line="300"/>
        <w:jc w:val="both"/>
      </w:pPr>
      <w:r>
        <w:rPr>
          <w:i/>
          <w:iCs/>
          <w:color w:val="777777"/>
          <w:sz w:val="19"/>
          <w:szCs w:val="19"/>
        </w:rPr>
        <w:t xml:space="preserve">Populate using the “Compute Buffer Risk Statistics” control in the application.</w:t>
      </w:r>
    </w:p>
    <w:p>
      <w:pPr>
        <w:pStyle w:val="Heading1"/>
        <w:pBdr>
          <w:bottom w:val="single" w:color="8B0000" w:sz="6" w:space="4"/>
        </w:pBdr>
        <w:spacing w:after="140" w:before="320"/>
      </w:pPr>
      <w:r>
        <w:rPr>
          <w:b/>
          <w:bCs/>
          <w:color w:val="8B0000"/>
          <w:sz w:val="26"/>
          <w:szCs w:val="26"/>
        </w:rPr>
        <w:t xml:space="preserve">8. Discussion</w:t>
      </w:r>
    </w:p>
    <w:p>
      <w:pPr>
        <w:spacing w:after="150" w:line="300"/>
        <w:jc w:val="both"/>
      </w:pPr>
      <w:r>
        <w:rPr>
          <w:sz w:val="21"/>
          <w:szCs w:val="21"/>
        </w:rPr>
        <w:t xml:space="preserve">The workflow's design rests on combining two largely independent detection approaches — a fixed spectral-index rule and a supervised classifier — on the reasoning that agreement between the two provides more confidence than either alone, while disagreement flags pixels that likely need closer (manual or field) review rather than automatic inclusion or exclusion. The buffer-based statistics are intended to translate raw detected area into a proximity-weighted risk figure that is more directly relevant to stream-protection decisions than an unweighted hotspot count.</w:t>
      </w:r>
    </w:p>
    <w:p>
      <w:pPr>
        <w:spacing w:after="150" w:line="300"/>
        <w:jc w:val="both"/>
      </w:pPr>
      <w:r>
        <w:rPr>
          <w:sz w:val="21"/>
          <w:szCs w:val="21"/>
        </w:rPr>
        <w:t xml:space="preserve">The multi-year trend layer adds a temporal dimension that a single-date snapshot cannot provide: a site with a moderate current Slurry Index but a rising trend may warrant earlier attention than a site with a higher but stable index. However, because the trend is a simple linear fit, it will characterize a site's trajectory reasonably only where accumulation is roughly monotonic; sites with irregular dumping and clearance cycles may not be well described by a single slope value.</w:t>
      </w:r>
    </w:p>
    <w:p>
      <w:pPr>
        <w:spacing w:after="150" w:line="300"/>
        <w:jc w:val="both"/>
      </w:pPr>
      <w:r>
        <w:rPr>
          <w:sz w:val="21"/>
          <w:szCs w:val="21"/>
        </w:rPr>
        <w:t xml:space="preserve">None of the outputs described here should be read as a standalone determination that contamination exists at a given site. They are best used to prioritize a shortlist of locations for field verification, water and soil sampling, or further high-resolution imagery review.</w:t>
      </w:r>
    </w:p>
    <w:p>
      <w:pPr>
        <w:pStyle w:val="Heading1"/>
        <w:pBdr>
          <w:bottom w:val="single" w:color="8B0000" w:sz="6" w:space="4"/>
        </w:pBdr>
        <w:spacing w:after="140" w:before="320"/>
      </w:pPr>
      <w:r>
        <w:rPr>
          <w:b/>
          <w:bCs/>
          <w:color w:val="8B0000"/>
          <w:sz w:val="26"/>
          <w:szCs w:val="26"/>
        </w:rPr>
        <w:t xml:space="preserve">9. Limitations</w:t>
      </w:r>
    </w:p>
    <w:p>
      <w:pPr>
        <w:pStyle w:val="ListParagraph"/>
        <w:numPr>
          <w:ilvl w:val="0"/>
          <w:numId w:val="2"/>
        </w:numPr>
        <w:spacing w:after="90" w:line="280"/>
      </w:pPr>
      <w:r>
        <w:rPr>
          <w:sz w:val="21"/>
          <w:szCs w:val="21"/>
        </w:rPr>
        <w:t xml:space="preserve">The Random Forest classifier is trained on only seven manually selected points (three slurry, two vegetation, one water, one bare/built). Its printed accuracy is resubstitution accuracy — evaluated on its own training data — which is optimistic and not equivalent to independent validation accuracy.</w:t>
      </w:r>
    </w:p>
    <w:p>
      <w:pPr>
        <w:pStyle w:val="ListParagraph"/>
        <w:numPr>
          <w:ilvl w:val="0"/>
          <w:numId w:val="2"/>
        </w:numPr>
        <w:spacing w:after="90" w:line="280"/>
      </w:pPr>
      <w:r>
        <w:rPr>
          <w:sz w:val="21"/>
          <w:szCs w:val="21"/>
        </w:rPr>
        <w:t xml:space="preserve">Spectral thresholds (Slurry Index, NDVI, NDWI cut-offs; trend-slope threshold) are provisional defaults and have not been calibrated against confirmed, field-verified slurry sites.</w:t>
      </w:r>
    </w:p>
    <w:p>
      <w:pPr>
        <w:pStyle w:val="ListParagraph"/>
        <w:numPr>
          <w:ilvl w:val="0"/>
          <w:numId w:val="2"/>
        </w:numPr>
        <w:spacing w:after="90" w:line="280"/>
      </w:pPr>
      <w:r>
        <w:rPr>
          <w:sz w:val="21"/>
          <w:szCs w:val="21"/>
        </w:rPr>
        <w:t xml:space="preserve">Sentinel-2's 10 m spatial resolution limits detection of narrow slurry channels, small dumping sites, and mixed pixels at cluster edges.</w:t>
      </w:r>
    </w:p>
    <w:p>
      <w:pPr>
        <w:pStyle w:val="ListParagraph"/>
        <w:numPr>
          <w:ilvl w:val="0"/>
          <w:numId w:val="2"/>
        </w:numPr>
        <w:spacing w:after="90" w:line="280"/>
      </w:pPr>
      <w:r>
        <w:rPr>
          <w:sz w:val="21"/>
          <w:szCs w:val="21"/>
        </w:rPr>
        <w:t xml:space="preserve">The primary composite uses a single calendar year (2023); slurry's spectral appearance can vary seasonally (wet versus dry state), which a single annual median may not fully capture.</w:t>
      </w:r>
    </w:p>
    <w:p>
      <w:pPr>
        <w:pStyle w:val="ListParagraph"/>
        <w:numPr>
          <w:ilvl w:val="0"/>
          <w:numId w:val="2"/>
        </w:numPr>
        <w:spacing w:after="90" w:line="280"/>
      </w:pPr>
      <w:r>
        <w:rPr>
          <w:sz w:val="21"/>
          <w:szCs w:val="21"/>
        </w:rPr>
        <w:t xml:space="preserve">QA60-based cloud masking can leave residual cloud-edge or shadow contamination that affects index values in a minority of pixels.</w:t>
      </w:r>
    </w:p>
    <w:p>
      <w:pPr>
        <w:pStyle w:val="ListParagraph"/>
        <w:numPr>
          <w:ilvl w:val="0"/>
          <w:numId w:val="2"/>
        </w:numPr>
        <w:spacing w:after="90" w:line="280"/>
      </w:pPr>
      <w:r>
        <w:rPr>
          <w:sz w:val="21"/>
          <w:szCs w:val="21"/>
        </w:rPr>
        <w:t xml:space="preserve">The linear trend model assumes a roughly monotonic accumulation pattern; it may not represent sites with irregular dumping/clearance cycles well.</w:t>
      </w:r>
    </w:p>
    <w:p>
      <w:pPr>
        <w:pStyle w:val="ListParagraph"/>
        <w:numPr>
          <w:ilvl w:val="0"/>
          <w:numId w:val="2"/>
        </w:numPr>
        <w:spacing w:after="90" w:line="280"/>
      </w:pPr>
      <w:r>
        <w:rPr>
          <w:sz w:val="21"/>
          <w:szCs w:val="21"/>
        </w:rPr>
        <w:t xml:space="preserve">Wet slurry and shallow water/wet soil can be spectrally similar; the NDWI-based water exclusion reduces but does not eliminate this confusion at pixel edges.</w:t>
      </w:r>
    </w:p>
    <w:p>
      <w:pPr>
        <w:pStyle w:val="ListParagraph"/>
        <w:numPr>
          <w:ilvl w:val="0"/>
          <w:numId w:val="2"/>
        </w:numPr>
        <w:spacing w:after="90" w:line="280"/>
      </w:pPr>
      <w:r>
        <w:rPr>
          <w:sz w:val="21"/>
          <w:szCs w:val="21"/>
        </w:rPr>
        <w:t xml:space="preserve">The site inventory currently covers seven verified locations across six districts; informal or unlicensed sites outside this inventory are not represented.</w:t>
      </w:r>
    </w:p>
    <w:p>
      <w:pPr>
        <w:pStyle w:val="ListParagraph"/>
        <w:numPr>
          <w:ilvl w:val="0"/>
          <w:numId w:val="2"/>
        </w:numPr>
        <w:spacing w:after="90" w:line="280"/>
      </w:pPr>
      <w:r>
        <w:rPr>
          <w:sz w:val="21"/>
          <w:szCs w:val="21"/>
        </w:rPr>
        <w:t xml:space="preserve">No topographic (terrain shadow/illumination) correction is applied, which can matter in the hillier terrain around Buner and Mohmand.</w:t>
      </w:r>
    </w:p>
    <w:p>
      <w:pPr>
        <w:pStyle w:val="ListParagraph"/>
        <w:numPr>
          <w:ilvl w:val="0"/>
          <w:numId w:val="2"/>
        </w:numPr>
        <w:spacing w:after="90" w:line="280"/>
      </w:pPr>
      <w:r>
        <w:rPr>
          <w:sz w:val="21"/>
          <w:szCs w:val="21"/>
        </w:rPr>
        <w:t xml:space="preserve">The system is a screening tool. It does not establish legal responsibility, discharge volumes, or chain-of-custody evidence on its own; any enforcement or legal use requires independent field verification and sampling.</w:t>
      </w:r>
    </w:p>
    <w:p>
      <w:pPr>
        <w:pStyle w:val="Heading1"/>
        <w:pBdr>
          <w:bottom w:val="single" w:color="8B0000" w:sz="6" w:space="4"/>
        </w:pBdr>
        <w:spacing w:after="140" w:before="320"/>
      </w:pPr>
      <w:r>
        <w:rPr>
          <w:b/>
          <w:bCs/>
          <w:color w:val="8B0000"/>
          <w:sz w:val="26"/>
          <w:szCs w:val="26"/>
        </w:rPr>
        <w:t xml:space="preserve">10. Conclusions and Recommendations</w:t>
      </w:r>
    </w:p>
    <w:p>
      <w:pPr>
        <w:spacing w:after="150" w:line="300"/>
        <w:jc w:val="both"/>
      </w:pPr>
      <w:r>
        <w:rPr>
          <w:sz w:val="21"/>
          <w:szCs w:val="21"/>
        </w:rPr>
        <w:t xml:space="preserve">The workflow described in this report demonstrates a scalable, repeatable, cloud-based approach to screening for marble slurry contamination across dispersed processing clusters in KP, combining rule-based spectral detection, machine-learning classification, and multi-year trend forecasting within a single interactive application. It is best positioned as a first-pass prioritization tool rather than a final evidentiary product in its current form.</w:t>
      </w:r>
    </w:p>
    <w:p>
      <w:pPr>
        <w:spacing w:after="80" w:before="160"/>
      </w:pPr>
      <w:r>
        <w:rPr>
          <w:b/>
          <w:bCs/>
          <w:color w:val="2C3E50"/>
          <w:sz w:val="22"/>
          <w:szCs w:val="22"/>
        </w:rPr>
        <w:t xml:space="preserve">Recommendations</w:t>
      </w:r>
    </w:p>
    <w:p>
      <w:pPr>
        <w:pStyle w:val="ListParagraph"/>
        <w:numPr>
          <w:ilvl w:val="0"/>
          <w:numId w:val="3"/>
        </w:numPr>
        <w:spacing w:after="90" w:line="280"/>
      </w:pPr>
      <w:r>
        <w:rPr>
          <w:sz w:val="21"/>
          <w:szCs w:val="21"/>
        </w:rPr>
        <w:t xml:space="preserve">Expand the classifier's training data with a larger, spatially distributed, field-verified set of reference points per class (aiming for several dozen per class), split into independent training and validation subsets to obtain a genuine accuracy estimate.</w:t>
      </w:r>
    </w:p>
    <w:p>
      <w:pPr>
        <w:pStyle w:val="ListParagraph"/>
        <w:numPr>
          <w:ilvl w:val="0"/>
          <w:numId w:val="3"/>
        </w:numPr>
        <w:spacing w:after="90" w:line="280"/>
      </w:pPr>
      <w:r>
        <w:rPr>
          <w:sz w:val="21"/>
          <w:szCs w:val="21"/>
        </w:rPr>
        <w:t xml:space="preserve">Calibrate the Slurry Index, NDVI/NDWI, and trend-slope thresholds against confirmed field sites before using outputs to prioritize enforcement action.</w:t>
      </w:r>
    </w:p>
    <w:p>
      <w:pPr>
        <w:pStyle w:val="ListParagraph"/>
        <w:numPr>
          <w:ilvl w:val="0"/>
          <w:numId w:val="3"/>
        </w:numPr>
        <w:spacing w:after="90" w:line="280"/>
      </w:pPr>
      <w:r>
        <w:rPr>
          <w:sz w:val="21"/>
          <w:szCs w:val="21"/>
        </w:rPr>
        <w:t xml:space="preserve">Field-verify the top-ranked candidate and high-confidence hotspots — including soil/water sampling where relevant — before relying on them in any regulatory or legal context.</w:t>
      </w:r>
    </w:p>
    <w:p>
      <w:pPr>
        <w:pStyle w:val="ListParagraph"/>
        <w:numPr>
          <w:ilvl w:val="0"/>
          <w:numId w:val="3"/>
        </w:numPr>
        <w:spacing w:after="90" w:line="280"/>
      </w:pPr>
      <w:r>
        <w:rPr>
          <w:sz w:val="21"/>
          <w:szCs w:val="21"/>
        </w:rPr>
        <w:t xml:space="preserve">Consider incorporating higher-resolution commercial imagery (e.g., PlanetScope) for sites where 10 m resolution appears to be masking smaller or narrower dumping features.</w:t>
      </w:r>
    </w:p>
    <w:p>
      <w:pPr>
        <w:pStyle w:val="ListParagraph"/>
        <w:numPr>
          <w:ilvl w:val="0"/>
          <w:numId w:val="3"/>
        </w:numPr>
        <w:spacing w:after="90" w:line="280"/>
      </w:pPr>
      <w:r>
        <w:rPr>
          <w:sz w:val="21"/>
          <w:szCs w:val="21"/>
        </w:rPr>
        <w:t xml:space="preserve">Add seasonal (wet-season and dry-season) composites alongside the annual composite to reduce the risk of missing slurry that is spectrally less distinct at certain times of year.</w:t>
      </w:r>
    </w:p>
    <w:p>
      <w:pPr>
        <w:pStyle w:val="ListParagraph"/>
        <w:numPr>
          <w:ilvl w:val="0"/>
          <w:numId w:val="3"/>
        </w:numPr>
        <w:spacing w:after="90" w:line="280"/>
      </w:pPr>
      <w:r>
        <w:rPr>
          <w:sz w:val="21"/>
          <w:szCs w:val="21"/>
        </w:rPr>
        <w:t xml:space="preserve">Extend the verified site inventory as additional processing locations are confirmed, rather than estimating coordinates.</w:t>
      </w:r>
    </w:p>
    <w:p>
      <w:pPr>
        <w:pStyle w:val="ListParagraph"/>
        <w:numPr>
          <w:ilvl w:val="0"/>
          <w:numId w:val="3"/>
        </w:numPr>
        <w:spacing w:after="90" w:line="280"/>
      </w:pPr>
      <w:r>
        <w:rPr>
          <w:sz w:val="21"/>
          <w:szCs w:val="21"/>
        </w:rPr>
        <w:t xml:space="preserve">Re-run the buffer-risk statistics and trend model on a recurring basis (e.g., annually) to track whether flagged sites are stabilizing, worsening, or being remediated over time.</w:t>
      </w:r>
    </w:p>
    <w:p>
      <w:pPr>
        <w:pStyle w:val="Heading1"/>
        <w:pBdr>
          <w:bottom w:val="single" w:color="8B0000" w:sz="6" w:space="4"/>
        </w:pBdr>
        <w:spacing w:after="140" w:before="320"/>
      </w:pPr>
      <w:r>
        <w:rPr>
          <w:b/>
          <w:bCs/>
          <w:color w:val="8B0000"/>
          <w:sz w:val="26"/>
          <w:szCs w:val="26"/>
        </w:rPr>
        <w:t xml:space="preserve">11. References</w:t>
      </w:r>
    </w:p>
    <w:p>
      <w:pPr>
        <w:spacing w:after="150" w:line="300"/>
        <w:jc w:val="both"/>
      </w:pPr>
      <w:r>
        <w:rPr>
          <w:sz w:val="21"/>
          <w:szCs w:val="21"/>
        </w:rPr>
        <w:t xml:space="preserve">Gorelick, N., Hancher, M., Dixon, M., Ilyushchenko, S., Thau, D., &amp; Moore, R. (2017). Google Earth Engine: Planetary-scale geospatial analysis for everyone. Remote Sensing of Environment, 202, 18–27.</w:t>
      </w:r>
    </w:p>
    <w:p>
      <w:pPr>
        <w:spacing w:after="150" w:line="300"/>
        <w:jc w:val="both"/>
      </w:pPr>
      <w:r>
        <w:rPr>
          <w:sz w:val="21"/>
          <w:szCs w:val="21"/>
        </w:rPr>
        <w:t xml:space="preserve">Breiman, L. (2001). Random forests. Machine Learning, 45(1), 5–32.</w:t>
      </w:r>
    </w:p>
    <w:p>
      <w:pPr>
        <w:spacing w:after="150" w:line="300"/>
        <w:jc w:val="both"/>
      </w:pPr>
      <w:r>
        <w:rPr>
          <w:sz w:val="21"/>
          <w:szCs w:val="21"/>
        </w:rPr>
        <w:t xml:space="preserve">Rouse, J. W., Haas, R. H., Schell, J. A., &amp; Deering, D. W. (1974). Monitoring vegetation systems in the Great Plains with ERTS. NASA Special Publication, 351, 309–317.</w:t>
      </w:r>
    </w:p>
    <w:p>
      <w:pPr>
        <w:spacing w:after="150" w:line="300"/>
        <w:jc w:val="both"/>
      </w:pPr>
      <w:r>
        <w:rPr>
          <w:sz w:val="21"/>
          <w:szCs w:val="21"/>
        </w:rPr>
        <w:t xml:space="preserve">McFeeters, S. K. (1996). The use of the Normalized Difference Water Index (NDWI) in the delineation of open water features. International Journal of Remote Sensing, 17(7), 1425–1432.</w:t>
      </w:r>
    </w:p>
    <w:p>
      <w:pPr>
        <w:spacing w:after="150" w:line="300"/>
        <w:jc w:val="both"/>
      </w:pPr>
      <w:r>
        <w:rPr>
          <w:sz w:val="21"/>
          <w:szCs w:val="21"/>
        </w:rPr>
        <w:t xml:space="preserve">Zha, Y., Gao, J., &amp; Ni, S. (2003). Use of normalized difference built-up index in automatically mapping urban areas from TM imagery. International Journal of Remote Sensing, 24(3), 583–594.</w:t>
      </w:r>
    </w:p>
    <w:p>
      <w:pPr>
        <w:spacing w:after="150" w:line="300"/>
        <w:jc w:val="both"/>
      </w:pPr>
      <w:r>
        <w:rPr>
          <w:sz w:val="21"/>
          <w:szCs w:val="21"/>
        </w:rPr>
        <w:t xml:space="preserve">European Space Agency (ESA). Sentinel-2 User Handbook. Copernicus Programme.</w:t>
      </w:r>
    </w:p>
    <w:p>
      <w:pPr>
        <w:spacing w:after="150" w:line="300"/>
        <w:jc w:val="both"/>
      </w:pPr>
      <w:r>
        <w:rPr>
          <w:sz w:val="21"/>
          <w:szCs w:val="21"/>
        </w:rPr>
        <w:t xml:space="preserve">Google Earth Engine Data Catalog. COPERNICUS/S2_SR_HARMONIZED — Sentinel-2 MSI: MultiSpectral Instrument, Level-2A. developers.google.com/earth-engine/datasets/catalog/COPERNICUS_S2_SR_HARMONIZED</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KP Marble Slurry Evidence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2026-09-08T16:39:05.705Z</dcterms:created>
  <dcterms:modified xsi:type="dcterms:W3CDTF">2026-09-08T16:39:05.718Z</dcterms:modified>
</cp:coreProperties>
</file>

<file path=docProps/custom.xml><?xml version="1.0" encoding="utf-8"?>
<Properties xmlns="http://schemas.openxmlformats.org/officeDocument/2006/custom-properties" xmlns:vt="http://schemas.openxmlformats.org/officeDocument/2006/docPropsVTypes"/>
</file>