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7.3 Core Functionalities Implementation</w:t>
      </w:r>
    </w:p>
    <w:p>
      <w:r>
        <w:rPr>
          <w:b w:val="0"/>
          <w:i w:val="0"/>
        </w:rPr>
        <w:t>This section presents the design, implementation, and evaluation of SemanticEnergy, a local hallucination detection system for large language model (LLM) outputs. The discussion follows a narrative structure: beginning with the theoretical foundations, progressing through dataset construction and probe training, and culminating in the system architecture and integration that delivers real-time hallucination scoring.</w:t>
      </w:r>
    </w:p>
    <w:p>
      <w:pPr>
        <w:pStyle w:val="Heading2"/>
      </w:pPr>
      <w:r>
        <w:t>7.3.1 Foundational Frameworks: Semantic Entropy and Semantic Energy</w:t>
      </w:r>
    </w:p>
    <w:p>
      <w:r>
        <w:rPr>
          <w:b w:val="0"/>
          <w:i w:val="0"/>
        </w:rPr>
        <w:t>The detection of hallucinations in LLM outputs requires a principled measure of model uncertainty. Two complementary frameworks provide this foundation: Semantic Entropy and Semantic Energy.</w:t>
      </w:r>
    </w:p>
    <w:p>
      <w:pPr>
        <w:pStyle w:val="Heading3"/>
      </w:pPr>
      <w:r>
        <w:t>Semantic Entropy</w:t>
      </w:r>
    </w:p>
    <w:p>
      <w:r>
        <w:rPr>
          <w:b w:val="0"/>
          <w:i w:val="0"/>
        </w:rPr>
        <w:t>Semantic Entropy, introduced by Kuhn et al. (2023), measures uncertainty by examining whether a model produces consistent answers across multiple independent generations. The procedure is as follows:</w:t>
      </w:r>
    </w:p>
    <w:p>
      <w:pPr>
        <w:pStyle w:val="ListBullet"/>
      </w:pPr>
      <w:r>
        <w:t>Generate N independent responses to the same prompt (using stochastic sampling).</w:t>
      </w:r>
    </w:p>
    <w:p>
      <w:pPr>
        <w:pStyle w:val="ListBullet"/>
      </w:pPr>
      <w:r>
        <w:t>Cluster the responses by semantic equivalence — grouping answers that convey the same meaning, regardless of exact wording.</w:t>
      </w:r>
    </w:p>
    <w:p>
      <w:pPr>
        <w:pStyle w:val="ListBullet"/>
      </w:pPr>
      <w:r>
        <w:t>Compute the Shannon entropy over the cluster size distribution.</w:t>
      </w:r>
    </w:p>
    <w:p>
      <w:r>
        <w:rPr>
          <w:b w:val="0"/>
          <w:i w:val="0"/>
        </w:rPr>
        <w:t>If all responses converge to a single meaning, entropy is near zero (high certainty). If responses scatter across many distinct meanings, entropy is high (significant uncertainty, elevated hallucination risk).</w:t>
      </w:r>
    </w:p>
    <w:p>
      <w:pPr>
        <w:spacing w:before="120" w:after="120"/>
        <w:jc w:val="center"/>
      </w:pPr>
      <w:r>
        <w:rPr>
          <w:i/>
          <w:sz w:val="22"/>
        </w:rPr>
        <w:t>H = −Σ (|c| / N) · ln(|c| / N)</w:t>
      </w:r>
      <w:r>
        <w:rPr>
          <w:sz w:val="22"/>
        </w:rPr>
        <w:t xml:space="preserve">    (Formula 1)</w:t>
      </w:r>
    </w:p>
    <w:p>
      <w:r>
        <w:rPr>
          <w:b w:val="0"/>
          <w:i/>
        </w:rPr>
        <w:t>where |c| is the number of samples in cluster c, and N is the total number of generated samples.</w:t>
      </w:r>
    </w:p>
    <w:p>
      <w:pPr>
        <w:pStyle w:val="Heading3"/>
      </w:pPr>
      <w:r>
        <w:t>Semantic Energy</w:t>
      </w:r>
    </w:p>
    <w:p>
      <w:r>
        <w:rPr>
          <w:b w:val="0"/>
          <w:i w:val="0"/>
        </w:rPr>
        <w:t>Semantic Energy extends the entropy approach by incorporating token-level logit magnitudes — a measure of how confident the model was about each individual token it generated. The analogy is drawn from statistical mechanics: in a physical system at low temperature, particles settle into a single low-energy state (ordered, certain); at high temperature, they scatter across many states (disordered, uncertain).</w:t>
      </w:r>
    </w:p>
    <w:p>
      <w:r>
        <w:rPr>
          <w:b w:val="0"/>
          <w:i w:val="0"/>
        </w:rPr>
        <w:t>Rather than merely counting how many samples fall into each cluster, Semantic Energy weights each sample by the model's per-token confidence, then aggregates these weights by cluster.</w:t>
      </w:r>
    </w:p>
    <w:p>
      <w:pPr>
        <w:spacing w:before="120" w:after="120"/>
        <w:jc w:val="center"/>
      </w:pPr>
      <w:r>
        <w:rPr>
          <w:i/>
          <w:sz w:val="22"/>
        </w:rPr>
        <w:t>E_i = −(1 / K_i) · Σ ℓ_{i,t}  for t = 1 to K_i</w:t>
      </w:r>
      <w:r>
        <w:rPr>
          <w:sz w:val="22"/>
        </w:rPr>
        <w:t xml:space="preserve">    (Formula 2)</w:t>
      </w:r>
    </w:p>
    <w:p>
      <w:r>
        <w:rPr>
          <w:b w:val="0"/>
          <w:i/>
        </w:rPr>
        <w:t>where ℓ_{i,t} is the raw logit of the chosen token at generation step t for sample i, and K_i is the number of tokens generated. A more negative energy indicates higher token-level confidence.</w:t>
      </w:r>
    </w:p>
    <w:p>
      <w:pPr>
        <w:spacing w:before="120" w:after="120"/>
        <w:jc w:val="center"/>
      </w:pPr>
      <w:r>
        <w:rPr>
          <w:i/>
          <w:sz w:val="22"/>
        </w:rPr>
        <w:t>E_cluster(c) = −Σ E_i  for i ∈ c</w:t>
      </w:r>
      <w:r>
        <w:rPr>
          <w:sz w:val="22"/>
        </w:rPr>
        <w:t xml:space="preserve">    (Formula 3a)</w:t>
      </w:r>
    </w:p>
    <w:p>
      <w:pPr>
        <w:spacing w:before="120" w:after="120"/>
        <w:jc w:val="center"/>
      </w:pPr>
      <w:r>
        <w:rPr>
          <w:i/>
          <w:sz w:val="22"/>
        </w:rPr>
        <w:t>energy_score(c) = E_cluster(c) / Σ E_cluster(c')</w:t>
      </w:r>
      <w:r>
        <w:rPr>
          <w:sz w:val="22"/>
        </w:rPr>
        <w:t xml:space="preserve">    (Formula 3b)</w:t>
      </w:r>
    </w:p>
    <w:p>
      <w:r>
        <w:rPr>
          <w:b w:val="0"/>
          <w:i/>
        </w:rPr>
        <w:t>The final confidence score for the main answer is the normalised energy share of its cluster — a value in [0, 1] where higher indicates greater confidence.</w:t>
      </w:r>
    </w:p>
    <w:p>
      <w:pPr>
        <w:pStyle w:val="Heading3"/>
      </w:pPr>
      <w:r>
        <w:t>Comparison of the Two Frameworks</w:t>
      </w:r>
    </w:p>
    <w:p>
      <w:r>
        <w:rPr>
          <w:i/>
          <w:sz w:val="20"/>
        </w:rPr>
        <w:t>Table 7.1 — Comparison of Semantic Entropy and Semantic Energy frameworks.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Property</w:t>
            </w:r>
          </w:p>
        </w:tc>
        <w:tc>
          <w:tcPr>
            <w:tcW w:type="dxa" w:w="2880"/>
          </w:tcPr>
          <w:p>
            <w:r>
              <w:rPr>
                <w:rFonts w:ascii="Times New Roman" w:hAnsi="Times New Roman"/>
                <w:b/>
                <w:sz w:val="20"/>
              </w:rPr>
              <w:t>Semantic Entropy</w:t>
            </w:r>
          </w:p>
        </w:tc>
        <w:tc>
          <w:tcPr>
            <w:tcW w:type="dxa" w:w="2880"/>
          </w:tcPr>
          <w:p>
            <w:r>
              <w:rPr>
                <w:rFonts w:ascii="Times New Roman" w:hAnsi="Times New Roman"/>
                <w:b/>
                <w:sz w:val="20"/>
              </w:rPr>
              <w:t>Semantic Energy</w:t>
            </w:r>
          </w:p>
        </w:tc>
      </w:tr>
      <w:tr>
        <w:tc>
          <w:tcPr>
            <w:tcW w:type="dxa" w:w="2880"/>
          </w:tcPr>
          <w:p>
            <w:r>
              <w:rPr>
                <w:rFonts w:ascii="Times New Roman" w:hAnsi="Times New Roman"/>
                <w:sz w:val="20"/>
              </w:rPr>
              <w:t>Input signal</w:t>
            </w:r>
          </w:p>
        </w:tc>
        <w:tc>
          <w:tcPr>
            <w:tcW w:type="dxa" w:w="2880"/>
          </w:tcPr>
          <w:p>
            <w:r>
              <w:rPr>
                <w:rFonts w:ascii="Times New Roman" w:hAnsi="Times New Roman"/>
                <w:sz w:val="20"/>
              </w:rPr>
              <w:t>Cluster sizes only</w:t>
            </w:r>
          </w:p>
        </w:tc>
        <w:tc>
          <w:tcPr>
            <w:tcW w:type="dxa" w:w="2880"/>
          </w:tcPr>
          <w:p>
            <w:r>
              <w:rPr>
                <w:rFonts w:ascii="Times New Roman" w:hAnsi="Times New Roman"/>
                <w:sz w:val="20"/>
              </w:rPr>
              <w:t>Cluster sizes and per-token logits</w:t>
            </w:r>
          </w:p>
        </w:tc>
      </w:tr>
      <w:tr>
        <w:tc>
          <w:tcPr>
            <w:tcW w:type="dxa" w:w="2880"/>
          </w:tcPr>
          <w:p>
            <w:r>
              <w:rPr>
                <w:rFonts w:ascii="Times New Roman" w:hAnsi="Times New Roman"/>
                <w:sz w:val="20"/>
              </w:rPr>
              <w:t>Output range</w:t>
            </w:r>
          </w:p>
        </w:tc>
        <w:tc>
          <w:tcPr>
            <w:tcW w:type="dxa" w:w="2880"/>
          </w:tcPr>
          <w:p>
            <w:r>
              <w:rPr>
                <w:rFonts w:ascii="Times New Roman" w:hAnsi="Times New Roman"/>
                <w:sz w:val="20"/>
              </w:rPr>
              <w:t>[0, ln N]</w:t>
            </w:r>
          </w:p>
        </w:tc>
        <w:tc>
          <w:tcPr>
            <w:tcW w:type="dxa" w:w="2880"/>
          </w:tcPr>
          <w:p>
            <w:r>
              <w:rPr>
                <w:rFonts w:ascii="Times New Roman" w:hAnsi="Times New Roman"/>
                <w:sz w:val="20"/>
              </w:rPr>
              <w:t>[0, 1]</w:t>
            </w:r>
          </w:p>
        </w:tc>
      </w:tr>
      <w:tr>
        <w:tc>
          <w:tcPr>
            <w:tcW w:type="dxa" w:w="2880"/>
          </w:tcPr>
          <w:p>
            <w:r>
              <w:rPr>
                <w:rFonts w:ascii="Times New Roman" w:hAnsi="Times New Roman"/>
                <w:sz w:val="20"/>
              </w:rPr>
              <w:t>Orientation</w:t>
            </w:r>
          </w:p>
        </w:tc>
        <w:tc>
          <w:tcPr>
            <w:tcW w:type="dxa" w:w="2880"/>
          </w:tcPr>
          <w:p>
            <w:r>
              <w:rPr>
                <w:rFonts w:ascii="Times New Roman" w:hAnsi="Times New Roman"/>
                <w:sz w:val="20"/>
              </w:rPr>
              <w:t>Higher = more uncertain</w:t>
            </w:r>
          </w:p>
        </w:tc>
        <w:tc>
          <w:tcPr>
            <w:tcW w:type="dxa" w:w="2880"/>
          </w:tcPr>
          <w:p>
            <w:r>
              <w:rPr>
                <w:rFonts w:ascii="Times New Roman" w:hAnsi="Times New Roman"/>
                <w:sz w:val="20"/>
              </w:rPr>
              <w:t>Higher = more confident</w:t>
            </w:r>
          </w:p>
        </w:tc>
      </w:tr>
      <w:tr>
        <w:tc>
          <w:tcPr>
            <w:tcW w:type="dxa" w:w="2880"/>
          </w:tcPr>
          <w:p>
            <w:r>
              <w:rPr>
                <w:rFonts w:ascii="Times New Roman" w:hAnsi="Times New Roman"/>
                <w:sz w:val="20"/>
              </w:rPr>
              <w:t>Sensitive to token quality</w:t>
            </w:r>
          </w:p>
        </w:tc>
        <w:tc>
          <w:tcPr>
            <w:tcW w:type="dxa" w:w="2880"/>
          </w:tcPr>
          <w:p>
            <w:r>
              <w:rPr>
                <w:rFonts w:ascii="Times New Roman" w:hAnsi="Times New Roman"/>
                <w:sz w:val="20"/>
              </w:rPr>
              <w:t>No</w:t>
            </w:r>
          </w:p>
        </w:tc>
        <w:tc>
          <w:tcPr>
            <w:tcW w:type="dxa" w:w="2880"/>
          </w:tcPr>
          <w:p>
            <w:r>
              <w:rPr>
                <w:rFonts w:ascii="Times New Roman" w:hAnsi="Times New Roman"/>
                <w:sz w:val="20"/>
              </w:rPr>
              <w:t>Yes — high-logit tokens increase cluster weight</w:t>
            </w:r>
          </w:p>
        </w:tc>
      </w:tr>
      <w:tr>
        <w:tc>
          <w:tcPr>
            <w:tcW w:type="dxa" w:w="2880"/>
          </w:tcPr>
          <w:p>
            <w:r>
              <w:rPr>
                <w:rFonts w:ascii="Times New Roman" w:hAnsi="Times New Roman"/>
                <w:sz w:val="20"/>
              </w:rPr>
              <w:t>Correlation with correctness</w:t>
            </w:r>
          </w:p>
        </w:tc>
        <w:tc>
          <w:tcPr>
            <w:tcW w:type="dxa" w:w="2880"/>
          </w:tcPr>
          <w:p>
            <w:r>
              <w:rPr>
                <w:rFonts w:ascii="Times New Roman" w:hAnsi="Times New Roman"/>
                <w:sz w:val="20"/>
              </w:rPr>
              <w:t>Negative</w:t>
            </w:r>
          </w:p>
        </w:tc>
        <w:tc>
          <w:tcPr>
            <w:tcW w:type="dxa" w:w="2880"/>
          </w:tcPr>
          <w:p>
            <w:r>
              <w:rPr>
                <w:rFonts w:ascii="Times New Roman" w:hAnsi="Times New Roman"/>
                <w:sz w:val="20"/>
              </w:rPr>
              <w:t>Positive</w:t>
            </w:r>
          </w:p>
        </w:tc>
      </w:tr>
    </w:tbl>
    <w:p/>
    <w:p>
      <w:r>
        <w:rPr>
          <w:b w:val="0"/>
          <w:i w:val="0"/>
        </w:rPr>
        <w:t>Both frameworks share the same clustering step but produce complementary views of model certainty: entropy captures structural uncertainty (how many distinct meanings exist), while energy captures both structural and qualitative uncertainty (how confidently each meaning was produced).</w:t>
      </w:r>
    </w:p>
    <w:p>
      <w:pPr>
        <w:spacing w:before="240" w:after="240"/>
        <w:jc w:val="center"/>
      </w:pPr>
      <w:r>
        <w:rPr>
          <w:i/>
          <w:color w:val="646464"/>
          <w:sz w:val="20"/>
        </w:rPr>
        <w:t>[Figure 7.1 — Process diagram: Five independent generations for a single prompt are passed through pairwise semantic equivalence checking and grouped into clusters. Two parallel teacher signals are computed from the same clustering: the energy teacher aggregates per-token logit magnitudes by cluster, while the entropy teacher computes Shannon entropy over cluster sizes.]</w:t>
      </w:r>
    </w:p>
    <w:p>
      <w:pPr>
        <w:pStyle w:val="Heading2"/>
      </w:pPr>
      <w:r>
        <w:t>7.3.2 The Computational Cost Problem and Motivation for Linear Probes</w:t>
      </w:r>
    </w:p>
    <w:p>
      <w:r>
        <w:rPr>
          <w:b w:val="0"/>
          <w:i w:val="0"/>
        </w:rPr>
        <w:t>The full Semantic Energy pipeline, while theoretically sound, is computationally prohibitive for real-time applications.</w:t>
      </w:r>
    </w:p>
    <w:p>
      <w:r>
        <w:rPr>
          <w:i/>
          <w:sz w:val="20"/>
        </w:rPr>
        <w:t>Table 7.2 — Computational cost breakdown of the full Semantic Energy pipeline.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Operation</w:t>
            </w:r>
          </w:p>
        </w:tc>
        <w:tc>
          <w:tcPr>
            <w:tcW w:type="dxa" w:w="2880"/>
          </w:tcPr>
          <w:p>
            <w:r>
              <w:rPr>
                <w:rFonts w:ascii="Times New Roman" w:hAnsi="Times New Roman"/>
                <w:b/>
                <w:sz w:val="20"/>
              </w:rPr>
              <w:t>Forward Passes</w:t>
            </w:r>
          </w:p>
        </w:tc>
        <w:tc>
          <w:tcPr>
            <w:tcW w:type="dxa" w:w="2880"/>
          </w:tcPr>
          <w:p>
            <w:r>
              <w:rPr>
                <w:rFonts w:ascii="Times New Roman" w:hAnsi="Times New Roman"/>
                <w:b/>
                <w:sz w:val="20"/>
              </w:rPr>
              <w:t>Typical Latency (RTX 3060)</w:t>
            </w:r>
          </w:p>
        </w:tc>
      </w:tr>
      <w:tr>
        <w:tc>
          <w:tcPr>
            <w:tcW w:type="dxa" w:w="2880"/>
          </w:tcPr>
          <w:p>
            <w:r>
              <w:rPr>
                <w:rFonts w:ascii="Times New Roman" w:hAnsi="Times New Roman"/>
                <w:sz w:val="20"/>
              </w:rPr>
              <w:t>Generate N = 5 responses</w:t>
            </w:r>
          </w:p>
        </w:tc>
        <w:tc>
          <w:tcPr>
            <w:tcW w:type="dxa" w:w="2880"/>
          </w:tcPr>
          <w:p>
            <w:r>
              <w:rPr>
                <w:rFonts w:ascii="Times New Roman" w:hAnsi="Times New Roman"/>
                <w:sz w:val="20"/>
              </w:rPr>
              <w:t>5</w:t>
            </w:r>
          </w:p>
        </w:tc>
        <w:tc>
          <w:tcPr>
            <w:tcW w:type="dxa" w:w="2880"/>
          </w:tcPr>
          <w:p>
            <w:r>
              <w:rPr>
                <w:rFonts w:ascii="Times New Roman" w:hAnsi="Times New Roman"/>
                <w:sz w:val="20"/>
              </w:rPr>
              <w:t>~40s</w:t>
            </w:r>
          </w:p>
        </w:tc>
      </w:tr>
      <w:tr>
        <w:tc>
          <w:tcPr>
            <w:tcW w:type="dxa" w:w="2880"/>
          </w:tcPr>
          <w:p>
            <w:r>
              <w:rPr>
                <w:rFonts w:ascii="Times New Roman" w:hAnsi="Times New Roman"/>
                <w:sz w:val="20"/>
              </w:rPr>
              <w:t>Pairwise semantic equivalence checks</w:t>
            </w:r>
          </w:p>
        </w:tc>
        <w:tc>
          <w:tcPr>
            <w:tcW w:type="dxa" w:w="2880"/>
          </w:tcPr>
          <w:p>
            <w:r>
              <w:rPr>
                <w:rFonts w:ascii="Times New Roman" w:hAnsi="Times New Roman"/>
                <w:sz w:val="20"/>
              </w:rPr>
              <w:t>Up to N(N−1)/2 = 10</w:t>
            </w:r>
          </w:p>
        </w:tc>
        <w:tc>
          <w:tcPr>
            <w:tcW w:type="dxa" w:w="2880"/>
          </w:tcPr>
          <w:p>
            <w:r>
              <w:rPr>
                <w:rFonts w:ascii="Times New Roman" w:hAnsi="Times New Roman"/>
                <w:sz w:val="20"/>
              </w:rPr>
              <w:t>~30s</w:t>
            </w:r>
          </w:p>
        </w:tc>
      </w:tr>
      <w:tr>
        <w:tc>
          <w:tcPr>
            <w:tcW w:type="dxa" w:w="2880"/>
          </w:tcPr>
          <w:p>
            <w:r>
              <w:rPr>
                <w:rFonts w:ascii="Times New Roman" w:hAnsi="Times New Roman"/>
                <w:sz w:val="20"/>
              </w:rPr>
              <w:t>Energy and entropy computation</w:t>
            </w:r>
          </w:p>
        </w:tc>
        <w:tc>
          <w:tcPr>
            <w:tcW w:type="dxa" w:w="2880"/>
          </w:tcPr>
          <w:p>
            <w:r>
              <w:rPr>
                <w:rFonts w:ascii="Times New Roman" w:hAnsi="Times New Roman"/>
                <w:sz w:val="20"/>
              </w:rPr>
              <w:t>Arithmetic only</w:t>
            </w:r>
          </w:p>
        </w:tc>
        <w:tc>
          <w:tcPr>
            <w:tcW w:type="dxa" w:w="2880"/>
          </w:tcPr>
          <w:p>
            <w:r>
              <w:rPr>
                <w:rFonts w:ascii="Times New Roman" w:hAnsi="Times New Roman"/>
                <w:sz w:val="20"/>
              </w:rPr>
              <w:t>&lt;1ms</w:t>
            </w:r>
          </w:p>
        </w:tc>
      </w:tr>
      <w:tr>
        <w:tc>
          <w:tcPr>
            <w:tcW w:type="dxa" w:w="2880"/>
          </w:tcPr>
          <w:p>
            <w:r>
              <w:rPr>
                <w:rFonts w:ascii="Times New Roman" w:hAnsi="Times New Roman"/>
                <w:sz w:val="20"/>
              </w:rPr>
              <w:t>Total</w:t>
            </w:r>
          </w:p>
        </w:tc>
        <w:tc>
          <w:tcPr>
            <w:tcW w:type="dxa" w:w="2880"/>
          </w:tcPr>
          <w:p>
            <w:r>
              <w:rPr>
                <w:rFonts w:ascii="Times New Roman" w:hAnsi="Times New Roman"/>
                <w:sz w:val="20"/>
              </w:rPr>
              <w:t>Up to 15</w:t>
            </w:r>
          </w:p>
        </w:tc>
        <w:tc>
          <w:tcPr>
            <w:tcW w:type="dxa" w:w="2880"/>
          </w:tcPr>
          <w:p>
            <w:r>
              <w:rPr>
                <w:rFonts w:ascii="Times New Roman" w:hAnsi="Times New Roman"/>
                <w:sz w:val="20"/>
              </w:rPr>
              <w:t>60–120s</w:t>
            </w:r>
          </w:p>
        </w:tc>
      </w:tr>
    </w:tbl>
    <w:p/>
    <w:p>
      <w:r>
        <w:rPr>
          <w:b w:val="0"/>
          <w:i w:val="0"/>
        </w:rPr>
        <w:t>A 60–120 second latency per query is unacceptable for interactive use. This motivates the central research question of the probe-based approach:</w:t>
      </w:r>
    </w:p>
    <w:p>
      <w:pPr>
        <w:ind w:left="720" w:right="720"/>
      </w:pPr>
      <w:r>
        <w:rPr>
          <w:i/>
        </w:rPr>
        <w:t>Can a single forward pass through the model's internal hidden states predict what the full multi-sample pipeline would have computed?</w:t>
      </w:r>
    </w:p>
    <w:p>
      <w:r>
        <w:rPr>
          <w:b w:val="0"/>
          <w:i w:val="0"/>
        </w:rPr>
        <w:t>The hypothesis rests on a key insight: when an LLM processes a question, its internal representations (hidden states) already encode whether it possesses strong knowledge about the answer. The full pipeline makes this confidence visible through expensive behavioural analysis; a linear probe can learn to read the same signal directly from hidden states, bypassing the multi-sample generation and clustering entirely.</w:t>
      </w:r>
    </w:p>
    <w:p>
      <w:r>
        <w:rPr>
          <w:b w:val="0"/>
          <w:i w:val="0"/>
        </w:rPr>
        <w:t>Two token positions yield two probe families:</w:t>
      </w:r>
    </w:p>
    <w:p>
      <w:pPr>
        <w:pStyle w:val="ListBullet"/>
      </w:pPr>
      <w:r>
        <w:t xml:space="preserve">Token Before Generation (TBG): </w:t>
      </w:r>
    </w:p>
    <w:p>
      <w:pPr>
        <w:ind w:left="720"/>
      </w:pPr>
      <w:r>
        <w:rPr>
          <w:b w:val="0"/>
          <w:i w:val="0"/>
        </w:rPr>
        <w:t>The hidden state at the last prompt token, captured before any answer is generated. This enables pre-generation risk screening.</w:t>
      </w:r>
    </w:p>
    <w:p>
      <w:pPr>
        <w:pStyle w:val="ListBullet"/>
      </w:pPr>
      <w:r>
        <w:t xml:space="preserve">Second-to-Last Token (SLT): </w:t>
      </w:r>
    </w:p>
    <w:p>
      <w:pPr>
        <w:ind w:left="720"/>
      </w:pPr>
      <w:r>
        <w:rPr>
          <w:b w:val="0"/>
          <w:i w:val="0"/>
        </w:rPr>
        <w:t>The hidden state at the second-to-last generated token, captured after an answer has been produced. This enables post-generation confidence scoring with per-sentence granularity.</w:t>
      </w:r>
    </w:p>
    <w:p>
      <w:r>
        <w:rPr>
          <w:b w:val="0"/>
          <w:i w:val="0"/>
        </w:rPr>
        <w:t>Two teacher signals (energy and entropy) combined with two token positions produce a matrix of four probes.</w:t>
      </w:r>
    </w:p>
    <w:p>
      <w:r>
        <w:rPr>
          <w:i/>
          <w:sz w:val="20"/>
        </w:rPr>
        <w:t>Table 7.3 — The four linear probes and their characteristics.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Probe</w:t>
            </w:r>
          </w:p>
        </w:tc>
        <w:tc>
          <w:tcPr>
            <w:tcW w:type="dxa" w:w="1728"/>
          </w:tcPr>
          <w:p>
            <w:r>
              <w:rPr>
                <w:rFonts w:ascii="Times New Roman" w:hAnsi="Times New Roman"/>
                <w:b/>
                <w:sz w:val="20"/>
              </w:rPr>
              <w:t>Token Position</w:t>
            </w:r>
          </w:p>
        </w:tc>
        <w:tc>
          <w:tcPr>
            <w:tcW w:type="dxa" w:w="1728"/>
          </w:tcPr>
          <w:p>
            <w:r>
              <w:rPr>
                <w:rFonts w:ascii="Times New Roman" w:hAnsi="Times New Roman"/>
                <w:b/>
                <w:sz w:val="20"/>
              </w:rPr>
              <w:t>Teacher Signal</w:t>
            </w:r>
          </w:p>
        </w:tc>
        <w:tc>
          <w:tcPr>
            <w:tcW w:type="dxa" w:w="1728"/>
          </w:tcPr>
          <w:p>
            <w:r>
              <w:rPr>
                <w:rFonts w:ascii="Times New Roman" w:hAnsi="Times New Roman"/>
                <w:b/>
                <w:sz w:val="20"/>
              </w:rPr>
              <w:t>Availability</w:t>
            </w:r>
          </w:p>
        </w:tc>
        <w:tc>
          <w:tcPr>
            <w:tcW w:type="dxa" w:w="1728"/>
          </w:tcPr>
          <w:p>
            <w:r>
              <w:rPr>
                <w:rFonts w:ascii="Times New Roman" w:hAnsi="Times New Roman"/>
                <w:b/>
                <w:sz w:val="20"/>
              </w:rPr>
              <w:t>Primary Use Case</w:t>
            </w:r>
          </w:p>
        </w:tc>
      </w:tr>
      <w:tr>
        <w:tc>
          <w:tcPr>
            <w:tcW w:type="dxa" w:w="1728"/>
          </w:tcPr>
          <w:p>
            <w:r>
              <w:rPr>
                <w:rFonts w:ascii="Times New Roman" w:hAnsi="Times New Roman"/>
                <w:sz w:val="20"/>
              </w:rPr>
              <w:t>TBG Energy</w:t>
            </w:r>
          </w:p>
        </w:tc>
        <w:tc>
          <w:tcPr>
            <w:tcW w:type="dxa" w:w="1728"/>
          </w:tcPr>
          <w:p>
            <w:r>
              <w:rPr>
                <w:rFonts w:ascii="Times New Roman" w:hAnsi="Times New Roman"/>
                <w:sz w:val="20"/>
              </w:rPr>
              <w:t>Last prompt token</w:t>
            </w:r>
          </w:p>
        </w:tc>
        <w:tc>
          <w:tcPr>
            <w:tcW w:type="dxa" w:w="1728"/>
          </w:tcPr>
          <w:p>
            <w:r>
              <w:rPr>
                <w:rFonts w:ascii="Times New Roman" w:hAnsi="Times New Roman"/>
                <w:sz w:val="20"/>
              </w:rPr>
              <w:t>Binarised energy score</w:t>
            </w:r>
          </w:p>
        </w:tc>
        <w:tc>
          <w:tcPr>
            <w:tcW w:type="dxa" w:w="1728"/>
          </w:tcPr>
          <w:p>
            <w:r>
              <w:rPr>
                <w:rFonts w:ascii="Times New Roman" w:hAnsi="Times New Roman"/>
                <w:sz w:val="20"/>
              </w:rPr>
              <w:t>Before generation</w:t>
            </w:r>
          </w:p>
        </w:tc>
        <w:tc>
          <w:tcPr>
            <w:tcW w:type="dxa" w:w="1728"/>
          </w:tcPr>
          <w:p>
            <w:r>
              <w:rPr>
                <w:rFonts w:ascii="Times New Roman" w:hAnsi="Times New Roman"/>
                <w:sz w:val="20"/>
              </w:rPr>
              <w:t>Ultra-fast pre-screening</w:t>
            </w:r>
          </w:p>
        </w:tc>
      </w:tr>
      <w:tr>
        <w:tc>
          <w:tcPr>
            <w:tcW w:type="dxa" w:w="1728"/>
          </w:tcPr>
          <w:p>
            <w:r>
              <w:rPr>
                <w:rFonts w:ascii="Times New Roman" w:hAnsi="Times New Roman"/>
                <w:sz w:val="20"/>
              </w:rPr>
              <w:t>TBG Entropy</w:t>
            </w:r>
          </w:p>
        </w:tc>
        <w:tc>
          <w:tcPr>
            <w:tcW w:type="dxa" w:w="1728"/>
          </w:tcPr>
          <w:p>
            <w:r>
              <w:rPr>
                <w:rFonts w:ascii="Times New Roman" w:hAnsi="Times New Roman"/>
                <w:sz w:val="20"/>
              </w:rPr>
              <w:t>Last prompt token</w:t>
            </w:r>
          </w:p>
        </w:tc>
        <w:tc>
          <w:tcPr>
            <w:tcW w:type="dxa" w:w="1728"/>
          </w:tcPr>
          <w:p>
            <w:r>
              <w:rPr>
                <w:rFonts w:ascii="Times New Roman" w:hAnsi="Times New Roman"/>
                <w:sz w:val="20"/>
              </w:rPr>
              <w:t>Binarised entropy score</w:t>
            </w:r>
          </w:p>
        </w:tc>
        <w:tc>
          <w:tcPr>
            <w:tcW w:type="dxa" w:w="1728"/>
          </w:tcPr>
          <w:p>
            <w:r>
              <w:rPr>
                <w:rFonts w:ascii="Times New Roman" w:hAnsi="Times New Roman"/>
                <w:sz w:val="20"/>
              </w:rPr>
              <w:t>Before generation</w:t>
            </w:r>
          </w:p>
        </w:tc>
        <w:tc>
          <w:tcPr>
            <w:tcW w:type="dxa" w:w="1728"/>
          </w:tcPr>
          <w:p>
            <w:r>
              <w:rPr>
                <w:rFonts w:ascii="Times New Roman" w:hAnsi="Times New Roman"/>
                <w:sz w:val="20"/>
              </w:rPr>
              <w:t>Ultra-fast pre-screening</w:t>
            </w:r>
          </w:p>
        </w:tc>
      </w:tr>
      <w:tr>
        <w:tc>
          <w:tcPr>
            <w:tcW w:type="dxa" w:w="1728"/>
          </w:tcPr>
          <w:p>
            <w:r>
              <w:rPr>
                <w:rFonts w:ascii="Times New Roman" w:hAnsi="Times New Roman"/>
                <w:sz w:val="20"/>
              </w:rPr>
              <w:t>SLT Energy</w:t>
            </w:r>
          </w:p>
        </w:tc>
        <w:tc>
          <w:tcPr>
            <w:tcW w:type="dxa" w:w="1728"/>
          </w:tcPr>
          <w:p>
            <w:r>
              <w:rPr>
                <w:rFonts w:ascii="Times New Roman" w:hAnsi="Times New Roman"/>
                <w:sz w:val="20"/>
              </w:rPr>
              <w:t>2nd-to-last generated token</w:t>
            </w:r>
          </w:p>
        </w:tc>
        <w:tc>
          <w:tcPr>
            <w:tcW w:type="dxa" w:w="1728"/>
          </w:tcPr>
          <w:p>
            <w:r>
              <w:rPr>
                <w:rFonts w:ascii="Times New Roman" w:hAnsi="Times New Roman"/>
                <w:sz w:val="20"/>
              </w:rPr>
              <w:t>Binarised energy score</w:t>
            </w:r>
          </w:p>
        </w:tc>
        <w:tc>
          <w:tcPr>
            <w:tcW w:type="dxa" w:w="1728"/>
          </w:tcPr>
          <w:p>
            <w:r>
              <w:rPr>
                <w:rFonts w:ascii="Times New Roman" w:hAnsi="Times New Roman"/>
                <w:sz w:val="20"/>
              </w:rPr>
              <w:t>After generation</w:t>
            </w:r>
          </w:p>
        </w:tc>
        <w:tc>
          <w:tcPr>
            <w:tcW w:type="dxa" w:w="1728"/>
          </w:tcPr>
          <w:p>
            <w:r>
              <w:rPr>
                <w:rFonts w:ascii="Times New Roman" w:hAnsi="Times New Roman"/>
                <w:sz w:val="20"/>
              </w:rPr>
              <w:t>Per-sentence scoring</w:t>
            </w:r>
          </w:p>
        </w:tc>
      </w:tr>
      <w:tr>
        <w:tc>
          <w:tcPr>
            <w:tcW w:type="dxa" w:w="1728"/>
          </w:tcPr>
          <w:p>
            <w:r>
              <w:rPr>
                <w:rFonts w:ascii="Times New Roman" w:hAnsi="Times New Roman"/>
                <w:sz w:val="20"/>
              </w:rPr>
              <w:t>SLT Entropy</w:t>
            </w:r>
          </w:p>
        </w:tc>
        <w:tc>
          <w:tcPr>
            <w:tcW w:type="dxa" w:w="1728"/>
          </w:tcPr>
          <w:p>
            <w:r>
              <w:rPr>
                <w:rFonts w:ascii="Times New Roman" w:hAnsi="Times New Roman"/>
                <w:sz w:val="20"/>
              </w:rPr>
              <w:t>2nd-to-last generated token</w:t>
            </w:r>
          </w:p>
        </w:tc>
        <w:tc>
          <w:tcPr>
            <w:tcW w:type="dxa" w:w="1728"/>
          </w:tcPr>
          <w:p>
            <w:r>
              <w:rPr>
                <w:rFonts w:ascii="Times New Roman" w:hAnsi="Times New Roman"/>
                <w:sz w:val="20"/>
              </w:rPr>
              <w:t>Binarised entropy score</w:t>
            </w:r>
          </w:p>
        </w:tc>
        <w:tc>
          <w:tcPr>
            <w:tcW w:type="dxa" w:w="1728"/>
          </w:tcPr>
          <w:p>
            <w:r>
              <w:rPr>
                <w:rFonts w:ascii="Times New Roman" w:hAnsi="Times New Roman"/>
                <w:sz w:val="20"/>
              </w:rPr>
              <w:t>After generation</w:t>
            </w:r>
          </w:p>
        </w:tc>
        <w:tc>
          <w:tcPr>
            <w:tcW w:type="dxa" w:w="1728"/>
          </w:tcPr>
          <w:p>
            <w:r>
              <w:rPr>
                <w:rFonts w:ascii="Times New Roman" w:hAnsi="Times New Roman"/>
                <w:sz w:val="20"/>
              </w:rPr>
              <w:t>Per-sentence scoring</w:t>
            </w:r>
          </w:p>
        </w:tc>
      </w:tr>
    </w:tbl>
    <w:p/>
    <w:p>
      <w:pPr>
        <w:pStyle w:val="Heading2"/>
      </w:pPr>
      <w:r>
        <w:t>7.3.3 Dataset Construction</w:t>
      </w:r>
    </w:p>
    <w:p>
      <w:pPr>
        <w:pStyle w:val="Heading3"/>
      </w:pPr>
      <w:r>
        <w:t>7.3.3.1 TriviaQA as Source Corpus</w:t>
      </w:r>
    </w:p>
    <w:p>
      <w:r>
        <w:rPr>
          <w:b w:val="0"/>
          <w:i w:val="0"/>
        </w:rPr>
        <w:t>The training dataset is derived from TriviaQA (Joshi et al., 2017), a large-scale reading comprehension dataset with trivia-style factual questions.</w:t>
      </w:r>
    </w:p>
    <w:p>
      <w:r>
        <w:rPr>
          <w:i/>
          <w:sz w:val="20"/>
        </w:rPr>
        <w:t>Table 7.4 — TriviaQA dataset configuration.</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0"/>
              </w:rPr>
              <w:t>Property</w:t>
            </w:r>
          </w:p>
        </w:tc>
        <w:tc>
          <w:tcPr>
            <w:tcW w:type="dxa" w:w="4320"/>
          </w:tcPr>
          <w:p>
            <w:r>
              <w:rPr>
                <w:rFonts w:ascii="Times New Roman" w:hAnsi="Times New Roman"/>
                <w:b/>
                <w:sz w:val="20"/>
              </w:rPr>
              <w:t>Value</w:t>
            </w:r>
          </w:p>
        </w:tc>
      </w:tr>
      <w:tr>
        <w:tc>
          <w:tcPr>
            <w:tcW w:type="dxa" w:w="4320"/>
          </w:tcPr>
          <w:p>
            <w:r>
              <w:rPr>
                <w:rFonts w:ascii="Times New Roman" w:hAnsi="Times New Roman"/>
                <w:sz w:val="20"/>
              </w:rPr>
              <w:t>Dataset</w:t>
            </w:r>
          </w:p>
        </w:tc>
        <w:tc>
          <w:tcPr>
            <w:tcW w:type="dxa" w:w="4320"/>
          </w:tcPr>
          <w:p>
            <w:r>
              <w:rPr>
                <w:rFonts w:ascii="Times New Roman" w:hAnsi="Times New Roman"/>
                <w:sz w:val="20"/>
              </w:rPr>
              <w:t>TriviaQA</w:t>
            </w:r>
          </w:p>
        </w:tc>
      </w:tr>
      <w:tr>
        <w:tc>
          <w:tcPr>
            <w:tcW w:type="dxa" w:w="4320"/>
          </w:tcPr>
          <w:p>
            <w:r>
              <w:rPr>
                <w:rFonts w:ascii="Times New Roman" w:hAnsi="Times New Roman"/>
                <w:sz w:val="20"/>
              </w:rPr>
              <w:t>Configuration</w:t>
            </w:r>
          </w:p>
        </w:tc>
        <w:tc>
          <w:tcPr>
            <w:tcW w:type="dxa" w:w="4320"/>
          </w:tcPr>
          <w:p>
            <w:r>
              <w:rPr>
                <w:rFonts w:ascii="Times New Roman" w:hAnsi="Times New Roman"/>
                <w:sz w:val="20"/>
              </w:rPr>
              <w:t>rc (Reading Comprehension)</w:t>
            </w:r>
          </w:p>
        </w:tc>
      </w:tr>
      <w:tr>
        <w:tc>
          <w:tcPr>
            <w:tcW w:type="dxa" w:w="4320"/>
          </w:tcPr>
          <w:p>
            <w:r>
              <w:rPr>
                <w:rFonts w:ascii="Times New Roman" w:hAnsi="Times New Roman"/>
                <w:sz w:val="20"/>
              </w:rPr>
              <w:t>Split</w:t>
            </w:r>
          </w:p>
        </w:tc>
        <w:tc>
          <w:tcPr>
            <w:tcW w:type="dxa" w:w="4320"/>
          </w:tcPr>
          <w:p>
            <w:r>
              <w:rPr>
                <w:rFonts w:ascii="Times New Roman" w:hAnsi="Times New Roman"/>
                <w:sz w:val="20"/>
              </w:rPr>
              <w:t>Validation</w:t>
            </w:r>
          </w:p>
        </w:tc>
      </w:tr>
      <w:tr>
        <w:tc>
          <w:tcPr>
            <w:tcW w:type="dxa" w:w="4320"/>
          </w:tcPr>
          <w:p>
            <w:r>
              <w:rPr>
                <w:rFonts w:ascii="Times New Roman" w:hAnsi="Times New Roman"/>
                <w:sz w:val="20"/>
              </w:rPr>
              <w:t>Questions processed</w:t>
            </w:r>
          </w:p>
        </w:tc>
        <w:tc>
          <w:tcPr>
            <w:tcW w:type="dxa" w:w="4320"/>
          </w:tcPr>
          <w:p>
            <w:r>
              <w:rPr>
                <w:rFonts w:ascii="Times New Roman" w:hAnsi="Times New Roman"/>
                <w:sz w:val="20"/>
              </w:rPr>
              <w:t>1,000</w:t>
            </w:r>
          </w:p>
        </w:tc>
      </w:tr>
      <w:tr>
        <w:tc>
          <w:tcPr>
            <w:tcW w:type="dxa" w:w="4320"/>
          </w:tcPr>
          <w:p>
            <w:r>
              <w:rPr>
                <w:rFonts w:ascii="Times New Roman" w:hAnsi="Times New Roman"/>
                <w:sz w:val="20"/>
              </w:rPr>
              <w:t>Library</w:t>
            </w:r>
          </w:p>
        </w:tc>
        <w:tc>
          <w:tcPr>
            <w:tcW w:type="dxa" w:w="4320"/>
          </w:tcPr>
          <w:p>
            <w:r>
              <w:rPr>
                <w:rFonts w:ascii="Times New Roman" w:hAnsi="Times New Roman"/>
                <w:sz w:val="20"/>
              </w:rPr>
              <w:t>HuggingFace datasets</w:t>
            </w:r>
          </w:p>
        </w:tc>
      </w:tr>
    </w:tbl>
    <w:p/>
    <w:p>
      <w:r>
        <w:rPr>
          <w:b w:val="0"/>
          <w:i w:val="0"/>
        </w:rPr>
        <w:t>The rc configuration provides well-curated reference answers with comprehensive alias lists, essential for robust correctness evaluation. TriviaQA was selected because its short factual questions produce unambiguous ground truth — a prerequisite for evaluating hallucination detection accuracy.</w:t>
      </w:r>
    </w:p>
    <w:p>
      <w:r>
        <w:rPr>
          <w:b w:val="0"/>
          <w:i w:val="0"/>
        </w:rPr>
        <w:t>The TriviaQA rc configuration provides numerous fields per record: question, question_id, question_source, entity_pages (Wikipedia context with doc_source, filename, title, wiki_context), search_results (web search context with description, filename, rank, title, url, search_context), and answer (with sub-fields: value, aliases, normalized_value, normalized_aliases, matched_wiki_entity_name, normalized_matched_wiki_entity_name, type).</w:t>
      </w:r>
    </w:p>
    <w:p>
      <w:r>
        <w:rPr>
          <w:b w:val="0"/>
          <w:i w:val="0"/>
        </w:rPr>
        <w:t>Of these, only three fields are utilised:</w:t>
      </w:r>
    </w:p>
    <w:p>
      <w:r>
        <w:rPr>
          <w:i/>
          <w:sz w:val="20"/>
        </w:rPr>
        <w:t>Table 7.5 — TriviaQA fields used in dataset generation.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Field</w:t>
            </w:r>
          </w:p>
        </w:tc>
        <w:tc>
          <w:tcPr>
            <w:tcW w:type="dxa" w:w="2880"/>
          </w:tcPr>
          <w:p>
            <w:r>
              <w:rPr>
                <w:rFonts w:ascii="Times New Roman" w:hAnsi="Times New Roman"/>
                <w:b/>
                <w:sz w:val="20"/>
              </w:rPr>
              <w:t>Type</w:t>
            </w:r>
          </w:p>
        </w:tc>
        <w:tc>
          <w:tcPr>
            <w:tcW w:type="dxa" w:w="2880"/>
          </w:tcPr>
          <w:p>
            <w:r>
              <w:rPr>
                <w:rFonts w:ascii="Times New Roman" w:hAnsi="Times New Roman"/>
                <w:b/>
                <w:sz w:val="20"/>
              </w:rPr>
              <w:t>Purpose</w:t>
            </w:r>
          </w:p>
        </w:tc>
      </w:tr>
      <w:tr>
        <w:tc>
          <w:tcPr>
            <w:tcW w:type="dxa" w:w="2880"/>
          </w:tcPr>
          <w:p>
            <w:r>
              <w:rPr>
                <w:rFonts w:ascii="Times New Roman" w:hAnsi="Times New Roman"/>
                <w:sz w:val="20"/>
              </w:rPr>
              <w:t>question</w:t>
            </w:r>
          </w:p>
        </w:tc>
        <w:tc>
          <w:tcPr>
            <w:tcW w:type="dxa" w:w="2880"/>
          </w:tcPr>
          <w:p>
            <w:r>
              <w:rPr>
                <w:rFonts w:ascii="Times New Roman" w:hAnsi="Times New Roman"/>
                <w:sz w:val="20"/>
              </w:rPr>
              <w:t>str</w:t>
            </w:r>
          </w:p>
        </w:tc>
        <w:tc>
          <w:tcPr>
            <w:tcW w:type="dxa" w:w="2880"/>
          </w:tcPr>
          <w:p>
            <w:r>
              <w:rPr>
                <w:rFonts w:ascii="Times New Roman" w:hAnsi="Times New Roman"/>
                <w:sz w:val="20"/>
              </w:rPr>
              <w:t>Prompt input to the LLM</w:t>
            </w:r>
          </w:p>
        </w:tc>
      </w:tr>
      <w:tr>
        <w:tc>
          <w:tcPr>
            <w:tcW w:type="dxa" w:w="2880"/>
          </w:tcPr>
          <w:p>
            <w:r>
              <w:rPr>
                <w:rFonts w:ascii="Times New Roman" w:hAnsi="Times New Roman"/>
                <w:sz w:val="20"/>
              </w:rPr>
              <w:t>question_id</w:t>
            </w:r>
          </w:p>
        </w:tc>
        <w:tc>
          <w:tcPr>
            <w:tcW w:type="dxa" w:w="2880"/>
          </w:tcPr>
          <w:p>
            <w:r>
              <w:rPr>
                <w:rFonts w:ascii="Times New Roman" w:hAnsi="Times New Roman"/>
                <w:sz w:val="20"/>
              </w:rPr>
              <w:t>str</w:t>
            </w:r>
          </w:p>
        </w:tc>
        <w:tc>
          <w:tcPr>
            <w:tcW w:type="dxa" w:w="2880"/>
          </w:tcPr>
          <w:p>
            <w:r>
              <w:rPr>
                <w:rFonts w:ascii="Times New Roman" w:hAnsi="Times New Roman"/>
                <w:sz w:val="20"/>
              </w:rPr>
              <w:t>Unique record identifier</w:t>
            </w:r>
          </w:p>
        </w:tc>
      </w:tr>
      <w:tr>
        <w:tc>
          <w:tcPr>
            <w:tcW w:type="dxa" w:w="2880"/>
          </w:tcPr>
          <w:p>
            <w:r>
              <w:rPr>
                <w:rFonts w:ascii="Times New Roman" w:hAnsi="Times New Roman"/>
                <w:sz w:val="20"/>
              </w:rPr>
              <w:t>answer.aliases</w:t>
            </w:r>
          </w:p>
        </w:tc>
        <w:tc>
          <w:tcPr>
            <w:tcW w:type="dxa" w:w="2880"/>
          </w:tcPr>
          <w:p>
            <w:r>
              <w:rPr>
                <w:rFonts w:ascii="Times New Roman" w:hAnsi="Times New Roman"/>
                <w:sz w:val="20"/>
              </w:rPr>
              <w:t>list[str]</w:t>
            </w:r>
          </w:p>
        </w:tc>
        <w:tc>
          <w:tcPr>
            <w:tcW w:type="dxa" w:w="2880"/>
          </w:tcPr>
          <w:p>
            <w:r>
              <w:rPr>
                <w:rFonts w:ascii="Times New Roman" w:hAnsi="Times New Roman"/>
                <w:sz w:val="20"/>
              </w:rPr>
              <w:t>Reference answer variants for normalised substring correctness matching</w:t>
            </w:r>
          </w:p>
        </w:tc>
      </w:tr>
    </w:tbl>
    <w:p/>
    <w:p>
      <w:r>
        <w:rPr>
          <w:b w:val="0"/>
          <w:i w:val="0"/>
        </w:rPr>
        <w:t>Crucially, no context documents are provided to the LLM — it answers purely from its parametric knowledge. This is intentional: the goal is to measure the model's internal confidence about its own knowledge, not its ability to extract answers from given passages.</w:t>
      </w:r>
    </w:p>
    <w:p>
      <w:pPr>
        <w:pStyle w:val="Heading3"/>
      </w:pPr>
      <w:r>
        <w:t>7.3.3.2 Per-Question Record Generation</w:t>
      </w:r>
    </w:p>
    <w:p>
      <w:r>
        <w:rPr>
          <w:b w:val="0"/>
          <w:i w:val="0"/>
        </w:rPr>
        <w:t>For each of the 1,000 TriviaQA questions, the following pipeline produces a single training record:</w:t>
      </w:r>
    </w:p>
    <w:p>
      <w:pPr>
        <w:pStyle w:val="ListBullet"/>
      </w:pPr>
      <w:r>
        <w:rPr>
          <w:b/>
        </w:rPr>
        <w:t xml:space="preserve">Step 1 — </w:t>
      </w:r>
      <w:r>
        <w:t xml:space="preserve">Multi-sample generation: </w:t>
      </w:r>
    </w:p>
    <w:p>
      <w:pPr>
        <w:ind w:left="720"/>
      </w:pPr>
      <w:r>
        <w:rPr>
          <w:b w:val="0"/>
          <w:i w:val="0"/>
        </w:rPr>
        <w:t>Generate 5 independent responses using stochastic sampling (temperature = 0.7, max new tokens = 512), recording per-token logits and softmax probabilities for each sample.</w:t>
      </w:r>
    </w:p>
    <w:p>
      <w:pPr>
        <w:pStyle w:val="ListBullet"/>
      </w:pPr>
      <w:r>
        <w:rPr>
          <w:b/>
        </w:rPr>
        <w:t xml:space="preserve">Step 2 — </w:t>
      </w:r>
      <w:r>
        <w:t xml:space="preserve">Semantic clustering: </w:t>
      </w:r>
    </w:p>
    <w:p>
      <w:pPr>
        <w:ind w:left="720"/>
      </w:pPr>
      <w:r>
        <w:rPr>
          <w:b w:val="0"/>
          <w:i w:val="0"/>
        </w:rPr>
        <w:t>Compare all sample pairs via LLM-based equivalence checking (greedy agglomerative clustering), producing cluster assignments.</w:t>
      </w:r>
    </w:p>
    <w:p>
      <w:pPr>
        <w:pStyle w:val="ListBullet"/>
      </w:pPr>
      <w:r>
        <w:rPr>
          <w:b/>
        </w:rPr>
        <w:t xml:space="preserve">Step 3 — </w:t>
      </w:r>
      <w:r>
        <w:t xml:space="preserve">Energy teacher computation: </w:t>
      </w:r>
    </w:p>
    <w:p>
      <w:pPr>
        <w:ind w:left="720"/>
      </w:pPr>
      <w:r>
        <w:rPr>
          <w:b w:val="0"/>
          <w:i w:val="0"/>
        </w:rPr>
        <w:t>Apply Boltzmann energy aggregation (Formulas 2–3) and normalise across clusters to obtain energy_score_raw ∈ [0, 1].</w:t>
      </w:r>
    </w:p>
    <w:p>
      <w:pPr>
        <w:pStyle w:val="ListBullet"/>
      </w:pPr>
      <w:r>
        <w:rPr>
          <w:b/>
        </w:rPr>
        <w:t xml:space="preserve">Step 4 — </w:t>
      </w:r>
      <w:r>
        <w:t xml:space="preserve">Entropy teacher computation: </w:t>
      </w:r>
    </w:p>
    <w:p>
      <w:pPr>
        <w:ind w:left="720"/>
      </w:pPr>
      <w:r>
        <w:rPr>
          <w:b w:val="0"/>
          <w:i w:val="0"/>
        </w:rPr>
        <w:t>Compute Shannon entropy (Formula 1) over cluster size distribution to obtain entropy_score_raw ∈ [0, ln 5].</w:t>
      </w:r>
    </w:p>
    <w:p>
      <w:pPr>
        <w:pStyle w:val="ListBullet"/>
      </w:pPr>
      <w:r>
        <w:rPr>
          <w:b/>
        </w:rPr>
        <w:t xml:space="preserve">Step 5 — </w:t>
      </w:r>
      <w:r>
        <w:t xml:space="preserve">Correctness evaluation: </w:t>
      </w:r>
    </w:p>
    <w:p>
      <w:pPr>
        <w:ind w:left="720"/>
      </w:pPr>
      <w:r>
        <w:rPr>
          <w:b w:val="0"/>
          <w:i w:val="0"/>
        </w:rPr>
        <w:t>Check the main answer against all TriviaQA aliases using normalised substring matching, producing a binary correctness label. This label is used only for evaluation, not for training.</w:t>
      </w:r>
    </w:p>
    <w:p>
      <w:pPr>
        <w:pStyle w:val="ListBullet"/>
      </w:pPr>
      <w:r>
        <w:rPr>
          <w:b/>
        </w:rPr>
        <w:t xml:space="preserve">Step 6 — </w:t>
      </w:r>
      <w:r>
        <w:t xml:space="preserve">Hidden state extraction: </w:t>
      </w:r>
    </w:p>
    <w:p>
      <w:pPr>
        <w:ind w:left="720"/>
      </w:pPr>
      <w:r>
        <w:rPr>
          <w:b w:val="0"/>
          <w:i w:val="0"/>
        </w:rPr>
        <w:t>Run a separate forward pass on the concatenation of prompt and main answer with output_hidden_states=True, extracting hidden states at the TBG position (last prompt token, shape 33 × 4096) and the SLT position (second-to-last generated token, shape 33 × 4096).</w:t>
      </w:r>
    </w:p>
    <w:p>
      <w:pPr>
        <w:pStyle w:val="ListBullet"/>
      </w:pPr>
      <w:r>
        <w:rPr>
          <w:b/>
        </w:rPr>
        <w:t xml:space="preserve">Step 7 — </w:t>
      </w:r>
      <w:r>
        <w:t xml:space="preserve">Logit feature extraction: </w:t>
      </w:r>
    </w:p>
    <w:p>
      <w:pPr>
        <w:ind w:left="720"/>
      </w:pPr>
      <w:r>
        <w:rPr>
          <w:b w:val="0"/>
          <w:i w:val="0"/>
        </w:rPr>
        <w:t>Compute 9 scalar summary statistics from the main answer's per-token logits (mean, min, and standard deviation of chosen-token logits; mean, min, and standard deviation of top-1/top-2 margins; answer length; mean and min softmax probability).</w:t>
      </w:r>
    </w:p>
    <w:p>
      <w:r>
        <w:rPr>
          <w:b w:val="0"/>
          <w:i/>
        </w:rPr>
        <w:t>Note: Hidden states are captured via a separate forward pass rather than during generation because storing hidden states during autoregressive generation would require 512 steps × 33 layers × 4096 dimensions ≈ 1.3 GB per sample — infeasible within GPU memory constraints.</w:t>
      </w:r>
    </w:p>
    <w:p>
      <w:pPr>
        <w:spacing w:before="240" w:after="240"/>
        <w:jc w:val="center"/>
      </w:pPr>
      <w:r>
        <w:rPr>
          <w:i/>
          <w:color w:val="646464"/>
          <w:sz w:val="20"/>
        </w:rPr>
        <w:t>[Figure 7.2 — Flowchart: Per-question record generation pipeline showing the seven processing steps, which model calls occur at each step, and the data flowing between steps.]</w:t>
      </w:r>
    </w:p>
    <w:p>
      <w:r>
        <w:rPr>
          <w:b w:val="0"/>
          <w:i w:val="0"/>
        </w:rPr>
        <w:t>The complete record schema is presented below.</w:t>
      </w:r>
    </w:p>
    <w:p>
      <w:r>
        <w:rPr>
          <w:i/>
          <w:sz w:val="20"/>
        </w:rPr>
        <w:t>Table 7.6 — Complete record schema in the generated probe training dataset.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Field</w:t>
            </w:r>
          </w:p>
        </w:tc>
        <w:tc>
          <w:tcPr>
            <w:tcW w:type="dxa" w:w="2880"/>
          </w:tcPr>
          <w:p>
            <w:r>
              <w:rPr>
                <w:rFonts w:ascii="Times New Roman" w:hAnsi="Times New Roman"/>
                <w:b/>
                <w:sz w:val="20"/>
              </w:rPr>
              <w:t>Type / Shape</w:t>
            </w:r>
          </w:p>
        </w:tc>
        <w:tc>
          <w:tcPr>
            <w:tcW w:type="dxa" w:w="2880"/>
          </w:tcPr>
          <w:p>
            <w:r>
              <w:rPr>
                <w:rFonts w:ascii="Times New Roman" w:hAnsi="Times New Roman"/>
                <w:b/>
                <w:sz w:val="20"/>
              </w:rPr>
              <w:t>Description</w:t>
            </w:r>
          </w:p>
        </w:tc>
      </w:tr>
      <w:tr>
        <w:tc>
          <w:tcPr>
            <w:tcW w:type="dxa" w:w="2880"/>
          </w:tcPr>
          <w:p>
            <w:r>
              <w:rPr>
                <w:rFonts w:ascii="Times New Roman" w:hAnsi="Times New Roman"/>
                <w:sz w:val="20"/>
              </w:rPr>
              <w:t>uid</w:t>
            </w:r>
          </w:p>
        </w:tc>
        <w:tc>
          <w:tcPr>
            <w:tcW w:type="dxa" w:w="2880"/>
          </w:tcPr>
          <w:p>
            <w:r>
              <w:rPr>
                <w:rFonts w:ascii="Times New Roman" w:hAnsi="Times New Roman"/>
                <w:sz w:val="20"/>
              </w:rPr>
              <w:t>str</w:t>
            </w:r>
          </w:p>
        </w:tc>
        <w:tc>
          <w:tcPr>
            <w:tcW w:type="dxa" w:w="2880"/>
          </w:tcPr>
          <w:p>
            <w:r>
              <w:rPr>
                <w:rFonts w:ascii="Times New Roman" w:hAnsi="Times New Roman"/>
                <w:sz w:val="20"/>
              </w:rPr>
              <w:t>TriviaQA question ID</w:t>
            </w:r>
          </w:p>
        </w:tc>
      </w:tr>
      <w:tr>
        <w:tc>
          <w:tcPr>
            <w:tcW w:type="dxa" w:w="2880"/>
          </w:tcPr>
          <w:p>
            <w:r>
              <w:rPr>
                <w:rFonts w:ascii="Times New Roman" w:hAnsi="Times New Roman"/>
                <w:sz w:val="20"/>
              </w:rPr>
              <w:t>question</w:t>
            </w:r>
          </w:p>
        </w:tc>
        <w:tc>
          <w:tcPr>
            <w:tcW w:type="dxa" w:w="2880"/>
          </w:tcPr>
          <w:p>
            <w:r>
              <w:rPr>
                <w:rFonts w:ascii="Times New Roman" w:hAnsi="Times New Roman"/>
                <w:sz w:val="20"/>
              </w:rPr>
              <w:t>str</w:t>
            </w:r>
          </w:p>
        </w:tc>
        <w:tc>
          <w:tcPr>
            <w:tcW w:type="dxa" w:w="2880"/>
          </w:tcPr>
          <w:p>
            <w:r>
              <w:rPr>
                <w:rFonts w:ascii="Times New Roman" w:hAnsi="Times New Roman"/>
                <w:sz w:val="20"/>
              </w:rPr>
              <w:t>Question text</w:t>
            </w:r>
          </w:p>
        </w:tc>
      </w:tr>
      <w:tr>
        <w:tc>
          <w:tcPr>
            <w:tcW w:type="dxa" w:w="2880"/>
          </w:tcPr>
          <w:p>
            <w:r>
              <w:rPr>
                <w:rFonts w:ascii="Times New Roman" w:hAnsi="Times New Roman"/>
                <w:sz w:val="20"/>
              </w:rPr>
              <w:t>main_answer</w:t>
            </w:r>
          </w:p>
        </w:tc>
        <w:tc>
          <w:tcPr>
            <w:tcW w:type="dxa" w:w="2880"/>
          </w:tcPr>
          <w:p>
            <w:r>
              <w:rPr>
                <w:rFonts w:ascii="Times New Roman" w:hAnsi="Times New Roman"/>
                <w:sz w:val="20"/>
              </w:rPr>
              <w:t>str</w:t>
            </w:r>
          </w:p>
        </w:tc>
        <w:tc>
          <w:tcPr>
            <w:tcW w:type="dxa" w:w="2880"/>
          </w:tcPr>
          <w:p>
            <w:r>
              <w:rPr>
                <w:rFonts w:ascii="Times New Roman" w:hAnsi="Times New Roman"/>
                <w:sz w:val="20"/>
              </w:rPr>
              <w:t>First generated answer (sample 0)</w:t>
            </w:r>
          </w:p>
        </w:tc>
      </w:tr>
      <w:tr>
        <w:tc>
          <w:tcPr>
            <w:tcW w:type="dxa" w:w="2880"/>
          </w:tcPr>
          <w:p>
            <w:r>
              <w:rPr>
                <w:rFonts w:ascii="Times New Roman" w:hAnsi="Times New Roman"/>
                <w:sz w:val="20"/>
              </w:rPr>
              <w:t>energy_score_raw</w:t>
            </w:r>
          </w:p>
        </w:tc>
        <w:tc>
          <w:tcPr>
            <w:tcW w:type="dxa" w:w="2880"/>
          </w:tcPr>
          <w:p>
            <w:r>
              <w:rPr>
                <w:rFonts w:ascii="Times New Roman" w:hAnsi="Times New Roman"/>
                <w:sz w:val="20"/>
              </w:rPr>
              <w:t>float [0, 1]</w:t>
            </w:r>
          </w:p>
        </w:tc>
        <w:tc>
          <w:tcPr>
            <w:tcW w:type="dxa" w:w="2880"/>
          </w:tcPr>
          <w:p>
            <w:r>
              <w:rPr>
                <w:rFonts w:ascii="Times New Roman" w:hAnsi="Times New Roman"/>
                <w:sz w:val="20"/>
              </w:rPr>
              <w:t>Energy teacher score (confidence)</w:t>
            </w:r>
          </w:p>
        </w:tc>
      </w:tr>
      <w:tr>
        <w:tc>
          <w:tcPr>
            <w:tcW w:type="dxa" w:w="2880"/>
          </w:tcPr>
          <w:p>
            <w:r>
              <w:rPr>
                <w:rFonts w:ascii="Times New Roman" w:hAnsi="Times New Roman"/>
                <w:sz w:val="20"/>
              </w:rPr>
              <w:t>entropy_score_raw</w:t>
            </w:r>
          </w:p>
        </w:tc>
        <w:tc>
          <w:tcPr>
            <w:tcW w:type="dxa" w:w="2880"/>
          </w:tcPr>
          <w:p>
            <w:r>
              <w:rPr>
                <w:rFonts w:ascii="Times New Roman" w:hAnsi="Times New Roman"/>
                <w:sz w:val="20"/>
              </w:rPr>
              <w:t>float [0, ~1.61]</w:t>
            </w:r>
          </w:p>
        </w:tc>
        <w:tc>
          <w:tcPr>
            <w:tcW w:type="dxa" w:w="2880"/>
          </w:tcPr>
          <w:p>
            <w:r>
              <w:rPr>
                <w:rFonts w:ascii="Times New Roman" w:hAnsi="Times New Roman"/>
                <w:sz w:val="20"/>
              </w:rPr>
              <w:t>Entropy teacher score (uncertainty)</w:t>
            </w:r>
          </w:p>
        </w:tc>
      </w:tr>
      <w:tr>
        <w:tc>
          <w:tcPr>
            <w:tcW w:type="dxa" w:w="2880"/>
          </w:tcPr>
          <w:p>
            <w:r>
              <w:rPr>
                <w:rFonts w:ascii="Times New Roman" w:hAnsi="Times New Roman"/>
                <w:sz w:val="20"/>
              </w:rPr>
              <w:t>correctness</w:t>
            </w:r>
          </w:p>
        </w:tc>
        <w:tc>
          <w:tcPr>
            <w:tcW w:type="dxa" w:w="2880"/>
          </w:tcPr>
          <w:p>
            <w:r>
              <w:rPr>
                <w:rFonts w:ascii="Times New Roman" w:hAnsi="Times New Roman"/>
                <w:sz w:val="20"/>
              </w:rPr>
              <w:t>float {0.0, 1.0}</w:t>
            </w:r>
          </w:p>
        </w:tc>
        <w:tc>
          <w:tcPr>
            <w:tcW w:type="dxa" w:w="2880"/>
          </w:tcPr>
          <w:p>
            <w:r>
              <w:rPr>
                <w:rFonts w:ascii="Times New Roman" w:hAnsi="Times New Roman"/>
                <w:sz w:val="20"/>
              </w:rPr>
              <w:t>Normalised substring match (evaluation only)</w:t>
            </w:r>
          </w:p>
        </w:tc>
      </w:tr>
      <w:tr>
        <w:tc>
          <w:tcPr>
            <w:tcW w:type="dxa" w:w="2880"/>
          </w:tcPr>
          <w:p>
            <w:r>
              <w:rPr>
                <w:rFonts w:ascii="Times New Roman" w:hAnsi="Times New Roman"/>
                <w:sz w:val="20"/>
              </w:rPr>
              <w:t>emb_last_tok_before_gen</w:t>
            </w:r>
          </w:p>
        </w:tc>
        <w:tc>
          <w:tcPr>
            <w:tcW w:type="dxa" w:w="2880"/>
          </w:tcPr>
          <w:p>
            <w:r>
              <w:rPr>
                <w:rFonts w:ascii="Times New Roman" w:hAnsi="Times New Roman"/>
                <w:sz w:val="20"/>
              </w:rPr>
              <w:t>ndarray (33, 4096)</w:t>
            </w:r>
          </w:p>
        </w:tc>
        <w:tc>
          <w:tcPr>
            <w:tcW w:type="dxa" w:w="2880"/>
          </w:tcPr>
          <w:p>
            <w:r>
              <w:rPr>
                <w:rFonts w:ascii="Times New Roman" w:hAnsi="Times New Roman"/>
                <w:sz w:val="20"/>
              </w:rPr>
              <w:t>TBG hidden states — all 33 layers</w:t>
            </w:r>
          </w:p>
        </w:tc>
      </w:tr>
      <w:tr>
        <w:tc>
          <w:tcPr>
            <w:tcW w:type="dxa" w:w="2880"/>
          </w:tcPr>
          <w:p>
            <w:r>
              <w:rPr>
                <w:rFonts w:ascii="Times New Roman" w:hAnsi="Times New Roman"/>
                <w:sz w:val="20"/>
              </w:rPr>
              <w:t>emb_tok_before_eos</w:t>
            </w:r>
          </w:p>
        </w:tc>
        <w:tc>
          <w:tcPr>
            <w:tcW w:type="dxa" w:w="2880"/>
          </w:tcPr>
          <w:p>
            <w:r>
              <w:rPr>
                <w:rFonts w:ascii="Times New Roman" w:hAnsi="Times New Roman"/>
                <w:sz w:val="20"/>
              </w:rPr>
              <w:t>ndarray (33, 4096)</w:t>
            </w:r>
          </w:p>
        </w:tc>
        <w:tc>
          <w:tcPr>
            <w:tcW w:type="dxa" w:w="2880"/>
          </w:tcPr>
          <w:p>
            <w:r>
              <w:rPr>
                <w:rFonts w:ascii="Times New Roman" w:hAnsi="Times New Roman"/>
                <w:sz w:val="20"/>
              </w:rPr>
              <w:t>SLT hidden states — all 33 layers</w:t>
            </w:r>
          </w:p>
        </w:tc>
      </w:tr>
      <w:tr>
        <w:tc>
          <w:tcPr>
            <w:tcW w:type="dxa" w:w="2880"/>
          </w:tcPr>
          <w:p>
            <w:r>
              <w:rPr>
                <w:rFonts w:ascii="Times New Roman" w:hAnsi="Times New Roman"/>
                <w:sz w:val="20"/>
              </w:rPr>
              <w:t>logit_feats</w:t>
            </w:r>
          </w:p>
        </w:tc>
        <w:tc>
          <w:tcPr>
            <w:tcW w:type="dxa" w:w="2880"/>
          </w:tcPr>
          <w:p>
            <w:r>
              <w:rPr>
                <w:rFonts w:ascii="Times New Roman" w:hAnsi="Times New Roman"/>
                <w:sz w:val="20"/>
              </w:rPr>
              <w:t>dict (9 keys)</w:t>
            </w:r>
          </w:p>
        </w:tc>
        <w:tc>
          <w:tcPr>
            <w:tcW w:type="dxa" w:w="2880"/>
          </w:tcPr>
          <w:p>
            <w:r>
              <w:rPr>
                <w:rFonts w:ascii="Times New Roman" w:hAnsi="Times New Roman"/>
                <w:sz w:val="20"/>
              </w:rPr>
              <w:t>Token-level logit summary statistics</w:t>
            </w:r>
          </w:p>
        </w:tc>
      </w:tr>
      <w:tr>
        <w:tc>
          <w:tcPr>
            <w:tcW w:type="dxa" w:w="2880"/>
          </w:tcPr>
          <w:p>
            <w:r>
              <w:rPr>
                <w:rFonts w:ascii="Times New Roman" w:hAnsi="Times New Roman"/>
                <w:sz w:val="20"/>
              </w:rPr>
              <w:t>num_clusters</w:t>
            </w:r>
          </w:p>
        </w:tc>
        <w:tc>
          <w:tcPr>
            <w:tcW w:type="dxa" w:w="2880"/>
          </w:tcPr>
          <w:p>
            <w:r>
              <w:rPr>
                <w:rFonts w:ascii="Times New Roman" w:hAnsi="Times New Roman"/>
                <w:sz w:val="20"/>
              </w:rPr>
              <w:t>int</w:t>
            </w:r>
          </w:p>
        </w:tc>
        <w:tc>
          <w:tcPr>
            <w:tcW w:type="dxa" w:w="2880"/>
          </w:tcPr>
          <w:p>
            <w:r>
              <w:rPr>
                <w:rFonts w:ascii="Times New Roman" w:hAnsi="Times New Roman"/>
                <w:sz w:val="20"/>
              </w:rPr>
              <w:t>Number of semantic clusters</w:t>
            </w:r>
          </w:p>
        </w:tc>
      </w:tr>
      <w:tr>
        <w:tc>
          <w:tcPr>
            <w:tcW w:type="dxa" w:w="2880"/>
          </w:tcPr>
          <w:p>
            <w:r>
              <w:rPr>
                <w:rFonts w:ascii="Times New Roman" w:hAnsi="Times New Roman"/>
                <w:sz w:val="20"/>
              </w:rPr>
              <w:t>cluster_sizes</w:t>
            </w:r>
          </w:p>
        </w:tc>
        <w:tc>
          <w:tcPr>
            <w:tcW w:type="dxa" w:w="2880"/>
          </w:tcPr>
          <w:p>
            <w:r>
              <w:rPr>
                <w:rFonts w:ascii="Times New Roman" w:hAnsi="Times New Roman"/>
                <w:sz w:val="20"/>
              </w:rPr>
              <w:t>list[int]</w:t>
            </w:r>
          </w:p>
        </w:tc>
        <w:tc>
          <w:tcPr>
            <w:tcW w:type="dxa" w:w="2880"/>
          </w:tcPr>
          <w:p>
            <w:r>
              <w:rPr>
                <w:rFonts w:ascii="Times New Roman" w:hAnsi="Times New Roman"/>
                <w:sz w:val="20"/>
              </w:rPr>
              <w:t>Size of each cluster</w:t>
            </w:r>
          </w:p>
        </w:tc>
      </w:tr>
    </w:tbl>
    <w:p/>
    <w:p>
      <w:r>
        <w:rPr>
          <w:b w:val="0"/>
          <w:i w:val="0"/>
        </w:rPr>
        <w:t>After filtering records where the generated answer was too short for SLT extraction (fewer than 2 tokens), the final dataset comprises 500 valid records, saved as a serialised Python pickle file (probe_dataset_llama3-8b_triviaqa.pkl, approximately 541 MB).</w:t>
      </w:r>
    </w:p>
    <w:p>
      <w:r>
        <w:rPr>
          <w:i/>
          <w:sz w:val="20"/>
        </w:rPr>
        <w:t>Table 7.7 — Dataset split allocation (seed = 42 for reproducibility).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Split</w:t>
            </w:r>
          </w:p>
        </w:tc>
        <w:tc>
          <w:tcPr>
            <w:tcW w:type="dxa" w:w="2160"/>
          </w:tcPr>
          <w:p>
            <w:r>
              <w:rPr>
                <w:rFonts w:ascii="Times New Roman" w:hAnsi="Times New Roman"/>
                <w:b/>
                <w:sz w:val="20"/>
              </w:rPr>
              <w:t>Records</w:t>
            </w:r>
          </w:p>
        </w:tc>
        <w:tc>
          <w:tcPr>
            <w:tcW w:type="dxa" w:w="2160"/>
          </w:tcPr>
          <w:p>
            <w:r>
              <w:rPr>
                <w:rFonts w:ascii="Times New Roman" w:hAnsi="Times New Roman"/>
                <w:b/>
                <w:sz w:val="20"/>
              </w:rPr>
              <w:t>Percentage</w:t>
            </w:r>
          </w:p>
        </w:tc>
        <w:tc>
          <w:tcPr>
            <w:tcW w:type="dxa" w:w="2160"/>
          </w:tcPr>
          <w:p>
            <w:r>
              <w:rPr>
                <w:rFonts w:ascii="Times New Roman" w:hAnsi="Times New Roman"/>
                <w:b/>
                <w:sz w:val="20"/>
              </w:rPr>
              <w:t>Purpose</w:t>
            </w:r>
          </w:p>
        </w:tc>
      </w:tr>
      <w:tr>
        <w:tc>
          <w:tcPr>
            <w:tcW w:type="dxa" w:w="2160"/>
          </w:tcPr>
          <w:p>
            <w:r>
              <w:rPr>
                <w:rFonts w:ascii="Times New Roman" w:hAnsi="Times New Roman"/>
                <w:sz w:val="20"/>
              </w:rPr>
              <w:t>Training</w:t>
            </w:r>
          </w:p>
        </w:tc>
        <w:tc>
          <w:tcPr>
            <w:tcW w:type="dxa" w:w="2160"/>
          </w:tcPr>
          <w:p>
            <w:r>
              <w:rPr>
                <w:rFonts w:ascii="Times New Roman" w:hAnsi="Times New Roman"/>
                <w:sz w:val="20"/>
              </w:rPr>
              <w:t>400</w:t>
            </w:r>
          </w:p>
        </w:tc>
        <w:tc>
          <w:tcPr>
            <w:tcW w:type="dxa" w:w="2160"/>
          </w:tcPr>
          <w:p>
            <w:r>
              <w:rPr>
                <w:rFonts w:ascii="Times New Roman" w:hAnsi="Times New Roman"/>
                <w:sz w:val="20"/>
              </w:rPr>
              <w:t>80%</w:t>
            </w:r>
          </w:p>
        </w:tc>
        <w:tc>
          <w:tcPr>
            <w:tcW w:type="dxa" w:w="2160"/>
          </w:tcPr>
          <w:p>
            <w:r>
              <w:rPr>
                <w:rFonts w:ascii="Times New Roman" w:hAnsi="Times New Roman"/>
                <w:sz w:val="20"/>
              </w:rPr>
              <w:t>Binarisation thresholds, probe training</w:t>
            </w:r>
          </w:p>
        </w:tc>
      </w:tr>
      <w:tr>
        <w:tc>
          <w:tcPr>
            <w:tcW w:type="dxa" w:w="2160"/>
          </w:tcPr>
          <w:p>
            <w:r>
              <w:rPr>
                <w:rFonts w:ascii="Times New Roman" w:hAnsi="Times New Roman"/>
                <w:sz w:val="20"/>
              </w:rPr>
              <w:t>Validation</w:t>
            </w:r>
          </w:p>
        </w:tc>
        <w:tc>
          <w:tcPr>
            <w:tcW w:type="dxa" w:w="2160"/>
          </w:tcPr>
          <w:p>
            <w:r>
              <w:rPr>
                <w:rFonts w:ascii="Times New Roman" w:hAnsi="Times New Roman"/>
                <w:sz w:val="20"/>
              </w:rPr>
              <w:t>50</w:t>
            </w:r>
          </w:p>
        </w:tc>
        <w:tc>
          <w:tcPr>
            <w:tcW w:type="dxa" w:w="2160"/>
          </w:tcPr>
          <w:p>
            <w:r>
              <w:rPr>
                <w:rFonts w:ascii="Times New Roman" w:hAnsi="Times New Roman"/>
                <w:sz w:val="20"/>
              </w:rPr>
              <w:t>10%</w:t>
            </w:r>
          </w:p>
        </w:tc>
        <w:tc>
          <w:tcPr>
            <w:tcW w:type="dxa" w:w="2160"/>
          </w:tcPr>
          <w:p>
            <w:r>
              <w:rPr>
                <w:rFonts w:ascii="Times New Roman" w:hAnsi="Times New Roman"/>
                <w:sz w:val="20"/>
              </w:rPr>
              <w:t>Layer sweep AUROC, range selection</w:t>
            </w:r>
          </w:p>
        </w:tc>
      </w:tr>
      <w:tr>
        <w:tc>
          <w:tcPr>
            <w:tcW w:type="dxa" w:w="2160"/>
          </w:tcPr>
          <w:p>
            <w:r>
              <w:rPr>
                <w:rFonts w:ascii="Times New Roman" w:hAnsi="Times New Roman"/>
                <w:sz w:val="20"/>
              </w:rPr>
              <w:t>Test</w:t>
            </w:r>
          </w:p>
        </w:tc>
        <w:tc>
          <w:tcPr>
            <w:tcW w:type="dxa" w:w="2160"/>
          </w:tcPr>
          <w:p>
            <w:r>
              <w:rPr>
                <w:rFonts w:ascii="Times New Roman" w:hAnsi="Times New Roman"/>
                <w:sz w:val="20"/>
              </w:rPr>
              <w:t>50</w:t>
            </w:r>
          </w:p>
        </w:tc>
        <w:tc>
          <w:tcPr>
            <w:tcW w:type="dxa" w:w="2160"/>
          </w:tcPr>
          <w:p>
            <w:r>
              <w:rPr>
                <w:rFonts w:ascii="Times New Roman" w:hAnsi="Times New Roman"/>
                <w:sz w:val="20"/>
              </w:rPr>
              <w:t>10%</w:t>
            </w:r>
          </w:p>
        </w:tc>
        <w:tc>
          <w:tcPr>
            <w:tcW w:type="dxa" w:w="2160"/>
          </w:tcPr>
          <w:p>
            <w:r>
              <w:rPr>
                <w:rFonts w:ascii="Times New Roman" w:hAnsi="Times New Roman"/>
                <w:sz w:val="20"/>
              </w:rPr>
              <w:t>Final evaluation (held out)</w:t>
            </w:r>
          </w:p>
        </w:tc>
      </w:tr>
    </w:tbl>
    <w:p/>
    <w:p>
      <w:pPr>
        <w:pStyle w:val="Heading2"/>
      </w:pPr>
      <w:r>
        <w:t>7.3.4 Probe Training</w:t>
      </w:r>
    </w:p>
    <w:p>
      <w:pPr>
        <w:pStyle w:val="Heading3"/>
      </w:pPr>
      <w:r>
        <w:t>7.3.4.1 Label Binarisation</w:t>
      </w:r>
    </w:p>
    <w:p>
      <w:r>
        <w:rPr>
          <w:b w:val="0"/>
          <w:i w:val="0"/>
        </w:rPr>
        <w:t>The raw teacher scores (energy and entropy) are continuous values. Since the probes are logistic regression classifiers, binary labels are required. The binarisation threshold is selected by sweeping from the 10th to the 90th percentile of the training distribution and choosing the value that minimises within-group mean squared error — the same approach used in Semantic Entropy Probes (Kossen et al., 2024).</w:t>
      </w:r>
    </w:p>
    <w:p>
      <w:pPr>
        <w:spacing w:before="120" w:after="120"/>
        <w:jc w:val="center"/>
      </w:pPr>
      <w:r>
        <w:rPr>
          <w:i/>
          <w:sz w:val="22"/>
        </w:rPr>
        <w:t>y_i = 1  if  s_i ≥ τ,  else  0</w:t>
      </w:r>
      <w:r>
        <w:rPr>
          <w:sz w:val="22"/>
        </w:rPr>
        <w:t xml:space="preserve">    (Formula 4)</w:t>
      </w:r>
    </w:p>
    <w:p>
      <w:r>
        <w:rPr>
          <w:b w:val="0"/>
          <w:i/>
        </w:rPr>
        <w:t>where s_i is the raw teacher score and τ is the selected threshold. Thresholds are computed on the training split only and applied uniformly to validation and test splits.</w:t>
      </w:r>
    </w:p>
    <w:p>
      <w:r>
        <w:rPr>
          <w:i/>
          <w:sz w:val="20"/>
        </w:rPr>
        <w:t>Table 7.8 — Binarisation thresholds for Llama 3.1 8B on TriviaQA.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Teacher Signal</w:t>
            </w:r>
          </w:p>
        </w:tc>
        <w:tc>
          <w:tcPr>
            <w:tcW w:type="dxa" w:w="2880"/>
          </w:tcPr>
          <w:p>
            <w:r>
              <w:rPr>
                <w:rFonts w:ascii="Times New Roman" w:hAnsi="Times New Roman"/>
                <w:b/>
                <w:sz w:val="20"/>
              </w:rPr>
              <w:t>Threshold (τ)</w:t>
            </w:r>
          </w:p>
        </w:tc>
        <w:tc>
          <w:tcPr>
            <w:tcW w:type="dxa" w:w="2880"/>
          </w:tcPr>
          <w:p>
            <w:r>
              <w:rPr>
                <w:rFonts w:ascii="Times New Roman" w:hAnsi="Times New Roman"/>
                <w:b/>
                <w:sz w:val="20"/>
              </w:rPr>
              <w:t>Label = 1 Interpretation</w:t>
            </w:r>
          </w:p>
        </w:tc>
      </w:tr>
      <w:tr>
        <w:tc>
          <w:tcPr>
            <w:tcW w:type="dxa" w:w="2880"/>
          </w:tcPr>
          <w:p>
            <w:r>
              <w:rPr>
                <w:rFonts w:ascii="Times New Roman" w:hAnsi="Times New Roman"/>
                <w:sz w:val="20"/>
              </w:rPr>
              <w:t>Energy</w:t>
            </w:r>
          </w:p>
        </w:tc>
        <w:tc>
          <w:tcPr>
            <w:tcW w:type="dxa" w:w="2880"/>
          </w:tcPr>
          <w:p>
            <w:r>
              <w:rPr>
                <w:rFonts w:ascii="Times New Roman" w:hAnsi="Times New Roman"/>
                <w:sz w:val="20"/>
              </w:rPr>
              <w:t>0.7504</w:t>
            </w:r>
          </w:p>
        </w:tc>
        <w:tc>
          <w:tcPr>
            <w:tcW w:type="dxa" w:w="2880"/>
          </w:tcPr>
          <w:p>
            <w:r>
              <w:rPr>
                <w:rFonts w:ascii="Times New Roman" w:hAnsi="Times New Roman"/>
                <w:sz w:val="20"/>
              </w:rPr>
              <w:t>High confidence (energy ≥ threshold)</w:t>
            </w:r>
          </w:p>
        </w:tc>
      </w:tr>
      <w:tr>
        <w:tc>
          <w:tcPr>
            <w:tcW w:type="dxa" w:w="2880"/>
          </w:tcPr>
          <w:p>
            <w:r>
              <w:rPr>
                <w:rFonts w:ascii="Times New Roman" w:hAnsi="Times New Roman"/>
                <w:sz w:val="20"/>
              </w:rPr>
              <w:t>Entropy</w:t>
            </w:r>
          </w:p>
        </w:tc>
        <w:tc>
          <w:tcPr>
            <w:tcW w:type="dxa" w:w="2880"/>
          </w:tcPr>
          <w:p>
            <w:r>
              <w:rPr>
                <w:rFonts w:ascii="Times New Roman" w:hAnsi="Times New Roman"/>
                <w:sz w:val="20"/>
              </w:rPr>
              <w:t>0.2052</w:t>
            </w:r>
          </w:p>
        </w:tc>
        <w:tc>
          <w:tcPr>
            <w:tcW w:type="dxa" w:w="2880"/>
          </w:tcPr>
          <w:p>
            <w:r>
              <w:rPr>
                <w:rFonts w:ascii="Times New Roman" w:hAnsi="Times New Roman"/>
                <w:sz w:val="20"/>
              </w:rPr>
              <w:t>High uncertainty (entropy ≥ threshold)</w:t>
            </w:r>
          </w:p>
        </w:tc>
      </w:tr>
    </w:tbl>
    <w:p/>
    <w:p>
      <w:pPr>
        <w:pStyle w:val="Heading3"/>
      </w:pPr>
      <w:r>
        <w:t>7.3.4.2 Per-Layer AUROC Sweep</w:t>
      </w:r>
    </w:p>
    <w:p>
      <w:r>
        <w:rPr>
          <w:b w:val="0"/>
          <w:i w:val="0"/>
        </w:rPr>
        <w:t>To identify which transformer layers contain the strongest predictive signal, a per-layer sweep is conducted. For each of the 33 layers (32 transformer layers + 1 embedding layer), a logistic regression classifier (max iterations = 1000, regularisation C = 1.0) is trained on the single-layer hidden state vector (4,096 features) with StandardScaler preprocessing. Validation AUROC is recorded for each layer.</w:t>
      </w:r>
    </w:p>
    <w:p>
      <w:r>
        <w:rPr>
          <w:b w:val="0"/>
          <w:i w:val="0"/>
        </w:rPr>
        <w:t>This sweep is performed independently for all four probe types, revealing that different probes peak at different layers.</w:t>
      </w:r>
    </w:p>
    <w:p>
      <w:r>
        <w:rPr>
          <w:i/>
          <w:sz w:val="20"/>
        </w:rPr>
        <w:t>Table 7.9 — Best single-layer AUROC results from the per-layer sweep (Llama 3.1 8B).</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Probe</w:t>
            </w:r>
          </w:p>
        </w:tc>
        <w:tc>
          <w:tcPr>
            <w:tcW w:type="dxa" w:w="2880"/>
          </w:tcPr>
          <w:p>
            <w:r>
              <w:rPr>
                <w:rFonts w:ascii="Times New Roman" w:hAnsi="Times New Roman"/>
                <w:b/>
                <w:sz w:val="20"/>
              </w:rPr>
              <w:t>Best Single Layer</w:t>
            </w:r>
          </w:p>
        </w:tc>
        <w:tc>
          <w:tcPr>
            <w:tcW w:type="dxa" w:w="2880"/>
          </w:tcPr>
          <w:p>
            <w:r>
              <w:rPr>
                <w:rFonts w:ascii="Times New Roman" w:hAnsi="Times New Roman"/>
                <w:b/>
                <w:sz w:val="20"/>
              </w:rPr>
              <w:t>Validation AUROC</w:t>
            </w:r>
          </w:p>
        </w:tc>
      </w:tr>
      <w:tr>
        <w:tc>
          <w:tcPr>
            <w:tcW w:type="dxa" w:w="2880"/>
          </w:tcPr>
          <w:p>
            <w:r>
              <w:rPr>
                <w:rFonts w:ascii="Times New Roman" w:hAnsi="Times New Roman"/>
                <w:sz w:val="20"/>
              </w:rPr>
              <w:t>TBG Energy</w:t>
            </w:r>
          </w:p>
        </w:tc>
        <w:tc>
          <w:tcPr>
            <w:tcW w:type="dxa" w:w="2880"/>
          </w:tcPr>
          <w:p>
            <w:r>
              <w:rPr>
                <w:rFonts w:ascii="Times New Roman" w:hAnsi="Times New Roman"/>
                <w:sz w:val="20"/>
              </w:rPr>
              <w:t>Layer 14</w:t>
            </w:r>
          </w:p>
        </w:tc>
        <w:tc>
          <w:tcPr>
            <w:tcW w:type="dxa" w:w="2880"/>
          </w:tcPr>
          <w:p>
            <w:r>
              <w:rPr>
                <w:rFonts w:ascii="Times New Roman" w:hAnsi="Times New Roman"/>
                <w:sz w:val="20"/>
              </w:rPr>
              <w:t>0.8706</w:t>
            </w:r>
          </w:p>
        </w:tc>
      </w:tr>
      <w:tr>
        <w:tc>
          <w:tcPr>
            <w:tcW w:type="dxa" w:w="2880"/>
          </w:tcPr>
          <w:p>
            <w:r>
              <w:rPr>
                <w:rFonts w:ascii="Times New Roman" w:hAnsi="Times New Roman"/>
                <w:sz w:val="20"/>
              </w:rPr>
              <w:t>TBG Entropy</w:t>
            </w:r>
          </w:p>
        </w:tc>
        <w:tc>
          <w:tcPr>
            <w:tcW w:type="dxa" w:w="2880"/>
          </w:tcPr>
          <w:p>
            <w:r>
              <w:rPr>
                <w:rFonts w:ascii="Times New Roman" w:hAnsi="Times New Roman"/>
                <w:sz w:val="20"/>
              </w:rPr>
              <w:t>Layer 24</w:t>
            </w:r>
          </w:p>
        </w:tc>
        <w:tc>
          <w:tcPr>
            <w:tcW w:type="dxa" w:w="2880"/>
          </w:tcPr>
          <w:p>
            <w:r>
              <w:rPr>
                <w:rFonts w:ascii="Times New Roman" w:hAnsi="Times New Roman"/>
                <w:sz w:val="20"/>
              </w:rPr>
              <w:t>0.8693</w:t>
            </w:r>
          </w:p>
        </w:tc>
      </w:tr>
      <w:tr>
        <w:tc>
          <w:tcPr>
            <w:tcW w:type="dxa" w:w="2880"/>
          </w:tcPr>
          <w:p>
            <w:r>
              <w:rPr>
                <w:rFonts w:ascii="Times New Roman" w:hAnsi="Times New Roman"/>
                <w:sz w:val="20"/>
              </w:rPr>
              <w:t>SLT Entropy</w:t>
            </w:r>
          </w:p>
        </w:tc>
        <w:tc>
          <w:tcPr>
            <w:tcW w:type="dxa" w:w="2880"/>
          </w:tcPr>
          <w:p>
            <w:r>
              <w:rPr>
                <w:rFonts w:ascii="Times New Roman" w:hAnsi="Times New Roman"/>
                <w:sz w:val="20"/>
              </w:rPr>
              <w:t>Layer 20</w:t>
            </w:r>
          </w:p>
        </w:tc>
        <w:tc>
          <w:tcPr>
            <w:tcW w:type="dxa" w:w="2880"/>
          </w:tcPr>
          <w:p>
            <w:r>
              <w:rPr>
                <w:rFonts w:ascii="Times New Roman" w:hAnsi="Times New Roman"/>
                <w:sz w:val="20"/>
              </w:rPr>
              <w:t>0.7929</w:t>
            </w:r>
          </w:p>
        </w:tc>
      </w:tr>
      <w:tr>
        <w:tc>
          <w:tcPr>
            <w:tcW w:type="dxa" w:w="2880"/>
          </w:tcPr>
          <w:p>
            <w:r>
              <w:rPr>
                <w:rFonts w:ascii="Times New Roman" w:hAnsi="Times New Roman"/>
                <w:sz w:val="20"/>
              </w:rPr>
              <w:t>SLT Energy</w:t>
            </w:r>
          </w:p>
        </w:tc>
        <w:tc>
          <w:tcPr>
            <w:tcW w:type="dxa" w:w="2880"/>
          </w:tcPr>
          <w:p>
            <w:r>
              <w:rPr>
                <w:rFonts w:ascii="Times New Roman" w:hAnsi="Times New Roman"/>
                <w:sz w:val="20"/>
              </w:rPr>
              <w:t>Layer 19</w:t>
            </w:r>
          </w:p>
        </w:tc>
        <w:tc>
          <w:tcPr>
            <w:tcW w:type="dxa" w:w="2880"/>
          </w:tcPr>
          <w:p>
            <w:r>
              <w:rPr>
                <w:rFonts w:ascii="Times New Roman" w:hAnsi="Times New Roman"/>
                <w:sz w:val="20"/>
              </w:rPr>
              <w:t>0.7412</w:t>
            </w:r>
          </w:p>
        </w:tc>
      </w:tr>
    </w:tbl>
    <w:p/>
    <w:p>
      <w:pPr>
        <w:spacing w:before="240" w:after="240"/>
        <w:jc w:val="center"/>
      </w:pPr>
      <w:r>
        <w:rPr>
          <w:i/>
          <w:color w:val="646464"/>
          <w:sz w:val="20"/>
        </w:rPr>
        <w:t>[Figure 7.3 — Line chart: Per-layer AUROC sweep curves for all four probes across layers 0–32. TBG Energy peaks sharply at layer 14 (middle network), while TBG Entropy peaks at layer 24 (deeper). SLT probes show broader peaks in the upper-middle layers (19–20).]</w:t>
      </w:r>
    </w:p>
    <w:p>
      <w:pPr>
        <w:pStyle w:val="Heading3"/>
      </w:pPr>
      <w:r>
        <w:t>7.3.4.3 Layer Range Selection and Hidden State Semantics</w:t>
      </w:r>
    </w:p>
    <w:p>
      <w:r>
        <w:rPr>
          <w:b w:val="0"/>
          <w:i w:val="0"/>
        </w:rPr>
        <w:t>Rather than relying on a single peak layer, a contiguous window of layers is selected to improve robustness. Window sizes of 4, 8, and 16 layers are evaluated; the window with the highest mean validation AUROC is chosen.</w:t>
      </w:r>
    </w:p>
    <w:p>
      <w:r>
        <w:rPr>
          <w:i/>
          <w:sz w:val="20"/>
        </w:rPr>
        <w:t>Table 7.10 — Selected layer ranges for the final probes (Llama 3.1 8B).</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Probe</w:t>
            </w:r>
          </w:p>
        </w:tc>
        <w:tc>
          <w:tcPr>
            <w:tcW w:type="dxa" w:w="2160"/>
          </w:tcPr>
          <w:p>
            <w:r>
              <w:rPr>
                <w:rFonts w:ascii="Times New Roman" w:hAnsi="Times New Roman"/>
                <w:b/>
                <w:sz w:val="20"/>
              </w:rPr>
              <w:t>Layer Range</w:t>
            </w:r>
          </w:p>
        </w:tc>
        <w:tc>
          <w:tcPr>
            <w:tcW w:type="dxa" w:w="2160"/>
          </w:tcPr>
          <w:p>
            <w:r>
              <w:rPr>
                <w:rFonts w:ascii="Times New Roman" w:hAnsi="Times New Roman"/>
                <w:b/>
                <w:sz w:val="20"/>
              </w:rPr>
              <w:t>Window Size</w:t>
            </w:r>
          </w:p>
        </w:tc>
        <w:tc>
          <w:tcPr>
            <w:tcW w:type="dxa" w:w="2160"/>
          </w:tcPr>
          <w:p>
            <w:r>
              <w:rPr>
                <w:rFonts w:ascii="Times New Roman" w:hAnsi="Times New Roman"/>
                <w:b/>
                <w:sz w:val="20"/>
              </w:rPr>
              <w:t>Mean Validation AUROC</w:t>
            </w:r>
          </w:p>
        </w:tc>
      </w:tr>
      <w:tr>
        <w:tc>
          <w:tcPr>
            <w:tcW w:type="dxa" w:w="2160"/>
          </w:tcPr>
          <w:p>
            <w:r>
              <w:rPr>
                <w:rFonts w:ascii="Times New Roman" w:hAnsi="Times New Roman"/>
                <w:sz w:val="20"/>
              </w:rPr>
              <w:t>Energy TBG</w:t>
            </w:r>
          </w:p>
        </w:tc>
        <w:tc>
          <w:tcPr>
            <w:tcW w:type="dxa" w:w="2160"/>
          </w:tcPr>
          <w:p>
            <w:r>
              <w:rPr>
                <w:rFonts w:ascii="Times New Roman" w:hAnsi="Times New Roman"/>
                <w:sz w:val="20"/>
              </w:rPr>
              <w:t>(28, 32)</w:t>
            </w:r>
          </w:p>
        </w:tc>
        <w:tc>
          <w:tcPr>
            <w:tcW w:type="dxa" w:w="2160"/>
          </w:tcPr>
          <w:p>
            <w:r>
              <w:rPr>
                <w:rFonts w:ascii="Times New Roman" w:hAnsi="Times New Roman"/>
                <w:sz w:val="20"/>
              </w:rPr>
              <w:t>4</w:t>
            </w:r>
          </w:p>
        </w:tc>
        <w:tc>
          <w:tcPr>
            <w:tcW w:type="dxa" w:w="2160"/>
          </w:tcPr>
          <w:p>
            <w:r>
              <w:rPr>
                <w:rFonts w:ascii="Times New Roman" w:hAnsi="Times New Roman"/>
                <w:sz w:val="20"/>
              </w:rPr>
              <w:t>0.7840</w:t>
            </w:r>
          </w:p>
        </w:tc>
      </w:tr>
      <w:tr>
        <w:tc>
          <w:tcPr>
            <w:tcW w:type="dxa" w:w="2160"/>
          </w:tcPr>
          <w:p>
            <w:r>
              <w:rPr>
                <w:rFonts w:ascii="Times New Roman" w:hAnsi="Times New Roman"/>
                <w:sz w:val="20"/>
              </w:rPr>
              <w:t>Entropy TBG</w:t>
            </w:r>
          </w:p>
        </w:tc>
        <w:tc>
          <w:tcPr>
            <w:tcW w:type="dxa" w:w="2160"/>
          </w:tcPr>
          <w:p>
            <w:r>
              <w:rPr>
                <w:rFonts w:ascii="Times New Roman" w:hAnsi="Times New Roman"/>
                <w:sz w:val="20"/>
              </w:rPr>
              <w:t>(21, 25)</w:t>
            </w:r>
          </w:p>
        </w:tc>
        <w:tc>
          <w:tcPr>
            <w:tcW w:type="dxa" w:w="2160"/>
          </w:tcPr>
          <w:p>
            <w:r>
              <w:rPr>
                <w:rFonts w:ascii="Times New Roman" w:hAnsi="Times New Roman"/>
                <w:sz w:val="20"/>
              </w:rPr>
              <w:t>4</w:t>
            </w:r>
          </w:p>
        </w:tc>
        <w:tc>
          <w:tcPr>
            <w:tcW w:type="dxa" w:w="2160"/>
          </w:tcPr>
          <w:p>
            <w:r>
              <w:rPr>
                <w:rFonts w:ascii="Times New Roman" w:hAnsi="Times New Roman"/>
                <w:sz w:val="20"/>
              </w:rPr>
              <w:t>0.8523</w:t>
            </w:r>
          </w:p>
        </w:tc>
      </w:tr>
      <w:tr>
        <w:tc>
          <w:tcPr>
            <w:tcW w:type="dxa" w:w="2160"/>
          </w:tcPr>
          <w:p>
            <w:r>
              <w:rPr>
                <w:rFonts w:ascii="Times New Roman" w:hAnsi="Times New Roman"/>
                <w:sz w:val="20"/>
              </w:rPr>
              <w:t>Entropy SLT</w:t>
            </w:r>
          </w:p>
        </w:tc>
        <w:tc>
          <w:tcPr>
            <w:tcW w:type="dxa" w:w="2160"/>
          </w:tcPr>
          <w:p>
            <w:r>
              <w:rPr>
                <w:rFonts w:ascii="Times New Roman" w:hAnsi="Times New Roman"/>
                <w:sz w:val="20"/>
              </w:rPr>
              <w:t>(20, 24)</w:t>
            </w:r>
          </w:p>
        </w:tc>
        <w:tc>
          <w:tcPr>
            <w:tcW w:type="dxa" w:w="2160"/>
          </w:tcPr>
          <w:p>
            <w:r>
              <w:rPr>
                <w:rFonts w:ascii="Times New Roman" w:hAnsi="Times New Roman"/>
                <w:sz w:val="20"/>
              </w:rPr>
              <w:t>4</w:t>
            </w:r>
          </w:p>
        </w:tc>
        <w:tc>
          <w:tcPr>
            <w:tcW w:type="dxa" w:w="2160"/>
          </w:tcPr>
          <w:p>
            <w:r>
              <w:rPr>
                <w:rFonts w:ascii="Times New Roman" w:hAnsi="Times New Roman"/>
                <w:sz w:val="20"/>
              </w:rPr>
              <w:t>0.7725</w:t>
            </w:r>
          </w:p>
        </w:tc>
      </w:tr>
      <w:tr>
        <w:tc>
          <w:tcPr>
            <w:tcW w:type="dxa" w:w="2160"/>
          </w:tcPr>
          <w:p>
            <w:r>
              <w:rPr>
                <w:rFonts w:ascii="Times New Roman" w:hAnsi="Times New Roman"/>
                <w:sz w:val="20"/>
              </w:rPr>
              <w:t>Energy SLT</w:t>
            </w:r>
          </w:p>
        </w:tc>
        <w:tc>
          <w:tcPr>
            <w:tcW w:type="dxa" w:w="2160"/>
          </w:tcPr>
          <w:p>
            <w:r>
              <w:rPr>
                <w:rFonts w:ascii="Times New Roman" w:hAnsi="Times New Roman"/>
                <w:sz w:val="20"/>
              </w:rPr>
              <w:t>(17, 21)</w:t>
            </w:r>
          </w:p>
        </w:tc>
        <w:tc>
          <w:tcPr>
            <w:tcW w:type="dxa" w:w="2160"/>
          </w:tcPr>
          <w:p>
            <w:r>
              <w:rPr>
                <w:rFonts w:ascii="Times New Roman" w:hAnsi="Times New Roman"/>
                <w:sz w:val="20"/>
              </w:rPr>
              <w:t>4</w:t>
            </w:r>
          </w:p>
        </w:tc>
        <w:tc>
          <w:tcPr>
            <w:tcW w:type="dxa" w:w="2160"/>
          </w:tcPr>
          <w:p>
            <w:r>
              <w:rPr>
                <w:rFonts w:ascii="Times New Roman" w:hAnsi="Times New Roman"/>
                <w:sz w:val="20"/>
              </w:rPr>
              <w:t>0.7270</w:t>
            </w:r>
          </w:p>
        </w:tc>
      </w:tr>
    </w:tbl>
    <w:p/>
    <w:p>
      <w:r>
        <w:rPr>
          <w:b w:val="0"/>
          <w:i w:val="0"/>
        </w:rPr>
        <w:t>The divergence in optimal layers reflects what different transformer layers encode:</w:t>
      </w:r>
    </w:p>
    <w:p>
      <w:pPr>
        <w:pStyle w:val="ListBullet"/>
      </w:pPr>
      <w:r>
        <w:t xml:space="preserve">Early layers (0–8) </w:t>
      </w:r>
    </w:p>
    <w:p>
      <w:pPr>
        <w:ind w:left="720"/>
      </w:pPr>
      <w:r>
        <w:rPr>
          <w:b w:val="0"/>
          <w:i w:val="0"/>
        </w:rPr>
        <w:t>encode surface-level patterns: token identity, syntax, and basic word relationships. These layers recognise that a question is about geography but do not yet encode deep factual knowledge.</w:t>
      </w:r>
    </w:p>
    <w:p>
      <w:pPr>
        <w:pStyle w:val="ListBullet"/>
      </w:pPr>
      <w:r>
        <w:t xml:space="preserve">Middle layers (9–20) </w:t>
      </w:r>
    </w:p>
    <w:p>
      <w:pPr>
        <w:ind w:left="720"/>
      </w:pPr>
      <w:r>
        <w:rPr>
          <w:b w:val="0"/>
          <w:i w:val="0"/>
        </w:rPr>
        <w:t>encode semantic meaning and factual associations. This is where the model "retrieves" relevant knowledge from its training data. TBG Energy peaks here (layer 14) because factual confidence is most active in middle-layer representations.</w:t>
      </w:r>
    </w:p>
    <w:p>
      <w:pPr>
        <w:pStyle w:val="ListBullet"/>
      </w:pPr>
      <w:r>
        <w:t xml:space="preserve">Late layers (21–32) </w:t>
      </w:r>
    </w:p>
    <w:p>
      <w:pPr>
        <w:ind w:left="720"/>
      </w:pPr>
      <w:r>
        <w:rPr>
          <w:b w:val="0"/>
          <w:i w:val="0"/>
        </w:rPr>
        <w:t>encode output preparation: the model is resolving ambiguities, finalising token selection, and preparing the output distribution. TBG Entropy peaks here (layer 24) because uncertainty manifests in the output-preparation layers.</w:t>
      </w:r>
    </w:p>
    <w:p>
      <w:r>
        <w:rPr>
          <w:b w:val="0"/>
          <w:i w:val="0"/>
        </w:rPr>
        <w:t>SLT probes operate on post-generation hidden states, which contain additional context from the generated answer. Their optimal ranges (layers 17–24) sit in the upper-middle region, where the model's accumulated generation state intersects with its confidence representations.</w:t>
      </w:r>
    </w:p>
    <w:p>
      <w:pPr>
        <w:pStyle w:val="Heading3"/>
      </w:pPr>
      <w:r>
        <w:t>7.3.4.4 Final Probe Training and Evaluation</w:t>
      </w:r>
    </w:p>
    <w:p>
      <w:r>
        <w:rPr>
          <w:b w:val="0"/>
          <w:i w:val="0"/>
        </w:rPr>
        <w:t>The final probes are trained using logistic regression on the selected layer ranges. The feature vector for each record is formed by concatenating hidden state vectors across the selected layers and flattening: hidden[l₀:l₁, :].reshape(1, -1), producing a vector of (window_size × 4,096) features. StandardScaler normalisation is applied before training.</w:t>
      </w:r>
    </w:p>
    <w:p>
      <w:r>
        <w:rPr>
          <w:b w:val="0"/>
          <w:i w:val="0"/>
        </w:rPr>
        <w:t>Evaluation on the held-out test set with 1,000-sample bootstrap 95% confidence intervals:</w:t>
      </w:r>
    </w:p>
    <w:p>
      <w:r>
        <w:rPr>
          <w:i/>
          <w:sz w:val="20"/>
        </w:rPr>
        <w:t>Table 7.11 — Final probe test AUROC with bootstrap confidence intervals (Llama 3.1 8B).</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Probe</w:t>
            </w:r>
          </w:p>
        </w:tc>
        <w:tc>
          <w:tcPr>
            <w:tcW w:type="dxa" w:w="2880"/>
          </w:tcPr>
          <w:p>
            <w:r>
              <w:rPr>
                <w:rFonts w:ascii="Times New Roman" w:hAnsi="Times New Roman"/>
                <w:b/>
                <w:sz w:val="20"/>
              </w:rPr>
              <w:t>Test AUROC</w:t>
            </w:r>
          </w:p>
        </w:tc>
        <w:tc>
          <w:tcPr>
            <w:tcW w:type="dxa" w:w="2880"/>
          </w:tcPr>
          <w:p>
            <w:r>
              <w:rPr>
                <w:rFonts w:ascii="Times New Roman" w:hAnsi="Times New Roman"/>
                <w:b/>
                <w:sz w:val="20"/>
              </w:rPr>
              <w:t>95% CI</w:t>
            </w:r>
          </w:p>
        </w:tc>
      </w:tr>
      <w:tr>
        <w:tc>
          <w:tcPr>
            <w:tcW w:type="dxa" w:w="2880"/>
          </w:tcPr>
          <w:p>
            <w:r>
              <w:rPr>
                <w:rFonts w:ascii="Times New Roman" w:hAnsi="Times New Roman"/>
                <w:sz w:val="20"/>
              </w:rPr>
              <w:t>SLT Entropy</w:t>
            </w:r>
          </w:p>
        </w:tc>
        <w:tc>
          <w:tcPr>
            <w:tcW w:type="dxa" w:w="2880"/>
          </w:tcPr>
          <w:p>
            <w:r>
              <w:rPr>
                <w:rFonts w:ascii="Times New Roman" w:hAnsi="Times New Roman"/>
                <w:sz w:val="20"/>
              </w:rPr>
              <w:t>0.7877</w:t>
            </w:r>
          </w:p>
        </w:tc>
        <w:tc>
          <w:tcPr>
            <w:tcW w:type="dxa" w:w="2880"/>
          </w:tcPr>
          <w:p>
            <w:r>
              <w:rPr>
                <w:rFonts w:ascii="Times New Roman" w:hAnsi="Times New Roman"/>
                <w:sz w:val="20"/>
              </w:rPr>
              <w:t>[0.6547, 0.8949]</w:t>
            </w:r>
          </w:p>
        </w:tc>
      </w:tr>
      <w:tr>
        <w:tc>
          <w:tcPr>
            <w:tcW w:type="dxa" w:w="2880"/>
          </w:tcPr>
          <w:p>
            <w:r>
              <w:rPr>
                <w:rFonts w:ascii="Times New Roman" w:hAnsi="Times New Roman"/>
                <w:sz w:val="20"/>
              </w:rPr>
              <w:t>TBG Entropy</w:t>
            </w:r>
          </w:p>
        </w:tc>
        <w:tc>
          <w:tcPr>
            <w:tcW w:type="dxa" w:w="2880"/>
          </w:tcPr>
          <w:p>
            <w:r>
              <w:rPr>
                <w:rFonts w:ascii="Times New Roman" w:hAnsi="Times New Roman"/>
                <w:sz w:val="20"/>
              </w:rPr>
              <w:t>0.7857</w:t>
            </w:r>
          </w:p>
        </w:tc>
        <w:tc>
          <w:tcPr>
            <w:tcW w:type="dxa" w:w="2880"/>
          </w:tcPr>
          <w:p>
            <w:r>
              <w:rPr>
                <w:rFonts w:ascii="Times New Roman" w:hAnsi="Times New Roman"/>
                <w:sz w:val="20"/>
              </w:rPr>
              <w:t>[0.6389, 0.8988]</w:t>
            </w:r>
          </w:p>
        </w:tc>
      </w:tr>
      <w:tr>
        <w:tc>
          <w:tcPr>
            <w:tcW w:type="dxa" w:w="2880"/>
          </w:tcPr>
          <w:p>
            <w:r>
              <w:rPr>
                <w:rFonts w:ascii="Times New Roman" w:hAnsi="Times New Roman"/>
                <w:sz w:val="20"/>
              </w:rPr>
              <w:t>TBG Energy</w:t>
            </w:r>
          </w:p>
        </w:tc>
        <w:tc>
          <w:tcPr>
            <w:tcW w:type="dxa" w:w="2880"/>
          </w:tcPr>
          <w:p>
            <w:r>
              <w:rPr>
                <w:rFonts w:ascii="Times New Roman" w:hAnsi="Times New Roman"/>
                <w:sz w:val="20"/>
              </w:rPr>
              <w:t>0.7480</w:t>
            </w:r>
          </w:p>
        </w:tc>
        <w:tc>
          <w:tcPr>
            <w:tcW w:type="dxa" w:w="2880"/>
          </w:tcPr>
          <w:p>
            <w:r>
              <w:rPr>
                <w:rFonts w:ascii="Times New Roman" w:hAnsi="Times New Roman"/>
                <w:sz w:val="20"/>
              </w:rPr>
              <w:t>[0.5151, 0.9377]</w:t>
            </w:r>
          </w:p>
        </w:tc>
      </w:tr>
      <w:tr>
        <w:tc>
          <w:tcPr>
            <w:tcW w:type="dxa" w:w="2880"/>
          </w:tcPr>
          <w:p>
            <w:r>
              <w:rPr>
                <w:rFonts w:ascii="Times New Roman" w:hAnsi="Times New Roman"/>
                <w:sz w:val="20"/>
              </w:rPr>
              <w:t>SLT Energy</w:t>
            </w:r>
          </w:p>
        </w:tc>
        <w:tc>
          <w:tcPr>
            <w:tcW w:type="dxa" w:w="2880"/>
          </w:tcPr>
          <w:p>
            <w:r>
              <w:rPr>
                <w:rFonts w:ascii="Times New Roman" w:hAnsi="Times New Roman"/>
                <w:sz w:val="20"/>
              </w:rPr>
              <w:t>0.6667</w:t>
            </w:r>
          </w:p>
        </w:tc>
        <w:tc>
          <w:tcPr>
            <w:tcW w:type="dxa" w:w="2880"/>
          </w:tcPr>
          <w:p>
            <w:r>
              <w:rPr>
                <w:rFonts w:ascii="Times New Roman" w:hAnsi="Times New Roman"/>
                <w:sz w:val="20"/>
              </w:rPr>
              <w:t>[0.4742, 0.8370]</w:t>
            </w:r>
          </w:p>
        </w:tc>
      </w:tr>
    </w:tbl>
    <w:p/>
    <w:p>
      <w:r>
        <w:rPr>
          <w:b w:val="0"/>
          <w:i w:val="0"/>
        </w:rPr>
        <w:t>Feature ablation was conducted to evaluate whether logit summary features (mean/min/std of chosen-token logit, answer length) improve performance when combined with hidden states. The results confirm that hidden states alone are sufficient — adding logit features does not improve test AUROC. This is notable because logit features alone achieve high validation AUROC (~0.92), but this does not transfer to the test set, suggesting overfitting to the validation distribution.</w:t>
      </w:r>
    </w:p>
    <w:p>
      <w:pPr>
        <w:pStyle w:val="Heading2"/>
      </w:pPr>
      <w:r>
        <w:t>7.3.5 Teacher Fidelity and Cross-Signal Analysis</w:t>
      </w:r>
    </w:p>
    <w:p>
      <w:pPr>
        <w:pStyle w:val="Heading3"/>
      </w:pPr>
      <w:r>
        <w:t>7.3.5.1 Teacher Fidelity</w:t>
      </w:r>
    </w:p>
    <w:p>
      <w:r>
        <w:rPr>
          <w:b w:val="0"/>
          <w:i w:val="0"/>
        </w:rPr>
        <w:t>Teacher fidelity measures how well each probe's continuous output reproduces the ranking of its corresponding teacher signal, assessed via Spearman rank correlation on the test set.</w:t>
      </w:r>
    </w:p>
    <w:p>
      <w:r>
        <w:rPr>
          <w:i/>
          <w:sz w:val="20"/>
        </w:rPr>
        <w:t>Table 7.12 — Teacher fidelity (Spearman ρ) between probe outputs and raw teacher scores.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Probe</w:t>
            </w:r>
          </w:p>
        </w:tc>
        <w:tc>
          <w:tcPr>
            <w:tcW w:type="dxa" w:w="2880"/>
          </w:tcPr>
          <w:p>
            <w:r>
              <w:rPr>
                <w:rFonts w:ascii="Times New Roman" w:hAnsi="Times New Roman"/>
                <w:b/>
                <w:sz w:val="20"/>
              </w:rPr>
              <w:t>Spearman ρ</w:t>
            </w:r>
          </w:p>
        </w:tc>
        <w:tc>
          <w:tcPr>
            <w:tcW w:type="dxa" w:w="2880"/>
          </w:tcPr>
          <w:p>
            <w:r>
              <w:rPr>
                <w:rFonts w:ascii="Times New Roman" w:hAnsi="Times New Roman"/>
                <w:b/>
                <w:sz w:val="20"/>
              </w:rPr>
              <w:t>p-value</w:t>
            </w:r>
          </w:p>
        </w:tc>
      </w:tr>
      <w:tr>
        <w:tc>
          <w:tcPr>
            <w:tcW w:type="dxa" w:w="2880"/>
          </w:tcPr>
          <w:p>
            <w:r>
              <w:rPr>
                <w:rFonts w:ascii="Times New Roman" w:hAnsi="Times New Roman"/>
                <w:sz w:val="20"/>
              </w:rPr>
              <w:t>SLT Entropy</w:t>
            </w:r>
          </w:p>
        </w:tc>
        <w:tc>
          <w:tcPr>
            <w:tcW w:type="dxa" w:w="2880"/>
          </w:tcPr>
          <w:p>
            <w:r>
              <w:rPr>
                <w:rFonts w:ascii="Times New Roman" w:hAnsi="Times New Roman"/>
                <w:sz w:val="20"/>
              </w:rPr>
              <w:t>0.4330</w:t>
            </w:r>
          </w:p>
        </w:tc>
        <w:tc>
          <w:tcPr>
            <w:tcW w:type="dxa" w:w="2880"/>
          </w:tcPr>
          <w:p>
            <w:r>
              <w:rPr>
                <w:rFonts w:ascii="Times New Roman" w:hAnsi="Times New Roman"/>
                <w:sz w:val="20"/>
              </w:rPr>
              <w:t>1.68 × 10⁻³</w:t>
            </w:r>
          </w:p>
        </w:tc>
      </w:tr>
      <w:tr>
        <w:tc>
          <w:tcPr>
            <w:tcW w:type="dxa" w:w="2880"/>
          </w:tcPr>
          <w:p>
            <w:r>
              <w:rPr>
                <w:rFonts w:ascii="Times New Roman" w:hAnsi="Times New Roman"/>
                <w:sz w:val="20"/>
              </w:rPr>
              <w:t>TBG Entropy</w:t>
            </w:r>
          </w:p>
        </w:tc>
        <w:tc>
          <w:tcPr>
            <w:tcW w:type="dxa" w:w="2880"/>
          </w:tcPr>
          <w:p>
            <w:r>
              <w:rPr>
                <w:rFonts w:ascii="Times New Roman" w:hAnsi="Times New Roman"/>
                <w:sz w:val="20"/>
              </w:rPr>
              <w:t>0.4329</w:t>
            </w:r>
          </w:p>
        </w:tc>
        <w:tc>
          <w:tcPr>
            <w:tcW w:type="dxa" w:w="2880"/>
          </w:tcPr>
          <w:p>
            <w:r>
              <w:rPr>
                <w:rFonts w:ascii="Times New Roman" w:hAnsi="Times New Roman"/>
                <w:sz w:val="20"/>
              </w:rPr>
              <w:t>1.69 × 10⁻³</w:t>
            </w:r>
          </w:p>
        </w:tc>
      </w:tr>
      <w:tr>
        <w:tc>
          <w:tcPr>
            <w:tcW w:type="dxa" w:w="2880"/>
          </w:tcPr>
          <w:p>
            <w:r>
              <w:rPr>
                <w:rFonts w:ascii="Times New Roman" w:hAnsi="Times New Roman"/>
                <w:sz w:val="20"/>
              </w:rPr>
              <w:t>TBG Energy</w:t>
            </w:r>
          </w:p>
        </w:tc>
        <w:tc>
          <w:tcPr>
            <w:tcW w:type="dxa" w:w="2880"/>
          </w:tcPr>
          <w:p>
            <w:r>
              <w:rPr>
                <w:rFonts w:ascii="Times New Roman" w:hAnsi="Times New Roman"/>
                <w:sz w:val="20"/>
              </w:rPr>
              <w:t>0.2616</w:t>
            </w:r>
          </w:p>
        </w:tc>
        <w:tc>
          <w:tcPr>
            <w:tcW w:type="dxa" w:w="2880"/>
          </w:tcPr>
          <w:p>
            <w:r>
              <w:rPr>
                <w:rFonts w:ascii="Times New Roman" w:hAnsi="Times New Roman"/>
                <w:sz w:val="20"/>
              </w:rPr>
              <w:t>6.64 × 10⁻²</w:t>
            </w:r>
          </w:p>
        </w:tc>
      </w:tr>
      <w:tr>
        <w:tc>
          <w:tcPr>
            <w:tcW w:type="dxa" w:w="2880"/>
          </w:tcPr>
          <w:p>
            <w:r>
              <w:rPr>
                <w:rFonts w:ascii="Times New Roman" w:hAnsi="Times New Roman"/>
                <w:sz w:val="20"/>
              </w:rPr>
              <w:t>SLT Energy</w:t>
            </w:r>
          </w:p>
        </w:tc>
        <w:tc>
          <w:tcPr>
            <w:tcW w:type="dxa" w:w="2880"/>
          </w:tcPr>
          <w:p>
            <w:r>
              <w:rPr>
                <w:rFonts w:ascii="Times New Roman" w:hAnsi="Times New Roman"/>
                <w:sz w:val="20"/>
              </w:rPr>
              <w:t>0.2507</w:t>
            </w:r>
          </w:p>
        </w:tc>
        <w:tc>
          <w:tcPr>
            <w:tcW w:type="dxa" w:w="2880"/>
          </w:tcPr>
          <w:p>
            <w:r>
              <w:rPr>
                <w:rFonts w:ascii="Times New Roman" w:hAnsi="Times New Roman"/>
                <w:sz w:val="20"/>
              </w:rPr>
              <w:t>7.91 × 10⁻²</w:t>
            </w:r>
          </w:p>
        </w:tc>
      </w:tr>
    </w:tbl>
    <w:p/>
    <w:p>
      <w:r>
        <w:rPr>
          <w:b w:val="0"/>
          <w:i w:val="0"/>
        </w:rPr>
        <w:t>Entropy probes exhibit higher fidelity (ρ ≈ 0.43) than energy probes (ρ ≈ 0.25). This is expected: entropy depends only on cluster sizes (a simpler structural signal), while energy additionally depends on per-token logit magnitudes within each cluster — a more complex pattern that a linear probe captures less faithfully.</w:t>
      </w:r>
    </w:p>
    <w:p>
      <w:r>
        <w:rPr>
          <w:b w:val="0"/>
          <w:i w:val="0"/>
        </w:rPr>
        <w:t>Crucially, low fidelity does not imply poor hallucination detection. The probes are trained on binarised labels (confident vs. uncertain), not on reproducing exact continuous rankings. A probe can correctly classify most questions as confident or uncertain (high AUROC) while imperfectly ordering them within each class (modest ρ).</w:t>
      </w:r>
    </w:p>
    <w:p>
      <w:pPr>
        <w:pStyle w:val="Heading3"/>
      </w:pPr>
      <w:r>
        <w:t>7.3.5.2 Hallucination Detection Performance</w:t>
      </w:r>
    </w:p>
    <w:p>
      <w:r>
        <w:rPr>
          <w:b w:val="0"/>
          <w:i w:val="0"/>
        </w:rPr>
        <w:t>The practical measure of probe quality is how well they detect actual hallucinations, evaluated using model correctness as the ground truth.</w:t>
      </w:r>
    </w:p>
    <w:p>
      <w:r>
        <w:rPr>
          <w:i/>
          <w:sz w:val="20"/>
        </w:rPr>
        <w:t>Table 7.13 — Hallucination detection AUROC on the test set (Llama 3.1 8B, TriviaQA).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System</w:t>
            </w:r>
          </w:p>
        </w:tc>
        <w:tc>
          <w:tcPr>
            <w:tcW w:type="dxa" w:w="2880"/>
          </w:tcPr>
          <w:p>
            <w:r>
              <w:rPr>
                <w:rFonts w:ascii="Times New Roman" w:hAnsi="Times New Roman"/>
                <w:b/>
                <w:sz w:val="20"/>
              </w:rPr>
              <w:t>Hallucination AUROC</w:t>
            </w:r>
          </w:p>
        </w:tc>
        <w:tc>
          <w:tcPr>
            <w:tcW w:type="dxa" w:w="2880"/>
          </w:tcPr>
          <w:p>
            <w:r>
              <w:rPr>
                <w:rFonts w:ascii="Times New Roman" w:hAnsi="Times New Roman"/>
                <w:b/>
                <w:sz w:val="20"/>
              </w:rPr>
              <w:t>Cost</w:t>
            </w:r>
          </w:p>
        </w:tc>
      </w:tr>
      <w:tr>
        <w:tc>
          <w:tcPr>
            <w:tcW w:type="dxa" w:w="2880"/>
          </w:tcPr>
          <w:p>
            <w:r>
              <w:rPr>
                <w:rFonts w:ascii="Times New Roman" w:hAnsi="Times New Roman"/>
                <w:sz w:val="20"/>
              </w:rPr>
              <w:t>Full Energy Teacher (upper bound)</w:t>
            </w:r>
          </w:p>
        </w:tc>
        <w:tc>
          <w:tcPr>
            <w:tcW w:type="dxa" w:w="2880"/>
          </w:tcPr>
          <w:p>
            <w:r>
              <w:rPr>
                <w:rFonts w:ascii="Times New Roman" w:hAnsi="Times New Roman"/>
                <w:sz w:val="20"/>
              </w:rPr>
              <w:t>0.7103</w:t>
            </w:r>
          </w:p>
        </w:tc>
        <w:tc>
          <w:tcPr>
            <w:tcW w:type="dxa" w:w="2880"/>
          </w:tcPr>
          <w:p>
            <w:r>
              <w:rPr>
                <w:rFonts w:ascii="Times New Roman" w:hAnsi="Times New Roman"/>
                <w:sz w:val="20"/>
              </w:rPr>
              <w:t>60–120s</w:t>
            </w:r>
          </w:p>
        </w:tc>
      </w:tr>
      <w:tr>
        <w:tc>
          <w:tcPr>
            <w:tcW w:type="dxa" w:w="2880"/>
          </w:tcPr>
          <w:p>
            <w:r>
              <w:rPr>
                <w:rFonts w:ascii="Times New Roman" w:hAnsi="Times New Roman"/>
                <w:sz w:val="20"/>
              </w:rPr>
              <w:t>Full Entropy Teacher (upper bound)</w:t>
            </w:r>
          </w:p>
        </w:tc>
        <w:tc>
          <w:tcPr>
            <w:tcW w:type="dxa" w:w="2880"/>
          </w:tcPr>
          <w:p>
            <w:r>
              <w:rPr>
                <w:rFonts w:ascii="Times New Roman" w:hAnsi="Times New Roman"/>
                <w:sz w:val="20"/>
              </w:rPr>
              <w:t>0.7143</w:t>
            </w:r>
          </w:p>
        </w:tc>
        <w:tc>
          <w:tcPr>
            <w:tcW w:type="dxa" w:w="2880"/>
          </w:tcPr>
          <w:p>
            <w:r>
              <w:rPr>
                <w:rFonts w:ascii="Times New Roman" w:hAnsi="Times New Roman"/>
                <w:sz w:val="20"/>
              </w:rPr>
              <w:t>60–120s</w:t>
            </w:r>
          </w:p>
        </w:tc>
      </w:tr>
      <w:tr>
        <w:tc>
          <w:tcPr>
            <w:tcW w:type="dxa" w:w="2880"/>
          </w:tcPr>
          <w:p>
            <w:r>
              <w:rPr>
                <w:rFonts w:ascii="Times New Roman" w:hAnsi="Times New Roman"/>
                <w:sz w:val="20"/>
              </w:rPr>
              <w:t>SLT Energy Probe</w:t>
            </w:r>
          </w:p>
        </w:tc>
        <w:tc>
          <w:tcPr>
            <w:tcW w:type="dxa" w:w="2880"/>
          </w:tcPr>
          <w:p>
            <w:r>
              <w:rPr>
                <w:rFonts w:ascii="Times New Roman" w:hAnsi="Times New Roman"/>
                <w:sz w:val="20"/>
              </w:rPr>
              <w:t>0.7163</w:t>
            </w:r>
          </w:p>
        </w:tc>
        <w:tc>
          <w:tcPr>
            <w:tcW w:type="dxa" w:w="2880"/>
          </w:tcPr>
          <w:p>
            <w:r>
              <w:rPr>
                <w:rFonts w:ascii="Times New Roman" w:hAnsi="Times New Roman"/>
                <w:sz w:val="20"/>
              </w:rPr>
              <w:t>5–15s</w:t>
            </w:r>
          </w:p>
        </w:tc>
      </w:tr>
      <w:tr>
        <w:tc>
          <w:tcPr>
            <w:tcW w:type="dxa" w:w="2880"/>
          </w:tcPr>
          <w:p>
            <w:r>
              <w:rPr>
                <w:rFonts w:ascii="Times New Roman" w:hAnsi="Times New Roman"/>
                <w:sz w:val="20"/>
              </w:rPr>
              <w:t>TBG Entropy Probe</w:t>
            </w:r>
          </w:p>
        </w:tc>
        <w:tc>
          <w:tcPr>
            <w:tcW w:type="dxa" w:w="2880"/>
          </w:tcPr>
          <w:p>
            <w:r>
              <w:rPr>
                <w:rFonts w:ascii="Times New Roman" w:hAnsi="Times New Roman"/>
                <w:sz w:val="20"/>
              </w:rPr>
              <w:t>0.6806</w:t>
            </w:r>
          </w:p>
        </w:tc>
        <w:tc>
          <w:tcPr>
            <w:tcW w:type="dxa" w:w="2880"/>
          </w:tcPr>
          <w:p>
            <w:r>
              <w:rPr>
                <w:rFonts w:ascii="Times New Roman" w:hAnsi="Times New Roman"/>
                <w:sz w:val="20"/>
              </w:rPr>
              <w:t>0.5–2s</w:t>
            </w:r>
          </w:p>
        </w:tc>
      </w:tr>
      <w:tr>
        <w:tc>
          <w:tcPr>
            <w:tcW w:type="dxa" w:w="2880"/>
          </w:tcPr>
          <w:p>
            <w:r>
              <w:rPr>
                <w:rFonts w:ascii="Times New Roman" w:hAnsi="Times New Roman"/>
                <w:sz w:val="20"/>
              </w:rPr>
              <w:t>SLT Entropy Probe</w:t>
            </w:r>
          </w:p>
        </w:tc>
        <w:tc>
          <w:tcPr>
            <w:tcW w:type="dxa" w:w="2880"/>
          </w:tcPr>
          <w:p>
            <w:r>
              <w:rPr>
                <w:rFonts w:ascii="Times New Roman" w:hAnsi="Times New Roman"/>
                <w:sz w:val="20"/>
              </w:rPr>
              <w:t>0.6726</w:t>
            </w:r>
          </w:p>
        </w:tc>
        <w:tc>
          <w:tcPr>
            <w:tcW w:type="dxa" w:w="2880"/>
          </w:tcPr>
          <w:p>
            <w:r>
              <w:rPr>
                <w:rFonts w:ascii="Times New Roman" w:hAnsi="Times New Roman"/>
                <w:sz w:val="20"/>
              </w:rPr>
              <w:t>5–15s</w:t>
            </w:r>
          </w:p>
        </w:tc>
      </w:tr>
      <w:tr>
        <w:tc>
          <w:tcPr>
            <w:tcW w:type="dxa" w:w="2880"/>
          </w:tcPr>
          <w:p>
            <w:r>
              <w:rPr>
                <w:rFonts w:ascii="Times New Roman" w:hAnsi="Times New Roman"/>
                <w:sz w:val="20"/>
              </w:rPr>
              <w:t>TBG Energy Probe</w:t>
            </w:r>
          </w:p>
        </w:tc>
        <w:tc>
          <w:tcPr>
            <w:tcW w:type="dxa" w:w="2880"/>
          </w:tcPr>
          <w:p>
            <w:r>
              <w:rPr>
                <w:rFonts w:ascii="Times New Roman" w:hAnsi="Times New Roman"/>
                <w:sz w:val="20"/>
              </w:rPr>
              <w:t>0.6409</w:t>
            </w:r>
          </w:p>
        </w:tc>
        <w:tc>
          <w:tcPr>
            <w:tcW w:type="dxa" w:w="2880"/>
          </w:tcPr>
          <w:p>
            <w:r>
              <w:rPr>
                <w:rFonts w:ascii="Times New Roman" w:hAnsi="Times New Roman"/>
                <w:sz w:val="20"/>
              </w:rPr>
              <w:t>0.5–2s</w:t>
            </w:r>
          </w:p>
        </w:tc>
      </w:tr>
      <w:tr>
        <w:tc>
          <w:tcPr>
            <w:tcW w:type="dxa" w:w="2880"/>
          </w:tcPr>
          <w:p>
            <w:r>
              <w:rPr>
                <w:rFonts w:ascii="Times New Roman" w:hAnsi="Times New Roman"/>
                <w:sz w:val="20"/>
              </w:rPr>
              <w:t>Logit Features Only</w:t>
            </w:r>
          </w:p>
        </w:tc>
        <w:tc>
          <w:tcPr>
            <w:tcW w:type="dxa" w:w="2880"/>
          </w:tcPr>
          <w:p>
            <w:r>
              <w:rPr>
                <w:rFonts w:ascii="Times New Roman" w:hAnsi="Times New Roman"/>
                <w:sz w:val="20"/>
              </w:rPr>
              <w:t>0.8075</w:t>
            </w:r>
          </w:p>
        </w:tc>
        <w:tc>
          <w:tcPr>
            <w:tcW w:type="dxa" w:w="2880"/>
          </w:tcPr>
          <w:p>
            <w:r>
              <w:rPr>
                <w:rFonts w:ascii="Times New Roman" w:hAnsi="Times New Roman"/>
                <w:sz w:val="20"/>
              </w:rPr>
              <w:t>&lt;1ms</w:t>
            </w:r>
          </w:p>
        </w:tc>
      </w:tr>
    </w:tbl>
    <w:p/>
    <w:p>
      <w:r>
        <w:rPr>
          <w:b w:val="0"/>
          <w:i w:val="0"/>
        </w:rPr>
        <w:t>A notable finding is that the SLT Energy probe (AUROC 0.7163) slightly exceeds the energy teacher upper bound (0.7103). This may be attributed to a regularisation benefit from binarisation — the probe learns a cleaner decision boundary by ignoring fine-grained score differences that are noise-dominated.</w:t>
      </w:r>
    </w:p>
    <w:p>
      <w:pPr>
        <w:pStyle w:val="Heading3"/>
      </w:pPr>
      <w:r>
        <w:t>7.3.5.3 Cross-Signal Correlation</w:t>
      </w:r>
    </w:p>
    <w:p>
      <w:r>
        <w:rPr>
          <w:b w:val="0"/>
          <w:i w:val="0"/>
        </w:rPr>
        <w:t>At the teacher level, energy and entropy are near-perfectly anti-correlated:</w:t>
      </w:r>
    </w:p>
    <w:p>
      <w:pPr>
        <w:spacing w:before="120" w:after="120"/>
        <w:jc w:val="center"/>
      </w:pPr>
      <w:r>
        <w:rPr>
          <w:i/>
          <w:sz w:val="22"/>
        </w:rPr>
        <w:t>ρ(energy_raw, entropy_raw) = −0.9958    (p = 1.48 × 10⁻⁵¹)</w:t>
      </w:r>
    </w:p>
    <w:p>
      <w:r>
        <w:rPr>
          <w:b w:val="0"/>
          <w:i w:val="0"/>
        </w:rPr>
        <w:t>This is expected: both are computed from the same semantic clustering — they are different mathematical summaries of the same underlying phenomenon. The remaining ~0.4% of unexplained variance corresponds to the logit-magnitude information that energy captures and entropy does not.</w:t>
      </w:r>
    </w:p>
    <w:p>
      <w:r>
        <w:rPr>
          <w:b w:val="0"/>
          <w:i w:val="0"/>
        </w:rPr>
        <w:t>At the probe level, the anti-correlation is substantially weaker:</w:t>
      </w:r>
    </w:p>
    <w:p>
      <w:pPr>
        <w:spacing w:before="120" w:after="120"/>
        <w:jc w:val="center"/>
      </w:pPr>
      <w:r>
        <w:rPr>
          <w:i/>
          <w:sz w:val="22"/>
        </w:rPr>
        <w:t>ρ(energy_probe, entropy_probe) = −0.7444</w:t>
      </w:r>
    </w:p>
    <w:p>
      <w:r>
        <w:rPr>
          <w:b w:val="0"/>
          <w:i w:val="0"/>
        </w:rPr>
        <w:t>This divergence is significant: it demonstrates that the two probes extract partially independent information from hidden states, which justifies combining both signals in the per-sentence scoring pipeline (Section 7.3.7.2).</w:t>
      </w:r>
    </w:p>
    <w:p>
      <w:pPr>
        <w:pStyle w:val="Heading2"/>
      </w:pPr>
      <w:r>
        <w:t>7.3.6 Sentence-Level Decomposition and Claim Filtering</w:t>
      </w:r>
    </w:p>
    <w:p>
      <w:r>
        <w:rPr>
          <w:b w:val="0"/>
          <w:i w:val="0"/>
        </w:rPr>
        <w:t>LLM outputs typically contain multiple sentences, not all of which carry factual claims. Effective hallucination detection requires decomposing the output into individual sentences and identifying which ones warrant scoring.</w:t>
      </w:r>
    </w:p>
    <w:p>
      <w:pPr>
        <w:pStyle w:val="Heading3"/>
      </w:pPr>
      <w:r>
        <w:t>7.3.6.1 Sentence Segmentation</w:t>
      </w:r>
    </w:p>
    <w:p>
      <w:r>
        <w:rPr>
          <w:b w:val="0"/>
          <w:i w:val="0"/>
        </w:rPr>
        <w:t>Sentence boundary detection is performed using pysbd (Pragmatic Sentence Boundary Disambiguation), a rules-based segmentation library. It was selected for three properties:</w:t>
      </w:r>
    </w:p>
    <w:p>
      <w:pPr>
        <w:pStyle w:val="ListBullet"/>
      </w:pPr>
      <w:r>
        <w:t xml:space="preserve">Zero overhead: </w:t>
      </w:r>
    </w:p>
    <w:p>
      <w:pPr>
        <w:ind w:left="720"/>
      </w:pPr>
      <w:r>
        <w:rPr>
          <w:b w:val="0"/>
          <w:i w:val="0"/>
        </w:rPr>
        <w:t>No model loading, no GPU usage, deterministic output.</w:t>
      </w:r>
    </w:p>
    <w:p>
      <w:pPr>
        <w:pStyle w:val="ListBullet"/>
      </w:pPr>
      <w:r>
        <w:t xml:space="preserve">Robustness: </w:t>
      </w:r>
    </w:p>
    <w:p>
      <w:pPr>
        <w:ind w:left="720"/>
      </w:pPr>
      <w:r>
        <w:rPr>
          <w:b w:val="0"/>
          <w:i w:val="0"/>
        </w:rPr>
        <w:t>Handles abbreviations ("Dr.", "U.S."), decimal numbers ("2.1 million"), ellipsis, and numbered lists without false splits.</w:t>
      </w:r>
    </w:p>
    <w:p>
      <w:pPr>
        <w:pStyle w:val="ListBullet"/>
      </w:pPr>
      <w:r>
        <w:t xml:space="preserve">Configuration: </w:t>
      </w:r>
    </w:p>
    <w:p>
      <w:pPr>
        <w:ind w:left="720"/>
      </w:pPr>
      <w:r>
        <w:rPr>
          <w:b w:val="0"/>
          <w:i w:val="0"/>
        </w:rPr>
        <w:t>Initialised with language='en' and clean=False (preserves original whitespace and formatting).</w:t>
      </w:r>
    </w:p>
    <w:p>
      <w:pPr>
        <w:pStyle w:val="Heading3"/>
      </w:pPr>
      <w:r>
        <w:t>7.3.6.2 Token-to-Sentence Alignment</w:t>
      </w:r>
    </w:p>
    <w:p>
      <w:r>
        <w:rPr>
          <w:b w:val="0"/>
          <w:i w:val="0"/>
        </w:rPr>
        <w:t>After sentence segmentation, each generated token must be mapped to its parent sentence to enable per-sentence metric computation. The alignment procedure operates as follows:</w:t>
      </w:r>
    </w:p>
    <w:p>
      <w:pPr>
        <w:pStyle w:val="ListBullet"/>
      </w:pPr>
      <w:r>
        <w:t>Tokenise the answer with return_offsets_mapping=True to obtain character spans for each token.</w:t>
      </w:r>
    </w:p>
    <w:p>
      <w:pPr>
        <w:pStyle w:val="ListBullet"/>
      </w:pPr>
      <w:r>
        <w:t>Build sentence character spans by sequentially locating each sentence's start and end positions within the full text.</w:t>
      </w:r>
    </w:p>
    <w:p>
      <w:pPr>
        <w:pStyle w:val="ListBullet"/>
      </w:pPr>
      <w:r>
        <w:t>For each token, compute the midpoint of its character span and assign it to the sentence whose character span contains that midpoint.</w:t>
      </w:r>
    </w:p>
    <w:p>
      <w:r>
        <w:rPr>
          <w:b w:val="0"/>
          <w:i w:val="0"/>
        </w:rPr>
        <w:t>This character-midpoint approach gracefully handles tokens that span sentence boundaries (e.g., punctuation tokens).</w:t>
      </w:r>
    </w:p>
    <w:p>
      <w:pPr>
        <w:pStyle w:val="Heading3"/>
      </w:pPr>
      <w:r>
        <w:t>7.3.6.3 Claim Filtering</w:t>
      </w:r>
    </w:p>
    <w:p>
      <w:r>
        <w:rPr>
          <w:b w:val="0"/>
          <w:i w:val="0"/>
        </w:rPr>
        <w:t>The ClaimFilter class uses a pipeline of compiled regex patterns to classify each sentence as a factual claim or non-claim. Non-claim sentences (filler, hedging, meta-commentary) receive confidence = None and are excluded from all downstream aggregation.</w:t>
      </w:r>
    </w:p>
    <w:p>
      <w:r>
        <w:rPr>
          <w:i/>
          <w:sz w:val="20"/>
        </w:rPr>
        <w:t>Table 7.14 — ClaimFilter non-claim pattern categories with examples.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Category</w:t>
            </w:r>
          </w:p>
        </w:tc>
        <w:tc>
          <w:tcPr>
            <w:tcW w:type="dxa" w:w="2880"/>
          </w:tcPr>
          <w:p>
            <w:r>
              <w:rPr>
                <w:rFonts w:ascii="Times New Roman" w:hAnsi="Times New Roman"/>
                <w:b/>
                <w:sz w:val="20"/>
              </w:rPr>
              <w:t>Pattern Description</w:t>
            </w:r>
          </w:p>
        </w:tc>
        <w:tc>
          <w:tcPr>
            <w:tcW w:type="dxa" w:w="2880"/>
          </w:tcPr>
          <w:p>
            <w:r>
              <w:rPr>
                <w:rFonts w:ascii="Times New Roman" w:hAnsi="Times New Roman"/>
                <w:b/>
                <w:sz w:val="20"/>
              </w:rPr>
              <w:t>Example Match</w:t>
            </w:r>
          </w:p>
        </w:tc>
      </w:tr>
      <w:tr>
        <w:tc>
          <w:tcPr>
            <w:tcW w:type="dxa" w:w="2880"/>
          </w:tcPr>
          <w:p>
            <w:r>
              <w:rPr>
                <w:rFonts w:ascii="Times New Roman" w:hAnsi="Times New Roman"/>
                <w:sz w:val="20"/>
              </w:rPr>
              <w:t>Filler phrases</w:t>
            </w:r>
          </w:p>
        </w:tc>
        <w:tc>
          <w:tcPr>
            <w:tcW w:type="dxa" w:w="2880"/>
          </w:tcPr>
          <w:p>
            <w:r>
              <w:rPr>
                <w:rFonts w:ascii="Times New Roman" w:hAnsi="Times New Roman"/>
                <w:sz w:val="20"/>
              </w:rPr>
              <w:t>Exact match against 11 common phrases</w:t>
            </w:r>
          </w:p>
        </w:tc>
        <w:tc>
          <w:tcPr>
            <w:tcW w:type="dxa" w:w="2880"/>
          </w:tcPr>
          <w:p>
            <w:r>
              <w:rPr>
                <w:rFonts w:ascii="Times New Roman" w:hAnsi="Times New Roman"/>
                <w:sz w:val="20"/>
              </w:rPr>
              <w:t>"Of course", "Sure", "Thank you"</w:t>
            </w:r>
          </w:p>
        </w:tc>
      </w:tr>
      <w:tr>
        <w:tc>
          <w:tcPr>
            <w:tcW w:type="dxa" w:w="2880"/>
          </w:tcPr>
          <w:p>
            <w:r>
              <w:rPr>
                <w:rFonts w:ascii="Times New Roman" w:hAnsi="Times New Roman"/>
                <w:sz w:val="20"/>
              </w:rPr>
              <w:t>Transitional/meta</w:t>
            </w:r>
          </w:p>
        </w:tc>
        <w:tc>
          <w:tcPr>
            <w:tcW w:type="dxa" w:w="2880"/>
          </w:tcPr>
          <w:p>
            <w:r>
              <w:rPr>
                <w:rFonts w:ascii="Times New Roman" w:hAnsi="Times New Roman"/>
                <w:sz w:val="20"/>
              </w:rPr>
              <w:t>Starts with "Here are...", "Let me...", "In summary..."</w:t>
            </w:r>
          </w:p>
        </w:tc>
        <w:tc>
          <w:tcPr>
            <w:tcW w:type="dxa" w:w="2880"/>
          </w:tcPr>
          <w:p>
            <w:r>
              <w:rPr>
                <w:rFonts w:ascii="Times New Roman" w:hAnsi="Times New Roman"/>
                <w:sz w:val="20"/>
              </w:rPr>
              <w:t>"Here are the key points:"</w:t>
            </w:r>
          </w:p>
        </w:tc>
      </w:tr>
      <w:tr>
        <w:tc>
          <w:tcPr>
            <w:tcW w:type="dxa" w:w="2880"/>
          </w:tcPr>
          <w:p>
            <w:r>
              <w:rPr>
                <w:rFonts w:ascii="Times New Roman" w:hAnsi="Times New Roman"/>
                <w:sz w:val="20"/>
              </w:rPr>
              <w:t>Headings/labels</w:t>
            </w:r>
          </w:p>
        </w:tc>
        <w:tc>
          <w:tcPr>
            <w:tcW w:type="dxa" w:w="2880"/>
          </w:tcPr>
          <w:p>
            <w:r>
              <w:rPr>
                <w:rFonts w:ascii="Times New Roman" w:hAnsi="Times New Roman"/>
                <w:sz w:val="20"/>
              </w:rPr>
              <w:t>Short text (≤60 chars) ending with colon</w:t>
            </w:r>
          </w:p>
        </w:tc>
        <w:tc>
          <w:tcPr>
            <w:tcW w:type="dxa" w:w="2880"/>
          </w:tcPr>
          <w:p>
            <w:r>
              <w:rPr>
                <w:rFonts w:ascii="Times New Roman" w:hAnsi="Times New Roman"/>
                <w:sz w:val="20"/>
              </w:rPr>
              <w:t>"Overview:", "Step 1:"</w:t>
            </w:r>
          </w:p>
        </w:tc>
      </w:tr>
      <w:tr>
        <w:tc>
          <w:tcPr>
            <w:tcW w:type="dxa" w:w="2880"/>
          </w:tcPr>
          <w:p>
            <w:r>
              <w:rPr>
                <w:rFonts w:ascii="Times New Roman" w:hAnsi="Times New Roman"/>
                <w:sz w:val="20"/>
              </w:rPr>
              <w:t>Questions</w:t>
            </w:r>
          </w:p>
        </w:tc>
        <w:tc>
          <w:tcPr>
            <w:tcW w:type="dxa" w:w="2880"/>
          </w:tcPr>
          <w:p>
            <w:r>
              <w:rPr>
                <w:rFonts w:ascii="Times New Roman" w:hAnsi="Times New Roman"/>
                <w:sz w:val="20"/>
              </w:rPr>
              <w:t>Starts with question word, ends with ?</w:t>
            </w:r>
          </w:p>
        </w:tc>
        <w:tc>
          <w:tcPr>
            <w:tcW w:type="dxa" w:w="2880"/>
          </w:tcPr>
          <w:p>
            <w:r>
              <w:rPr>
                <w:rFonts w:ascii="Times New Roman" w:hAnsi="Times New Roman"/>
                <w:sz w:val="20"/>
              </w:rPr>
              <w:t>"What do you think?"</w:t>
            </w:r>
          </w:p>
        </w:tc>
      </w:tr>
      <w:tr>
        <w:tc>
          <w:tcPr>
            <w:tcW w:type="dxa" w:w="2880"/>
          </w:tcPr>
          <w:p>
            <w:r>
              <w:rPr>
                <w:rFonts w:ascii="Times New Roman" w:hAnsi="Times New Roman"/>
                <w:sz w:val="20"/>
              </w:rPr>
              <w:t>Hedging/opinion</w:t>
            </w:r>
          </w:p>
        </w:tc>
        <w:tc>
          <w:tcPr>
            <w:tcW w:type="dxa" w:w="2880"/>
          </w:tcPr>
          <w:p>
            <w:r>
              <w:rPr>
                <w:rFonts w:ascii="Times New Roman" w:hAnsi="Times New Roman"/>
                <w:sz w:val="20"/>
              </w:rPr>
              <w:t>Starts with "I think...", "Perhaps...", "Maybe..."</w:t>
            </w:r>
          </w:p>
        </w:tc>
        <w:tc>
          <w:tcPr>
            <w:tcW w:type="dxa" w:w="2880"/>
          </w:tcPr>
          <w:p>
            <w:r>
              <w:rPr>
                <w:rFonts w:ascii="Times New Roman" w:hAnsi="Times New Roman"/>
                <w:sz w:val="20"/>
              </w:rPr>
              <w:t>"I believe this is correct"</w:t>
            </w:r>
          </w:p>
        </w:tc>
      </w:tr>
      <w:tr>
        <w:tc>
          <w:tcPr>
            <w:tcW w:type="dxa" w:w="2880"/>
          </w:tcPr>
          <w:p>
            <w:r>
              <w:rPr>
                <w:rFonts w:ascii="Times New Roman" w:hAnsi="Times New Roman"/>
                <w:sz w:val="20"/>
              </w:rPr>
              <w:t>Advisory/disclaimer</w:t>
            </w:r>
          </w:p>
        </w:tc>
        <w:tc>
          <w:tcPr>
            <w:tcW w:type="dxa" w:w="2880"/>
          </w:tcPr>
          <w:p>
            <w:r>
              <w:rPr>
                <w:rFonts w:ascii="Times New Roman" w:hAnsi="Times New Roman"/>
                <w:sz w:val="20"/>
              </w:rPr>
              <w:t>Starts with "Please note...", "Keep in mind..."</w:t>
            </w:r>
          </w:p>
        </w:tc>
        <w:tc>
          <w:tcPr>
            <w:tcW w:type="dxa" w:w="2880"/>
          </w:tcPr>
          <w:p>
            <w:r>
              <w:rPr>
                <w:rFonts w:ascii="Times New Roman" w:hAnsi="Times New Roman"/>
                <w:sz w:val="20"/>
              </w:rPr>
              <w:t>"Please note that..."</w:t>
            </w:r>
          </w:p>
        </w:tc>
      </w:tr>
      <w:tr>
        <w:tc>
          <w:tcPr>
            <w:tcW w:type="dxa" w:w="2880"/>
          </w:tcPr>
          <w:p>
            <w:r>
              <w:rPr>
                <w:rFonts w:ascii="Times New Roman" w:hAnsi="Times New Roman"/>
                <w:sz w:val="20"/>
              </w:rPr>
              <w:t>Greeting/sign-off</w:t>
            </w:r>
          </w:p>
        </w:tc>
        <w:tc>
          <w:tcPr>
            <w:tcW w:type="dxa" w:w="2880"/>
          </w:tcPr>
          <w:p>
            <w:r>
              <w:rPr>
                <w:rFonts w:ascii="Times New Roman" w:hAnsi="Times New Roman"/>
                <w:sz w:val="20"/>
              </w:rPr>
              <w:t>Starts with "Hi", "Hello", "Hope this helps..."</w:t>
            </w:r>
          </w:p>
        </w:tc>
        <w:tc>
          <w:tcPr>
            <w:tcW w:type="dxa" w:w="2880"/>
          </w:tcPr>
          <w:p>
            <w:r>
              <w:rPr>
                <w:rFonts w:ascii="Times New Roman" w:hAnsi="Times New Roman"/>
                <w:sz w:val="20"/>
              </w:rPr>
              <w:t>"Hope this helps!"</w:t>
            </w:r>
          </w:p>
        </w:tc>
      </w:tr>
      <w:tr>
        <w:tc>
          <w:tcPr>
            <w:tcW w:type="dxa" w:w="2880"/>
          </w:tcPr>
          <w:p>
            <w:r>
              <w:rPr>
                <w:rFonts w:ascii="Times New Roman" w:hAnsi="Times New Roman"/>
                <w:sz w:val="20"/>
              </w:rPr>
              <w:t>Offers to help</w:t>
            </w:r>
          </w:p>
        </w:tc>
        <w:tc>
          <w:tcPr>
            <w:tcW w:type="dxa" w:w="2880"/>
          </w:tcPr>
          <w:p>
            <w:r>
              <w:rPr>
                <w:rFonts w:ascii="Times New Roman" w:hAnsi="Times New Roman"/>
                <w:sz w:val="20"/>
              </w:rPr>
              <w:t>Starts with "If you need...", "Feel free..."</w:t>
            </w:r>
          </w:p>
        </w:tc>
        <w:tc>
          <w:tcPr>
            <w:tcW w:type="dxa" w:w="2880"/>
          </w:tcPr>
          <w:p>
            <w:r>
              <w:rPr>
                <w:rFonts w:ascii="Times New Roman" w:hAnsi="Times New Roman"/>
                <w:sz w:val="20"/>
              </w:rPr>
              <w:t>"Feel free to ask"</w:t>
            </w:r>
          </w:p>
        </w:tc>
      </w:tr>
      <w:tr>
        <w:tc>
          <w:tcPr>
            <w:tcW w:type="dxa" w:w="2880"/>
          </w:tcPr>
          <w:p>
            <w:r>
              <w:rPr>
                <w:rFonts w:ascii="Times New Roman" w:hAnsi="Times New Roman"/>
                <w:sz w:val="20"/>
              </w:rPr>
              <w:t>Enumeration intros</w:t>
            </w:r>
          </w:p>
        </w:tc>
        <w:tc>
          <w:tcPr>
            <w:tcW w:type="dxa" w:w="2880"/>
          </w:tcPr>
          <w:p>
            <w:r>
              <w:rPr>
                <w:rFonts w:ascii="Times New Roman" w:hAnsi="Times New Roman"/>
                <w:sz w:val="20"/>
              </w:rPr>
              <w:t>Starts with "The following...", "Some examples..."</w:t>
            </w:r>
          </w:p>
        </w:tc>
        <w:tc>
          <w:tcPr>
            <w:tcW w:type="dxa" w:w="2880"/>
          </w:tcPr>
          <w:p>
            <w:r>
              <w:rPr>
                <w:rFonts w:ascii="Times New Roman" w:hAnsi="Times New Roman"/>
                <w:sz w:val="20"/>
              </w:rPr>
              <w:t>"Some key factors:"</w:t>
            </w:r>
          </w:p>
        </w:tc>
      </w:tr>
      <w:tr>
        <w:tc>
          <w:tcPr>
            <w:tcW w:type="dxa" w:w="2880"/>
          </w:tcPr>
          <w:p>
            <w:r>
              <w:rPr>
                <w:rFonts w:ascii="Times New Roman" w:hAnsi="Times New Roman"/>
                <w:sz w:val="20"/>
              </w:rPr>
              <w:t>Markdown headers</w:t>
            </w:r>
          </w:p>
        </w:tc>
        <w:tc>
          <w:tcPr>
            <w:tcW w:type="dxa" w:w="2880"/>
          </w:tcPr>
          <w:p>
            <w:r>
              <w:rPr>
                <w:rFonts w:ascii="Times New Roman" w:hAnsi="Times New Roman"/>
                <w:sz w:val="20"/>
              </w:rPr>
              <w:t>Bold text pattern (**text**:)</w:t>
            </w:r>
          </w:p>
        </w:tc>
        <w:tc>
          <w:tcPr>
            <w:tcW w:type="dxa" w:w="2880"/>
          </w:tcPr>
          <w:p>
            <w:r>
              <w:rPr>
                <w:rFonts w:ascii="Times New Roman" w:hAnsi="Times New Roman"/>
                <w:sz w:val="20"/>
              </w:rPr>
              <w:t>"**Overview:**"</w:t>
            </w:r>
          </w:p>
        </w:tc>
      </w:tr>
      <w:tr>
        <w:tc>
          <w:tcPr>
            <w:tcW w:type="dxa" w:w="2880"/>
          </w:tcPr>
          <w:p>
            <w:r>
              <w:rPr>
                <w:rFonts w:ascii="Times New Roman" w:hAnsi="Times New Roman"/>
                <w:sz w:val="20"/>
              </w:rPr>
              <w:t>Short non-numeric</w:t>
            </w:r>
          </w:p>
        </w:tc>
        <w:tc>
          <w:tcPr>
            <w:tcW w:type="dxa" w:w="2880"/>
          </w:tcPr>
          <w:p>
            <w:r>
              <w:rPr>
                <w:rFonts w:ascii="Times New Roman" w:hAnsi="Times New Roman"/>
                <w:sz w:val="20"/>
              </w:rPr>
              <w:t>Fewer than 3 words with no digits</w:t>
            </w:r>
          </w:p>
        </w:tc>
        <w:tc>
          <w:tcPr>
            <w:tcW w:type="dxa" w:w="2880"/>
          </w:tcPr>
          <w:p>
            <w:r>
              <w:rPr>
                <w:rFonts w:ascii="Times New Roman" w:hAnsi="Times New Roman"/>
                <w:sz w:val="20"/>
              </w:rPr>
              <w:t>"Okay."</w:t>
            </w:r>
          </w:p>
        </w:tc>
      </w:tr>
    </w:tbl>
    <w:p/>
    <w:p>
      <w:r>
        <w:rPr>
          <w:b w:val="0"/>
          <w:i w:val="0"/>
        </w:rPr>
        <w:t>The filter operates conservatively: any sentence that does not match a non-claim pattern is treated as a factual claim and proceeds to scoring. This design prioritises recall (scoring all potential claims) over precision (potentially scoring some non-factual sentences).</w:t>
      </w:r>
    </w:p>
    <w:p>
      <w:pPr>
        <w:pStyle w:val="Heading2"/>
      </w:pPr>
      <w:r>
        <w:t>7.3.7 Per-Sentence Scoring Pipeline</w:t>
      </w:r>
    </w:p>
    <w:p>
      <w:r>
        <w:rPr>
          <w:b w:val="0"/>
          <w:i w:val="0"/>
        </w:rPr>
        <w:t>Each claim sentence is scored through two complementary mechanisms: a logit-based baseline and a probe-based risk estimate.</w:t>
      </w:r>
    </w:p>
    <w:p>
      <w:pPr>
        <w:pStyle w:val="Heading3"/>
      </w:pPr>
      <w:r>
        <w:t>7.3.7.1 B1 Logit Confidence (Sigmoid Mapping)</w:t>
      </w:r>
    </w:p>
    <w:p>
      <w:r>
        <w:rPr>
          <w:b w:val="0"/>
          <w:i w:val="0"/>
        </w:rPr>
        <w:t>For each claim sentence, the mean chosen-token logit across all tokens in the sentence is computed and mapped to a [0, 1] confidence value via a calibrated sigmoid function.</w:t>
      </w:r>
    </w:p>
    <w:p>
      <w:pPr>
        <w:spacing w:before="120" w:after="120"/>
        <w:jc w:val="center"/>
      </w:pPr>
      <w:r>
        <w:rPr>
          <w:i/>
          <w:sz w:val="22"/>
        </w:rPr>
        <w:t>confidence(s) = 1 / (1 + exp(−(mean_logit(s) − C) / S))</w:t>
      </w:r>
      <w:r>
        <w:rPr>
          <w:sz w:val="22"/>
        </w:rPr>
        <w:t xml:space="preserve">    (Formula 5)</w:t>
      </w:r>
    </w:p>
    <w:p>
      <w:r>
        <w:rPr>
          <w:b w:val="0"/>
          <w:i/>
        </w:rPr>
        <w:t>where C = 33.0 (sigmoid centre, calibrated for Llama 3.1 8B 4-bit quantised) and S = 3.0 (scale factor controlling curve steepness).</w:t>
      </w:r>
    </w:p>
    <w:p>
      <w:r>
        <w:rPr>
          <w:b w:val="0"/>
          <w:i w:val="0"/>
        </w:rPr>
        <w:t>The centre value of 33.0 was calibrated to the typical logit range of the quantised model (approximately 25–45 for chosen tokens), placing the 50% confidence point at the distribution midpoint.</w:t>
      </w:r>
    </w:p>
    <w:p>
      <w:r>
        <w:rPr>
          <w:b/>
          <w:i w:val="0"/>
        </w:rPr>
        <w:t>Margin-based confidence boost: When the mean gap between the top-1 and top-2 logits exceeds 3.0, a linear boost is applied:</w:t>
      </w:r>
    </w:p>
    <w:p>
      <w:pPr>
        <w:spacing w:before="120" w:after="120"/>
        <w:jc w:val="center"/>
      </w:pPr>
      <w:r>
        <w:rPr>
          <w:i/>
          <w:sz w:val="22"/>
        </w:rPr>
        <w:t>boost = min(0.1,  (mean_margin − 3.0) × 0.02)</w:t>
      </w:r>
    </w:p>
    <w:p>
      <w:pPr>
        <w:spacing w:before="120" w:after="120"/>
        <w:jc w:val="center"/>
      </w:pPr>
      <w:r>
        <w:rPr>
          <w:i/>
          <w:sz w:val="22"/>
        </w:rPr>
        <w:t>confidence(s) = min(1.0,  confidence(s) + boost)</w:t>
      </w:r>
    </w:p>
    <w:p>
      <w:r>
        <w:rPr>
          <w:b w:val="0"/>
          <w:i w:val="0"/>
        </w:rPr>
        <w:t>This rewards sentences where the model exhibited strong commitment to its chosen tokens.</w:t>
      </w:r>
    </w:p>
    <w:p>
      <w:pPr>
        <w:pStyle w:val="Heading3"/>
      </w:pPr>
      <w:r>
        <w:t>7.3.7.2 Per-Sentence Dual-Probe Scoring</w:t>
      </w:r>
    </w:p>
    <w:p>
      <w:r>
        <w:rPr>
          <w:b w:val="0"/>
          <w:i w:val="0"/>
        </w:rPr>
        <w:t>For each claim sentence in SLT mode, the hidden state at the last token position of that sentence is extracted and passed through both the SLT energy and SLT entropy probes.</w:t>
      </w:r>
    </w:p>
    <w:p>
      <w:pPr>
        <w:pStyle w:val="ListBullet"/>
      </w:pPr>
      <w:r>
        <w:t>Energy probe: Outputs P(confident). Risk is inverted: energy_risk = 1 − predict_proba(X)[0, 1].</w:t>
      </w:r>
    </w:p>
    <w:p>
      <w:pPr>
        <w:pStyle w:val="ListBullet"/>
      </w:pPr>
      <w:r>
        <w:t>Entropy probe: Outputs P(uncertain). Risk is used directly: entropy_risk = predict_proba(X)[0, 1].</w:t>
      </w:r>
    </w:p>
    <w:p>
      <w:r>
        <w:rPr>
          <w:b w:val="0"/>
          <w:i w:val="0"/>
        </w:rPr>
        <w:t>The two risks are combined using weights derived from their relative validation AUROC performance:</w:t>
      </w:r>
    </w:p>
    <w:p>
      <w:pPr>
        <w:spacing w:before="120" w:after="120"/>
        <w:jc w:val="center"/>
      </w:pPr>
      <w:r>
        <w:rPr>
          <w:i/>
          <w:sz w:val="22"/>
        </w:rPr>
        <w:t>probe_risk(s) = W_entropy · entropy_risk(s) + W_energy · energy_risk(s)</w:t>
      </w:r>
      <w:r>
        <w:rPr>
          <w:sz w:val="22"/>
        </w:rPr>
        <w:t xml:space="preserve">    (Formula 6)</w:t>
      </w:r>
    </w:p>
    <w:p>
      <w:r>
        <w:rPr>
          <w:b w:val="0"/>
          <w:i/>
        </w:rPr>
        <w:t>where W_entropy = 0.773 / (0.773 + 0.727) = 0.515 and W_energy = 0.727 / (0.773 + 0.727) = 0.485.</w:t>
      </w:r>
    </w:p>
    <w:p>
      <w:r>
        <w:rPr>
          <w:b w:val="0"/>
          <w:i w:val="0"/>
        </w:rPr>
        <w:t>The entropy probe receives slightly higher weight (0.515 vs 0.485) because it demonstrated higher discrimination on the validation set (AUROC 0.773 vs 0.727).</w:t>
      </w:r>
    </w:p>
    <w:p>
      <w:r>
        <w:rPr>
          <w:b/>
          <w:i w:val="0"/>
        </w:rPr>
        <w:t>Risk-to-level override: The probe risk can escalate (but never reduce) the B1 confidence level:</w:t>
      </w:r>
    </w:p>
    <w:p>
      <w:pPr>
        <w:pStyle w:val="ListBullet"/>
      </w:pPr>
      <w:r>
        <w:t>If probe_risk ≥ 0.65 → override level to "low" (high hallucination risk)</w:t>
      </w:r>
    </w:p>
    <w:p>
      <w:pPr>
        <w:pStyle w:val="ListBullet"/>
      </w:pPr>
      <w:r>
        <w:t>If probe_risk ≥ 0.35 → override level to "medium"</w:t>
      </w:r>
    </w:p>
    <w:p>
      <w:pPr>
        <w:pStyle w:val="ListBullet"/>
      </w:pPr>
      <w:r>
        <w:t>If probe_risk &lt; 0.35 → retain the original B1 level</w:t>
      </w:r>
    </w:p>
    <w:p>
      <w:pPr>
        <w:pStyle w:val="Heading2"/>
      </w:pPr>
      <w:r>
        <w:t>7.3.8 Aggregate Hallucination Score</w:t>
      </w:r>
    </w:p>
    <w:p>
      <w:r>
        <w:rPr>
          <w:b w:val="0"/>
          <w:i w:val="0"/>
        </w:rPr>
        <w:t>The final step combines per-sentence and overall probe scores into a single aggregate risk score. The aggregation strategy adapts to answer length, reflecting the insight that the SLT hidden state becomes less representative as the generated sequence grows longer.</w:t>
      </w:r>
    </w:p>
    <w:p>
      <w:pPr>
        <w:pStyle w:val="Heading3"/>
      </w:pPr>
      <w:r>
        <w:t>7.3.8.1 Token-Length Conditional Aggregation</w:t>
      </w:r>
    </w:p>
    <w:p>
      <w:r>
        <w:rPr>
          <w:b w:val="0"/>
          <w:i w:val="0"/>
        </w:rPr>
        <w:t>A threshold of 100 tokens separates "short" and "long" answers. This boundary was calibrated against the TriviaQA training distribution, where most correct factual answers fall below this length.</w:t>
      </w:r>
    </w:p>
    <w:p>
      <w:r>
        <w:rPr>
          <w:b/>
          <w:i w:val="0"/>
        </w:rPr>
        <w:t>Short Answer Aggregation (≤ 100 tokens):</w:t>
      </w:r>
    </w:p>
    <w:p>
      <w:pPr>
        <w:spacing w:before="120" w:after="120"/>
        <w:jc w:val="center"/>
      </w:pPr>
      <w:r>
        <w:rPr>
          <w:i/>
          <w:sz w:val="22"/>
        </w:rPr>
        <w:t>slt_combined = (energy_risk + entropy_risk) / 2</w:t>
      </w:r>
      <w:r>
        <w:rPr>
          <w:sz w:val="22"/>
        </w:rPr>
        <w:t xml:space="preserve">    (Formula 7a)</w:t>
      </w:r>
    </w:p>
    <w:p>
      <w:pPr>
        <w:spacing w:before="120" w:after="120"/>
        <w:jc w:val="center"/>
      </w:pPr>
      <w:r>
        <w:rPr>
          <w:i/>
          <w:sz w:val="22"/>
        </w:rPr>
        <w:t>combined_risk = 0.5 · slt_combined + 0.5 · mean(R_sent)    if n_claims ≥ 2</w:t>
      </w:r>
      <w:r>
        <w:rPr>
          <w:sz w:val="22"/>
        </w:rPr>
        <w:t xml:space="preserve">    (Formula 7b)</w:t>
      </w:r>
    </w:p>
    <w:p>
      <w:pPr>
        <w:spacing w:before="120" w:after="120"/>
        <w:jc w:val="center"/>
      </w:pPr>
      <w:r>
        <w:rPr>
          <w:i/>
          <w:sz w:val="22"/>
        </w:rPr>
        <w:t>combined_risk = slt_combined    if n_claims &lt; 2</w:t>
      </w:r>
      <w:r>
        <w:rPr>
          <w:sz w:val="22"/>
        </w:rPr>
        <w:t xml:space="preserve">    (Formula 7c)</w:t>
      </w:r>
    </w:p>
    <w:p>
      <w:r>
        <w:rPr>
          <w:b w:val="0"/>
          <w:i w:val="0"/>
        </w:rPr>
        <w:t>For short answers with 0–1 claims, the SLT probe alone is sufficient since the SLT token position captures the entire answer's context. For 2 or more claims, a 50-50 blend with the per-sentence average provides coverage across all claims.</w:t>
      </w:r>
    </w:p>
    <w:p>
      <w:r>
        <w:rPr>
          <w:b/>
          <w:i w:val="0"/>
        </w:rPr>
        <w:t>Long Answer Aggregation (&gt; 100 tokens):</w:t>
      </w:r>
    </w:p>
    <w:p>
      <w:pPr>
        <w:spacing w:before="120" w:after="120"/>
        <w:jc w:val="center"/>
      </w:pPr>
      <w:r>
        <w:rPr>
          <w:i/>
          <w:sz w:val="22"/>
        </w:rPr>
        <w:t>w_slt = 0.15</w:t>
      </w:r>
    </w:p>
    <w:p>
      <w:pPr>
        <w:spacing w:before="120" w:after="120"/>
        <w:jc w:val="center"/>
      </w:pPr>
      <w:r>
        <w:rPr>
          <w:i/>
          <w:sz w:val="22"/>
        </w:rPr>
        <w:t>w_max = 0.25 / (1 + ln(max(n, 1)))</w:t>
      </w:r>
      <w:r>
        <w:rPr>
          <w:sz w:val="22"/>
        </w:rPr>
        <w:t xml:space="preserve">    (Formula 9)</w:t>
      </w:r>
    </w:p>
    <w:p>
      <w:pPr>
        <w:spacing w:before="120" w:after="120"/>
        <w:jc w:val="center"/>
      </w:pPr>
      <w:r>
        <w:rPr>
          <w:i/>
          <w:sz w:val="22"/>
        </w:rPr>
        <w:t>w_mean = 1.0 − w_slt − w_max</w:t>
      </w:r>
    </w:p>
    <w:p>
      <w:pPr>
        <w:spacing w:before="120" w:after="120"/>
        <w:jc w:val="center"/>
      </w:pPr>
      <w:r>
        <w:rPr>
          <w:i/>
          <w:sz w:val="22"/>
        </w:rPr>
        <w:t>combined_risk = w_slt · entropy_risk + w_max · max(R_sent) + w_mean · mean(R_sent)</w:t>
      </w:r>
      <w:r>
        <w:rPr>
          <w:sz w:val="22"/>
        </w:rPr>
        <w:t xml:space="preserve">    (Formula 8)</w:t>
      </w:r>
    </w:p>
    <w:p>
      <w:r>
        <w:rPr>
          <w:b w:val="0"/>
          <w:i w:val="0"/>
        </w:rPr>
        <w:t>The design rationale for each weight component:</w:t>
      </w:r>
    </w:p>
    <w:p>
      <w:pPr>
        <w:pStyle w:val="ListBullet"/>
      </w:pPr>
      <w:r>
        <w:t xml:space="preserve">SLT weight (0.15): </w:t>
      </w:r>
    </w:p>
    <w:p>
      <w:pPr>
        <w:ind w:left="720"/>
      </w:pPr>
      <w:r>
        <w:rPr>
          <w:b w:val="0"/>
          <w:i w:val="0"/>
        </w:rPr>
        <w:t>For long answers, the SLT token position only reflects the end of the generated sequence, making it less representative. Only the entropy component is used. It serves as a lightweight anchor rather than a primary signal.</w:t>
      </w:r>
    </w:p>
    <w:p>
      <w:pPr>
        <w:pStyle w:val="ListBullet"/>
      </w:pPr>
      <w:r>
        <w:t xml:space="preserve">Max-sentence weight (Formula 9): </w:t>
      </w:r>
    </w:p>
    <w:p>
      <w:pPr>
        <w:ind w:left="720"/>
      </w:pPr>
      <w:r>
        <w:rPr>
          <w:b w:val="0"/>
          <w:i w:val="0"/>
        </w:rPr>
        <w:t>Decays logarithmically with the number of claims, preventing a single high-risk sentence from dominating the score when many claims are present.</w:t>
      </w:r>
    </w:p>
    <w:p>
      <w:pPr>
        <w:pStyle w:val="ListBullet"/>
      </w:pPr>
      <w:r>
        <w:t xml:space="preserve">Mean-sentence weight: </w:t>
      </w:r>
    </w:p>
    <w:p>
      <w:pPr>
        <w:ind w:left="720"/>
      </w:pPr>
      <w:r>
        <w:rPr>
          <w:b w:val="0"/>
          <w:i w:val="0"/>
        </w:rPr>
        <w:t>The remainder, always the largest component, providing a stable centre-of-mass risk across all claims.</w:t>
      </w:r>
    </w:p>
    <w:p>
      <w:r>
        <w:rPr>
          <w:i/>
          <w:sz w:val="20"/>
        </w:rPr>
        <w:t>Table 7.15 — Weight distribution for long-answer aggregation as claim count increases.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Number of Claims (n)</w:t>
            </w:r>
          </w:p>
        </w:tc>
        <w:tc>
          <w:tcPr>
            <w:tcW w:type="dxa" w:w="2880"/>
          </w:tcPr>
          <w:p>
            <w:r>
              <w:rPr>
                <w:rFonts w:ascii="Times New Roman" w:hAnsi="Times New Roman"/>
                <w:b/>
                <w:sz w:val="20"/>
              </w:rPr>
              <w:t>w_max</w:t>
            </w:r>
          </w:p>
        </w:tc>
        <w:tc>
          <w:tcPr>
            <w:tcW w:type="dxa" w:w="2880"/>
          </w:tcPr>
          <w:p>
            <w:r>
              <w:rPr>
                <w:rFonts w:ascii="Times New Roman" w:hAnsi="Times New Roman"/>
                <w:b/>
                <w:sz w:val="20"/>
              </w:rPr>
              <w:t>w_mean</w:t>
            </w:r>
          </w:p>
        </w:tc>
      </w:tr>
      <w:tr>
        <w:tc>
          <w:tcPr>
            <w:tcW w:type="dxa" w:w="2880"/>
          </w:tcPr>
          <w:p>
            <w:r>
              <w:rPr>
                <w:rFonts w:ascii="Times New Roman" w:hAnsi="Times New Roman"/>
                <w:sz w:val="20"/>
              </w:rPr>
              <w:t>1</w:t>
            </w:r>
          </w:p>
        </w:tc>
        <w:tc>
          <w:tcPr>
            <w:tcW w:type="dxa" w:w="2880"/>
          </w:tcPr>
          <w:p>
            <w:r>
              <w:rPr>
                <w:rFonts w:ascii="Times New Roman" w:hAnsi="Times New Roman"/>
                <w:sz w:val="20"/>
              </w:rPr>
              <w:t>0.250</w:t>
            </w:r>
          </w:p>
        </w:tc>
        <w:tc>
          <w:tcPr>
            <w:tcW w:type="dxa" w:w="2880"/>
          </w:tcPr>
          <w:p>
            <w:r>
              <w:rPr>
                <w:rFonts w:ascii="Times New Roman" w:hAnsi="Times New Roman"/>
                <w:sz w:val="20"/>
              </w:rPr>
              <w:t>0.600</w:t>
            </w:r>
          </w:p>
        </w:tc>
      </w:tr>
      <w:tr>
        <w:tc>
          <w:tcPr>
            <w:tcW w:type="dxa" w:w="2880"/>
          </w:tcPr>
          <w:p>
            <w:r>
              <w:rPr>
                <w:rFonts w:ascii="Times New Roman" w:hAnsi="Times New Roman"/>
                <w:sz w:val="20"/>
              </w:rPr>
              <w:t>5</w:t>
            </w:r>
          </w:p>
        </w:tc>
        <w:tc>
          <w:tcPr>
            <w:tcW w:type="dxa" w:w="2880"/>
          </w:tcPr>
          <w:p>
            <w:r>
              <w:rPr>
                <w:rFonts w:ascii="Times New Roman" w:hAnsi="Times New Roman"/>
                <w:sz w:val="20"/>
              </w:rPr>
              <w:t>0.096</w:t>
            </w:r>
          </w:p>
        </w:tc>
        <w:tc>
          <w:tcPr>
            <w:tcW w:type="dxa" w:w="2880"/>
          </w:tcPr>
          <w:p>
            <w:r>
              <w:rPr>
                <w:rFonts w:ascii="Times New Roman" w:hAnsi="Times New Roman"/>
                <w:sz w:val="20"/>
              </w:rPr>
              <w:t>0.754</w:t>
            </w:r>
          </w:p>
        </w:tc>
      </w:tr>
      <w:tr>
        <w:tc>
          <w:tcPr>
            <w:tcW w:type="dxa" w:w="2880"/>
          </w:tcPr>
          <w:p>
            <w:r>
              <w:rPr>
                <w:rFonts w:ascii="Times New Roman" w:hAnsi="Times New Roman"/>
                <w:sz w:val="20"/>
              </w:rPr>
              <w:t>10</w:t>
            </w:r>
          </w:p>
        </w:tc>
        <w:tc>
          <w:tcPr>
            <w:tcW w:type="dxa" w:w="2880"/>
          </w:tcPr>
          <w:p>
            <w:r>
              <w:rPr>
                <w:rFonts w:ascii="Times New Roman" w:hAnsi="Times New Roman"/>
                <w:sz w:val="20"/>
              </w:rPr>
              <w:t>0.075</w:t>
            </w:r>
          </w:p>
        </w:tc>
        <w:tc>
          <w:tcPr>
            <w:tcW w:type="dxa" w:w="2880"/>
          </w:tcPr>
          <w:p>
            <w:r>
              <w:rPr>
                <w:rFonts w:ascii="Times New Roman" w:hAnsi="Times New Roman"/>
                <w:sz w:val="20"/>
              </w:rPr>
              <w:t>0.775</w:t>
            </w:r>
          </w:p>
        </w:tc>
      </w:tr>
      <w:tr>
        <w:tc>
          <w:tcPr>
            <w:tcW w:type="dxa" w:w="2880"/>
          </w:tcPr>
          <w:p>
            <w:r>
              <w:rPr>
                <w:rFonts w:ascii="Times New Roman" w:hAnsi="Times New Roman"/>
                <w:sz w:val="20"/>
              </w:rPr>
              <w:t>20</w:t>
            </w:r>
          </w:p>
        </w:tc>
        <w:tc>
          <w:tcPr>
            <w:tcW w:type="dxa" w:w="2880"/>
          </w:tcPr>
          <w:p>
            <w:r>
              <w:rPr>
                <w:rFonts w:ascii="Times New Roman" w:hAnsi="Times New Roman"/>
                <w:sz w:val="20"/>
              </w:rPr>
              <w:t>0.063</w:t>
            </w:r>
          </w:p>
        </w:tc>
        <w:tc>
          <w:tcPr>
            <w:tcW w:type="dxa" w:w="2880"/>
          </w:tcPr>
          <w:p>
            <w:r>
              <w:rPr>
                <w:rFonts w:ascii="Times New Roman" w:hAnsi="Times New Roman"/>
                <w:sz w:val="20"/>
              </w:rPr>
              <w:t>0.787</w:t>
            </w:r>
          </w:p>
        </w:tc>
      </w:tr>
    </w:tbl>
    <w:p/>
    <w:p>
      <w:pPr>
        <w:pStyle w:val="Heading3"/>
      </w:pPr>
      <w:r>
        <w:t>7.3.8.2 Final Confidence Level Mapping</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Combined Risk</w:t>
            </w:r>
          </w:p>
        </w:tc>
        <w:tc>
          <w:tcPr>
            <w:tcW w:type="dxa" w:w="2880"/>
          </w:tcPr>
          <w:p>
            <w:r>
              <w:rPr>
                <w:rFonts w:ascii="Times New Roman" w:hAnsi="Times New Roman"/>
                <w:b/>
                <w:sz w:val="20"/>
              </w:rPr>
              <w:t>Confidence Level</w:t>
            </w:r>
          </w:p>
        </w:tc>
        <w:tc>
          <w:tcPr>
            <w:tcW w:type="dxa" w:w="2880"/>
          </w:tcPr>
          <w:p>
            <w:r>
              <w:rPr>
                <w:rFonts w:ascii="Times New Roman" w:hAnsi="Times New Roman"/>
                <w:b/>
                <w:sz w:val="20"/>
              </w:rPr>
              <w:t>Interpretation</w:t>
            </w:r>
          </w:p>
        </w:tc>
      </w:tr>
      <w:tr>
        <w:tc>
          <w:tcPr>
            <w:tcW w:type="dxa" w:w="2880"/>
          </w:tcPr>
          <w:p>
            <w:r>
              <w:rPr>
                <w:rFonts w:ascii="Times New Roman" w:hAnsi="Times New Roman"/>
                <w:sz w:val="20"/>
              </w:rPr>
              <w:t>&lt; 0.35</w:t>
            </w:r>
          </w:p>
        </w:tc>
        <w:tc>
          <w:tcPr>
            <w:tcW w:type="dxa" w:w="2880"/>
          </w:tcPr>
          <w:p>
            <w:r>
              <w:rPr>
                <w:rFonts w:ascii="Times New Roman" w:hAnsi="Times New Roman"/>
                <w:sz w:val="20"/>
              </w:rPr>
              <w:t>High</w:t>
            </w:r>
          </w:p>
        </w:tc>
        <w:tc>
          <w:tcPr>
            <w:tcW w:type="dxa" w:w="2880"/>
          </w:tcPr>
          <w:p>
            <w:r>
              <w:rPr>
                <w:rFonts w:ascii="Times New Roman" w:hAnsi="Times New Roman"/>
                <w:sz w:val="20"/>
              </w:rPr>
              <w:t>Low hallucination risk</w:t>
            </w:r>
          </w:p>
        </w:tc>
      </w:tr>
      <w:tr>
        <w:tc>
          <w:tcPr>
            <w:tcW w:type="dxa" w:w="2880"/>
          </w:tcPr>
          <w:p>
            <w:r>
              <w:rPr>
                <w:rFonts w:ascii="Times New Roman" w:hAnsi="Times New Roman"/>
                <w:sz w:val="20"/>
              </w:rPr>
              <w:t>&lt; 0.65</w:t>
            </w:r>
          </w:p>
        </w:tc>
        <w:tc>
          <w:tcPr>
            <w:tcW w:type="dxa" w:w="2880"/>
          </w:tcPr>
          <w:p>
            <w:r>
              <w:rPr>
                <w:rFonts w:ascii="Times New Roman" w:hAnsi="Times New Roman"/>
                <w:sz w:val="20"/>
              </w:rPr>
              <w:t>Medium</w:t>
            </w:r>
          </w:p>
        </w:tc>
        <w:tc>
          <w:tcPr>
            <w:tcW w:type="dxa" w:w="2880"/>
          </w:tcPr>
          <w:p>
            <w:r>
              <w:rPr>
                <w:rFonts w:ascii="Times New Roman" w:hAnsi="Times New Roman"/>
                <w:sz w:val="20"/>
              </w:rPr>
              <w:t>Moderate hallucination risk</w:t>
            </w:r>
          </w:p>
        </w:tc>
      </w:tr>
      <w:tr>
        <w:tc>
          <w:tcPr>
            <w:tcW w:type="dxa" w:w="2880"/>
          </w:tcPr>
          <w:p>
            <w:r>
              <w:rPr>
                <w:rFonts w:ascii="Times New Roman" w:hAnsi="Times New Roman"/>
                <w:sz w:val="20"/>
              </w:rPr>
              <w:t>≥ 0.65</w:t>
            </w:r>
          </w:p>
        </w:tc>
        <w:tc>
          <w:tcPr>
            <w:tcW w:type="dxa" w:w="2880"/>
          </w:tcPr>
          <w:p>
            <w:r>
              <w:rPr>
                <w:rFonts w:ascii="Times New Roman" w:hAnsi="Times New Roman"/>
                <w:sz w:val="20"/>
              </w:rPr>
              <w:t>Low</w:t>
            </w:r>
          </w:p>
        </w:tc>
        <w:tc>
          <w:tcPr>
            <w:tcW w:type="dxa" w:w="2880"/>
          </w:tcPr>
          <w:p>
            <w:r>
              <w:rPr>
                <w:rFonts w:ascii="Times New Roman" w:hAnsi="Times New Roman"/>
                <w:sz w:val="20"/>
              </w:rPr>
              <w:t>High hallucination risk</w:t>
            </w:r>
          </w:p>
        </w:tc>
      </w:tr>
    </w:tbl>
    <w:p/>
    <w:p>
      <w:r>
        <w:rPr>
          <w:i/>
          <w:sz w:val="20"/>
        </w:rPr>
        <w:t>Table 7.16 — Summary of aggregation strategies by answer type.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Answer Type</w:t>
            </w:r>
          </w:p>
        </w:tc>
        <w:tc>
          <w:tcPr>
            <w:tcW w:type="dxa" w:w="2160"/>
          </w:tcPr>
          <w:p>
            <w:r>
              <w:rPr>
                <w:rFonts w:ascii="Times New Roman" w:hAnsi="Times New Roman"/>
                <w:b/>
                <w:sz w:val="20"/>
              </w:rPr>
              <w:t>SLT Weight</w:t>
            </w:r>
          </w:p>
        </w:tc>
        <w:tc>
          <w:tcPr>
            <w:tcW w:type="dxa" w:w="2160"/>
          </w:tcPr>
          <w:p>
            <w:r>
              <w:rPr>
                <w:rFonts w:ascii="Times New Roman" w:hAnsi="Times New Roman"/>
                <w:b/>
                <w:sz w:val="20"/>
              </w:rPr>
              <w:t>Per-Sentence Role</w:t>
            </w:r>
          </w:p>
        </w:tc>
        <w:tc>
          <w:tcPr>
            <w:tcW w:type="dxa" w:w="2160"/>
          </w:tcPr>
          <w:p>
            <w:r>
              <w:rPr>
                <w:rFonts w:ascii="Times New Roman" w:hAnsi="Times New Roman"/>
                <w:b/>
                <w:sz w:val="20"/>
              </w:rPr>
              <w:t>Max-Sentence Role</w:t>
            </w:r>
          </w:p>
        </w:tc>
      </w:tr>
      <w:tr>
        <w:tc>
          <w:tcPr>
            <w:tcW w:type="dxa" w:w="2160"/>
          </w:tcPr>
          <w:p>
            <w:r>
              <w:rPr>
                <w:rFonts w:ascii="Times New Roman" w:hAnsi="Times New Roman"/>
                <w:sz w:val="20"/>
              </w:rPr>
              <w:t>Short (≤ 100 tokens), 0–1 claims</w:t>
            </w:r>
          </w:p>
        </w:tc>
        <w:tc>
          <w:tcPr>
            <w:tcW w:type="dxa" w:w="2160"/>
          </w:tcPr>
          <w:p>
            <w:r>
              <w:rPr>
                <w:rFonts w:ascii="Times New Roman" w:hAnsi="Times New Roman"/>
                <w:sz w:val="20"/>
              </w:rPr>
              <w:t>1.0</w:t>
            </w:r>
          </w:p>
        </w:tc>
        <w:tc>
          <w:tcPr>
            <w:tcW w:type="dxa" w:w="2160"/>
          </w:tcPr>
          <w:p>
            <w:r>
              <w:rPr>
                <w:rFonts w:ascii="Times New Roman" w:hAnsi="Times New Roman"/>
                <w:sz w:val="20"/>
              </w:rPr>
              <w:t>Not used</w:t>
            </w:r>
          </w:p>
        </w:tc>
        <w:tc>
          <w:tcPr>
            <w:tcW w:type="dxa" w:w="2160"/>
          </w:tcPr>
          <w:p>
            <w:r>
              <w:rPr>
                <w:rFonts w:ascii="Times New Roman" w:hAnsi="Times New Roman"/>
                <w:sz w:val="20"/>
              </w:rPr>
              <w:t>Not used</w:t>
            </w:r>
          </w:p>
        </w:tc>
      </w:tr>
      <w:tr>
        <w:tc>
          <w:tcPr>
            <w:tcW w:type="dxa" w:w="2160"/>
          </w:tcPr>
          <w:p>
            <w:r>
              <w:rPr>
                <w:rFonts w:ascii="Times New Roman" w:hAnsi="Times New Roman"/>
                <w:sz w:val="20"/>
              </w:rPr>
              <w:t>Short (≤ 100 tokens), 2+ claims</w:t>
            </w:r>
          </w:p>
        </w:tc>
        <w:tc>
          <w:tcPr>
            <w:tcW w:type="dxa" w:w="2160"/>
          </w:tcPr>
          <w:p>
            <w:r>
              <w:rPr>
                <w:rFonts w:ascii="Times New Roman" w:hAnsi="Times New Roman"/>
                <w:sz w:val="20"/>
              </w:rPr>
              <w:t>0.5</w:t>
            </w:r>
          </w:p>
        </w:tc>
        <w:tc>
          <w:tcPr>
            <w:tcW w:type="dxa" w:w="2160"/>
          </w:tcPr>
          <w:p>
            <w:r>
              <w:rPr>
                <w:rFonts w:ascii="Times New Roman" w:hAnsi="Times New Roman"/>
                <w:sz w:val="20"/>
              </w:rPr>
              <w:t>0.5 (mean)</w:t>
            </w:r>
          </w:p>
        </w:tc>
        <w:tc>
          <w:tcPr>
            <w:tcW w:type="dxa" w:w="2160"/>
          </w:tcPr>
          <w:p>
            <w:r>
              <w:rPr>
                <w:rFonts w:ascii="Times New Roman" w:hAnsi="Times New Roman"/>
                <w:sz w:val="20"/>
              </w:rPr>
              <w:t>Not used</w:t>
            </w:r>
          </w:p>
        </w:tc>
      </w:tr>
      <w:tr>
        <w:tc>
          <w:tcPr>
            <w:tcW w:type="dxa" w:w="2160"/>
          </w:tcPr>
          <w:p>
            <w:r>
              <w:rPr>
                <w:rFonts w:ascii="Times New Roman" w:hAnsi="Times New Roman"/>
                <w:sz w:val="20"/>
              </w:rPr>
              <w:t>Long (&gt; 100 tokens)</w:t>
            </w:r>
          </w:p>
        </w:tc>
        <w:tc>
          <w:tcPr>
            <w:tcW w:type="dxa" w:w="2160"/>
          </w:tcPr>
          <w:p>
            <w:r>
              <w:rPr>
                <w:rFonts w:ascii="Times New Roman" w:hAnsi="Times New Roman"/>
                <w:sz w:val="20"/>
              </w:rPr>
              <w:t>0.15 (entropy only)</w:t>
            </w:r>
          </w:p>
        </w:tc>
        <w:tc>
          <w:tcPr>
            <w:tcW w:type="dxa" w:w="2160"/>
          </w:tcPr>
          <w:p>
            <w:r>
              <w:rPr>
                <w:rFonts w:ascii="Times New Roman" w:hAnsi="Times New Roman"/>
                <w:sz w:val="20"/>
              </w:rPr>
              <w:t>Remainder (mean)</w:t>
            </w:r>
          </w:p>
        </w:tc>
        <w:tc>
          <w:tcPr>
            <w:tcW w:type="dxa" w:w="2160"/>
          </w:tcPr>
          <w:p>
            <w:r>
              <w:rPr>
                <w:rFonts w:ascii="Times New Roman" w:hAnsi="Times New Roman"/>
                <w:sz w:val="20"/>
              </w:rPr>
              <w:t>0.25 / ln(n+1)</w:t>
            </w:r>
          </w:p>
        </w:tc>
      </w:tr>
    </w:tbl>
    <w:p/>
    <w:p>
      <w:pPr>
        <w:pStyle w:val="Heading2"/>
      </w:pPr>
      <w:r>
        <w:t>7.3.9 System Architecture and Module Design</w:t>
      </w:r>
    </w:p>
    <w:p>
      <w:r>
        <w:rPr>
          <w:b w:val="0"/>
          <w:i w:val="0"/>
        </w:rPr>
        <w:t>This section covers the system's structure, code design, and module integration. Table 7.16 first delineates which components are adopted from prior work and which are original contributions of this project.</w:t>
      </w:r>
    </w:p>
    <w:p>
      <w:r>
        <w:rPr>
          <w:i/>
          <w:sz w:val="20"/>
        </w:rPr>
        <w:t>Table 7.16 — Contribution scope: adopted components and original contributions (marked [THIS WORK]).</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Component</w:t>
            </w:r>
          </w:p>
        </w:tc>
        <w:tc>
          <w:tcPr>
            <w:tcW w:type="dxa" w:w="2880"/>
          </w:tcPr>
          <w:p>
            <w:r>
              <w:rPr>
                <w:rFonts w:ascii="Times New Roman" w:hAnsi="Times New Roman"/>
                <w:b/>
                <w:sz w:val="20"/>
              </w:rPr>
              <w:t>Origin</w:t>
            </w:r>
          </w:p>
        </w:tc>
        <w:tc>
          <w:tcPr>
            <w:tcW w:type="dxa" w:w="2880"/>
          </w:tcPr>
          <w:p>
            <w:r>
              <w:rPr>
                <w:rFonts w:ascii="Times New Roman" w:hAnsi="Times New Roman"/>
                <w:b/>
                <w:sz w:val="20"/>
              </w:rPr>
              <w:t>Notes</w:t>
            </w:r>
          </w:p>
        </w:tc>
      </w:tr>
      <w:tr>
        <w:tc>
          <w:tcPr>
            <w:tcW w:type="dxa" w:w="2880"/>
          </w:tcPr>
          <w:p>
            <w:r>
              <w:rPr>
                <w:rFonts w:ascii="Times New Roman" w:hAnsi="Times New Roman"/>
                <w:sz w:val="20"/>
              </w:rPr>
              <w:t>Semantic Entropy framework</w:t>
            </w:r>
          </w:p>
        </w:tc>
        <w:tc>
          <w:tcPr>
            <w:tcW w:type="dxa" w:w="2880"/>
          </w:tcPr>
          <w:p>
            <w:r>
              <w:rPr>
                <w:rFonts w:ascii="Times New Roman" w:hAnsi="Times New Roman"/>
                <w:sz w:val="20"/>
              </w:rPr>
              <w:t>Kuhn et al. (2023)</w:t>
            </w:r>
          </w:p>
        </w:tc>
        <w:tc>
          <w:tcPr>
            <w:tcW w:type="dxa" w:w="2880"/>
          </w:tcPr>
          <w:p>
            <w:r>
              <w:rPr>
                <w:rFonts w:ascii="Times New Roman" w:hAnsi="Times New Roman"/>
                <w:sz w:val="20"/>
              </w:rPr>
              <w:t>Multi-sample generation, semantic clustering, Shannon entropy formula</w:t>
            </w:r>
          </w:p>
        </w:tc>
      </w:tr>
      <w:tr>
        <w:tc>
          <w:tcPr>
            <w:tcW w:type="dxa" w:w="2880"/>
          </w:tcPr>
          <w:p>
            <w:r>
              <w:rPr>
                <w:rFonts w:ascii="Times New Roman" w:hAnsi="Times New Roman"/>
                <w:sz w:val="20"/>
              </w:rPr>
              <w:t>Semantic Energy teacher</w:t>
            </w:r>
          </w:p>
        </w:tc>
        <w:tc>
          <w:tcPr>
            <w:tcW w:type="dxa" w:w="2880"/>
          </w:tcPr>
          <w:p>
            <w:r>
              <w:rPr>
                <w:rFonts w:ascii="Times New Roman" w:hAnsi="Times New Roman"/>
                <w:sz w:val="20"/>
              </w:rPr>
              <w:t>Prior work</w:t>
            </w:r>
          </w:p>
        </w:tc>
        <w:tc>
          <w:tcPr>
            <w:tcW w:type="dxa" w:w="2880"/>
          </w:tcPr>
          <w:p>
            <w:r>
              <w:rPr>
                <w:rFonts w:ascii="Times New Roman" w:hAnsi="Times New Roman"/>
                <w:sz w:val="20"/>
              </w:rPr>
              <w:t>Boltzmann energy per sample, cluster energy normalisation</w:t>
            </w:r>
          </w:p>
        </w:tc>
      </w:tr>
      <w:tr>
        <w:tc>
          <w:tcPr>
            <w:tcW w:type="dxa" w:w="2880"/>
          </w:tcPr>
          <w:p>
            <w:r>
              <w:rPr>
                <w:rFonts w:ascii="Times New Roman" w:hAnsi="Times New Roman"/>
                <w:sz w:val="20"/>
              </w:rPr>
              <w:t>pysbd sentence segmentation</w:t>
            </w:r>
          </w:p>
        </w:tc>
        <w:tc>
          <w:tcPr>
            <w:tcW w:type="dxa" w:w="2880"/>
          </w:tcPr>
          <w:p>
            <w:r>
              <w:rPr>
                <w:rFonts w:ascii="Times New Roman" w:hAnsi="Times New Roman"/>
                <w:sz w:val="20"/>
              </w:rPr>
              <w:t>Open-source library</w:t>
            </w:r>
          </w:p>
        </w:tc>
        <w:tc>
          <w:tcPr>
            <w:tcW w:type="dxa" w:w="2880"/>
          </w:tcPr>
          <w:p>
            <w:r>
              <w:rPr>
                <w:rFonts w:ascii="Times New Roman" w:hAnsi="Times New Roman"/>
                <w:sz w:val="20"/>
              </w:rPr>
              <w:t>Adopted unchanged; language='en', clean=False</w:t>
            </w:r>
          </w:p>
        </w:tc>
      </w:tr>
      <w:tr>
        <w:tc>
          <w:tcPr>
            <w:tcW w:type="dxa" w:w="2880"/>
          </w:tcPr>
          <w:p>
            <w:r>
              <w:rPr>
                <w:rFonts w:ascii="Times New Roman" w:hAnsi="Times New Roman"/>
                <w:sz w:val="20"/>
              </w:rPr>
              <w:t>sklearn LogisticRegression</w:t>
            </w:r>
          </w:p>
        </w:tc>
        <w:tc>
          <w:tcPr>
            <w:tcW w:type="dxa" w:w="2880"/>
          </w:tcPr>
          <w:p>
            <w:r>
              <w:rPr>
                <w:rFonts w:ascii="Times New Roman" w:hAnsi="Times New Roman"/>
                <w:sz w:val="20"/>
              </w:rPr>
              <w:t>Open-source library</w:t>
            </w:r>
          </w:p>
        </w:tc>
        <w:tc>
          <w:tcPr>
            <w:tcW w:type="dxa" w:w="2880"/>
          </w:tcPr>
          <w:p>
            <w:r>
              <w:rPr>
                <w:rFonts w:ascii="Times New Roman" w:hAnsi="Times New Roman"/>
                <w:sz w:val="20"/>
              </w:rPr>
              <w:t>Used as probe classifier; hyperparameters tuned in this work</w:t>
            </w:r>
          </w:p>
        </w:tc>
      </w:tr>
      <w:tr>
        <w:tc>
          <w:tcPr>
            <w:tcW w:type="dxa" w:w="2880"/>
          </w:tcPr>
          <w:p>
            <w:r>
              <w:rPr>
                <w:rFonts w:ascii="Times New Roman" w:hAnsi="Times New Roman"/>
                <w:sz w:val="20"/>
              </w:rPr>
              <w:t>Probe architecture (4-probe matrix) [THIS WORK]</w:t>
            </w:r>
          </w:p>
        </w:tc>
        <w:tc>
          <w:tcPr>
            <w:tcW w:type="dxa" w:w="2880"/>
          </w:tcPr>
          <w:p>
            <w:r>
              <w:rPr>
                <w:rFonts w:ascii="Times New Roman" w:hAnsi="Times New Roman"/>
                <w:sz w:val="20"/>
              </w:rPr>
              <w:t>This work</w:t>
            </w:r>
          </w:p>
        </w:tc>
        <w:tc>
          <w:tcPr>
            <w:tcW w:type="dxa" w:w="2880"/>
          </w:tcPr>
          <w:p>
            <w:r>
              <w:rPr>
                <w:rFonts w:ascii="Times New Roman" w:hAnsi="Times New Roman"/>
                <w:sz w:val="20"/>
              </w:rPr>
              <w:t>TBG/SLT position rationale, 2x2 teacher x position design, layer range selection</w:t>
            </w:r>
          </w:p>
        </w:tc>
      </w:tr>
      <w:tr>
        <w:tc>
          <w:tcPr>
            <w:tcW w:type="dxa" w:w="2880"/>
          </w:tcPr>
          <w:p>
            <w:r>
              <w:rPr>
                <w:rFonts w:ascii="Times New Roman" w:hAnsi="Times New Roman"/>
                <w:sz w:val="20"/>
              </w:rPr>
              <w:t>Hidden state extraction pipeline [THIS WORK]</w:t>
            </w:r>
          </w:p>
        </w:tc>
        <w:tc>
          <w:tcPr>
            <w:tcW w:type="dxa" w:w="2880"/>
          </w:tcPr>
          <w:p>
            <w:r>
              <w:rPr>
                <w:rFonts w:ascii="Times New Roman" w:hAnsi="Times New Roman"/>
                <w:sz w:val="20"/>
              </w:rPr>
              <w:t>This work</w:t>
            </w:r>
          </w:p>
        </w:tc>
        <w:tc>
          <w:tcPr>
            <w:tcW w:type="dxa" w:w="2880"/>
          </w:tcPr>
          <w:p>
            <w:r>
              <w:rPr>
                <w:rFonts w:ascii="Times New Roman" w:hAnsi="Times New Roman"/>
                <w:sz w:val="20"/>
              </w:rPr>
              <w:t>Separate forward pass design, tensor shape handling, sentence-end token positions</w:t>
            </w:r>
          </w:p>
        </w:tc>
      </w:tr>
      <w:tr>
        <w:tc>
          <w:tcPr>
            <w:tcW w:type="dxa" w:w="2880"/>
          </w:tcPr>
          <w:p>
            <w:r>
              <w:rPr>
                <w:rFonts w:ascii="Times New Roman" w:hAnsi="Times New Roman"/>
                <w:sz w:val="20"/>
              </w:rPr>
              <w:t>Label binarisation scheme [THIS WORK]</w:t>
            </w:r>
          </w:p>
        </w:tc>
        <w:tc>
          <w:tcPr>
            <w:tcW w:type="dxa" w:w="2880"/>
          </w:tcPr>
          <w:p>
            <w:r>
              <w:rPr>
                <w:rFonts w:ascii="Times New Roman" w:hAnsi="Times New Roman"/>
                <w:sz w:val="20"/>
              </w:rPr>
              <w:t>This work</w:t>
            </w:r>
          </w:p>
        </w:tc>
        <w:tc>
          <w:tcPr>
            <w:tcW w:type="dxa" w:w="2880"/>
          </w:tcPr>
          <w:p>
            <w:r>
              <w:rPr>
                <w:rFonts w:ascii="Times New Roman" w:hAnsi="Times New Roman"/>
                <w:sz w:val="20"/>
              </w:rPr>
              <w:t>MSE-minimising threshold sweep on training distribution</w:t>
            </w:r>
          </w:p>
        </w:tc>
      </w:tr>
      <w:tr>
        <w:tc>
          <w:tcPr>
            <w:tcW w:type="dxa" w:w="2880"/>
          </w:tcPr>
          <w:p>
            <w:r>
              <w:rPr>
                <w:rFonts w:ascii="Times New Roman" w:hAnsi="Times New Roman"/>
                <w:sz w:val="20"/>
              </w:rPr>
              <w:t>ClaimFilter [THIS WORK]</w:t>
            </w:r>
          </w:p>
        </w:tc>
        <w:tc>
          <w:tcPr>
            <w:tcW w:type="dxa" w:w="2880"/>
          </w:tcPr>
          <w:p>
            <w:r>
              <w:rPr>
                <w:rFonts w:ascii="Times New Roman" w:hAnsi="Times New Roman"/>
                <w:sz w:val="20"/>
              </w:rPr>
              <w:t>This work</w:t>
            </w:r>
          </w:p>
        </w:tc>
        <w:tc>
          <w:tcPr>
            <w:tcW w:type="dxa" w:w="2880"/>
          </w:tcPr>
          <w:p>
            <w:r>
              <w:rPr>
                <w:rFonts w:ascii="Times New Roman" w:hAnsi="Times New Roman"/>
                <w:sz w:val="20"/>
              </w:rPr>
              <w:t>Sequential regex pipeline, 9 non-claim pattern categories</w:t>
            </w:r>
          </w:p>
        </w:tc>
      </w:tr>
      <w:tr>
        <w:tc>
          <w:tcPr>
            <w:tcW w:type="dxa" w:w="2880"/>
          </w:tcPr>
          <w:p>
            <w:r>
              <w:rPr>
                <w:rFonts w:ascii="Times New Roman" w:hAnsi="Times New Roman"/>
                <w:sz w:val="20"/>
              </w:rPr>
              <w:t>Conditional risk aggregation [THIS WORK]</w:t>
            </w:r>
          </w:p>
        </w:tc>
        <w:tc>
          <w:tcPr>
            <w:tcW w:type="dxa" w:w="2880"/>
          </w:tcPr>
          <w:p>
            <w:r>
              <w:rPr>
                <w:rFonts w:ascii="Times New Roman" w:hAnsi="Times New Roman"/>
                <w:sz w:val="20"/>
              </w:rPr>
              <w:t>This work</w:t>
            </w:r>
          </w:p>
        </w:tc>
        <w:tc>
          <w:tcPr>
            <w:tcW w:type="dxa" w:w="2880"/>
          </w:tcPr>
          <w:p>
            <w:r>
              <w:rPr>
                <w:rFonts w:ascii="Times New Roman" w:hAnsi="Times New Roman"/>
                <w:sz w:val="20"/>
              </w:rPr>
              <w:t>Token-length conditional strategy, logarithmic max-sentence decay (Formula 8)</w:t>
            </w:r>
          </w:p>
        </w:tc>
      </w:tr>
      <w:tr>
        <w:tc>
          <w:tcPr>
            <w:tcW w:type="dxa" w:w="2880"/>
          </w:tcPr>
          <w:p>
            <w:r>
              <w:rPr>
                <w:rFonts w:ascii="Times New Roman" w:hAnsi="Times New Roman"/>
                <w:sz w:val="20"/>
              </w:rPr>
              <w:t>FastAPI scoring API [THIS WORK]</w:t>
            </w:r>
          </w:p>
        </w:tc>
        <w:tc>
          <w:tcPr>
            <w:tcW w:type="dxa" w:w="2880"/>
          </w:tcPr>
          <w:p>
            <w:r>
              <w:rPr>
                <w:rFonts w:ascii="Times New Roman" w:hAnsi="Times New Roman"/>
                <w:sz w:val="20"/>
              </w:rPr>
              <w:t>This work</w:t>
            </w:r>
          </w:p>
        </w:tc>
        <w:tc>
          <w:tcPr>
            <w:tcW w:type="dxa" w:w="2880"/>
          </w:tcPr>
          <w:p>
            <w:r>
              <w:rPr>
                <w:rFonts w:ascii="Times New Roman" w:hAnsi="Times New Roman"/>
                <w:sz w:val="20"/>
              </w:rPr>
              <w:t>Three-endpoint architecture (Full SE / Fast SLT / Fast TBG)</w:t>
            </w:r>
          </w:p>
        </w:tc>
      </w:tr>
      <w:tr>
        <w:tc>
          <w:tcPr>
            <w:tcW w:type="dxa" w:w="2880"/>
          </w:tcPr>
          <w:p>
            <w:r>
              <w:rPr>
                <w:rFonts w:ascii="Times New Roman" w:hAnsi="Times New Roman"/>
                <w:sz w:val="20"/>
              </w:rPr>
              <w:t>Frontend SPA [THIS WORK]</w:t>
            </w:r>
          </w:p>
        </w:tc>
        <w:tc>
          <w:tcPr>
            <w:tcW w:type="dxa" w:w="2880"/>
          </w:tcPr>
          <w:p>
            <w:r>
              <w:rPr>
                <w:rFonts w:ascii="Times New Roman" w:hAnsi="Times New Roman"/>
                <w:sz w:val="20"/>
              </w:rPr>
              <w:t>This work</w:t>
            </w:r>
          </w:p>
        </w:tc>
        <w:tc>
          <w:tcPr>
            <w:tcW w:type="dxa" w:w="2880"/>
          </w:tcPr>
          <w:p>
            <w:r>
              <w:rPr>
                <w:rFonts w:ascii="Times New Roman" w:hAnsi="Times New Roman"/>
                <w:sz w:val="20"/>
              </w:rPr>
              <w:t>Vanilla JS chat interface with per-sentence risk bars and SVG score history</w:t>
            </w:r>
          </w:p>
        </w:tc>
      </w:tr>
    </w:tbl>
    <w:p/>
    <w:p>
      <w:pPr>
        <w:pStyle w:val="Heading3"/>
      </w:pPr>
      <w:r>
        <w:t>7.3.9.1 Backend Architecture</w:t>
      </w:r>
    </w:p>
    <w:p>
      <w:r>
        <w:rPr>
          <w:b w:val="0"/>
          <w:i w:val="0"/>
        </w:rPr>
        <w:t>The backend follows a modular design with clear separation of concerns.</w:t>
      </w:r>
    </w:p>
    <w:p>
      <w:r>
        <w:rPr>
          <w:i/>
          <w:sz w:val="20"/>
        </w:rPr>
        <w:t>Table 7.17 — Backend module responsibilities.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Module</w:t>
            </w:r>
          </w:p>
        </w:tc>
        <w:tc>
          <w:tcPr>
            <w:tcW w:type="dxa" w:w="2880"/>
          </w:tcPr>
          <w:p>
            <w:r>
              <w:rPr>
                <w:rFonts w:ascii="Times New Roman" w:hAnsi="Times New Roman"/>
                <w:b/>
                <w:sz w:val="20"/>
              </w:rPr>
              <w:t>File</w:t>
            </w:r>
          </w:p>
        </w:tc>
        <w:tc>
          <w:tcPr>
            <w:tcW w:type="dxa" w:w="2880"/>
          </w:tcPr>
          <w:p>
            <w:r>
              <w:rPr>
                <w:rFonts w:ascii="Times New Roman" w:hAnsi="Times New Roman"/>
                <w:b/>
                <w:sz w:val="20"/>
              </w:rPr>
              <w:t>Responsibility</w:t>
            </w:r>
          </w:p>
        </w:tc>
      </w:tr>
      <w:tr>
        <w:tc>
          <w:tcPr>
            <w:tcW w:type="dxa" w:w="2880"/>
          </w:tcPr>
          <w:p>
            <w:r>
              <w:rPr>
                <w:rFonts w:ascii="Times New Roman" w:hAnsi="Times New Roman"/>
                <w:sz w:val="20"/>
              </w:rPr>
              <w:t>API Layer</w:t>
            </w:r>
          </w:p>
        </w:tc>
        <w:tc>
          <w:tcPr>
            <w:tcW w:type="dxa" w:w="2880"/>
          </w:tcPr>
          <w:p>
            <w:r>
              <w:rPr>
                <w:rFonts w:ascii="Times New Roman" w:hAnsi="Times New Roman"/>
                <w:sz w:val="20"/>
              </w:rPr>
              <w:t>backend/app.py (297 lines)</w:t>
            </w:r>
          </w:p>
        </w:tc>
        <w:tc>
          <w:tcPr>
            <w:tcW w:type="dxa" w:w="2880"/>
          </w:tcPr>
          <w:p>
            <w:r>
              <w:rPr>
                <w:rFonts w:ascii="Times New Roman" w:hAnsi="Times New Roman"/>
                <w:sz w:val="20"/>
              </w:rPr>
              <w:t>FastAPI application, endpoint routing, model lifecycle management, probe bundle loading</w:t>
            </w:r>
          </w:p>
        </w:tc>
      </w:tr>
      <w:tr>
        <w:tc>
          <w:tcPr>
            <w:tcW w:type="dxa" w:w="2880"/>
          </w:tcPr>
          <w:p>
            <w:r>
              <w:rPr>
                <w:rFonts w:ascii="Times New Roman" w:hAnsi="Times New Roman"/>
                <w:sz w:val="20"/>
              </w:rPr>
              <w:t>Semantic Engine</w:t>
            </w:r>
          </w:p>
        </w:tc>
        <w:tc>
          <w:tcPr>
            <w:tcW w:type="dxa" w:w="2880"/>
          </w:tcPr>
          <w:p>
            <w:r>
              <w:rPr>
                <w:rFonts w:ascii="Times New Roman" w:hAnsi="Times New Roman"/>
                <w:sz w:val="20"/>
              </w:rPr>
              <w:t>backend/engine.py (671 lines)</w:t>
            </w:r>
          </w:p>
        </w:tc>
        <w:tc>
          <w:tcPr>
            <w:tcW w:type="dxa" w:w="2880"/>
          </w:tcPr>
          <w:p>
            <w:r>
              <w:rPr>
                <w:rFonts w:ascii="Times New Roman" w:hAnsi="Times New Roman"/>
                <w:sz w:val="20"/>
              </w:rPr>
              <w:t>LLM loading (8-bit quantised), generation, semantic clustering, hidden state extraction, probe scoring, sentence-level scoring, risk aggregation</w:t>
            </w:r>
          </w:p>
        </w:tc>
      </w:tr>
      <w:tr>
        <w:tc>
          <w:tcPr>
            <w:tcW w:type="dxa" w:w="2880"/>
          </w:tcPr>
          <w:p>
            <w:r>
              <w:rPr>
                <w:rFonts w:ascii="Times New Roman" w:hAnsi="Times New Roman"/>
                <w:sz w:val="20"/>
              </w:rPr>
              <w:t>Claim Filter</w:t>
            </w:r>
          </w:p>
        </w:tc>
        <w:tc>
          <w:tcPr>
            <w:tcW w:type="dxa" w:w="2880"/>
          </w:tcPr>
          <w:p>
            <w:r>
              <w:rPr>
                <w:rFonts w:ascii="Times New Roman" w:hAnsi="Times New Roman"/>
                <w:sz w:val="20"/>
              </w:rPr>
              <w:t>backend/claim_filter.py (74 lines)</w:t>
            </w:r>
          </w:p>
        </w:tc>
        <w:tc>
          <w:tcPr>
            <w:tcW w:type="dxa" w:w="2880"/>
          </w:tcPr>
          <w:p>
            <w:r>
              <w:rPr>
                <w:rFonts w:ascii="Times New Roman" w:hAnsi="Times New Roman"/>
                <w:sz w:val="20"/>
              </w:rPr>
              <w:t>Regex-based sentence classification (claim vs non-claim), zero external dependencies</w:t>
            </w:r>
          </w:p>
        </w:tc>
      </w:tr>
      <w:tr>
        <w:tc>
          <w:tcPr>
            <w:tcW w:type="dxa" w:w="2880"/>
          </w:tcPr>
          <w:p>
            <w:r>
              <w:rPr>
                <w:rFonts w:ascii="Times New Roman" w:hAnsi="Times New Roman"/>
                <w:sz w:val="20"/>
              </w:rPr>
              <w:t>Probe Bundle</w:t>
            </w:r>
          </w:p>
        </w:tc>
        <w:tc>
          <w:tcPr>
            <w:tcW w:type="dxa" w:w="2880"/>
          </w:tcPr>
          <w:p>
            <w:r>
              <w:rPr>
                <w:rFonts w:ascii="Times New Roman" w:hAnsi="Times New Roman"/>
                <w:sz w:val="20"/>
              </w:rPr>
              <w:t>backend/models/*.pkl</w:t>
            </w:r>
          </w:p>
        </w:tc>
        <w:tc>
          <w:tcPr>
            <w:tcW w:type="dxa" w:w="2880"/>
          </w:tcPr>
          <w:p>
            <w:r>
              <w:rPr>
                <w:rFonts w:ascii="Times New Roman" w:hAnsi="Times New Roman"/>
                <w:sz w:val="20"/>
              </w:rPr>
              <w:t>Serialised bundle: 4 LogisticRegression probes, 4 StandardScaler preprocessors, 4 layer range tuples</w:t>
            </w:r>
          </w:p>
        </w:tc>
      </w:tr>
    </w:tbl>
    <w:p/>
    <w:p>
      <w:r>
        <w:rPr>
          <w:b w:val="0"/>
          <w:i w:val="0"/>
        </w:rPr>
        <w:t>The SemanticEngine class is the core computational module, responsible for model management, response generation, semantic analysis, hidden state extraction, probe inference, and sentence processing.</w:t>
      </w:r>
    </w:p>
    <w:p>
      <w:pPr>
        <w:pStyle w:val="Heading3"/>
      </w:pPr>
      <w:r>
        <w:t>7.3.9.2 SemanticEngine Code Structure</w:t>
      </w:r>
    </w:p>
    <w:p>
      <w:r>
        <w:rPr>
          <w:b w:val="0"/>
          <w:i w:val="0"/>
        </w:rPr>
        <w:t>The SemanticEngine class in backend/engine.py is instantiated once at application startup and held as a module-level variable in app.py — a Singleton pattern that keeps the LLM (~8 GB VRAM) resident across requests, eliminating the 30-60 second reload cost on every query.</w:t>
      </w:r>
    </w:p>
    <w:p>
      <w:r>
        <w:rPr>
          <w:i/>
          <w:sz w:val="20"/>
        </w:rPr>
        <w:t>Table 7.18 — SemanticEngine method map with approximate line references (backend/engine.py).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Method</w:t>
            </w:r>
          </w:p>
        </w:tc>
        <w:tc>
          <w:tcPr>
            <w:tcW w:type="dxa" w:w="2880"/>
          </w:tcPr>
          <w:p>
            <w:r>
              <w:rPr>
                <w:rFonts w:ascii="Times New Roman" w:hAnsi="Times New Roman"/>
                <w:b/>
                <w:sz w:val="20"/>
              </w:rPr>
              <w:t>Lines</w:t>
            </w:r>
          </w:p>
        </w:tc>
        <w:tc>
          <w:tcPr>
            <w:tcW w:type="dxa" w:w="2880"/>
          </w:tcPr>
          <w:p>
            <w:r>
              <w:rPr>
                <w:rFonts w:ascii="Times New Roman" w:hAnsi="Times New Roman"/>
                <w:b/>
                <w:sz w:val="20"/>
              </w:rPr>
              <w:t>Purpose</w:t>
            </w:r>
          </w:p>
        </w:tc>
      </w:tr>
      <w:tr>
        <w:tc>
          <w:tcPr>
            <w:tcW w:type="dxa" w:w="2880"/>
          </w:tcPr>
          <w:p>
            <w:r>
              <w:rPr>
                <w:rFonts w:ascii="Times New Roman" w:hAnsi="Times New Roman"/>
                <w:sz w:val="20"/>
              </w:rPr>
              <w:t>__init__</w:t>
            </w:r>
          </w:p>
        </w:tc>
        <w:tc>
          <w:tcPr>
            <w:tcW w:type="dxa" w:w="2880"/>
          </w:tcPr>
          <w:p>
            <w:r>
              <w:rPr>
                <w:rFonts w:ascii="Times New Roman" w:hAnsi="Times New Roman"/>
                <w:sz w:val="20"/>
              </w:rPr>
              <w:t>51-93</w:t>
            </w:r>
          </w:p>
        </w:tc>
        <w:tc>
          <w:tcPr>
            <w:tcW w:type="dxa" w:w="2880"/>
          </w:tcPr>
          <w:p>
            <w:r>
              <w:rPr>
                <w:rFonts w:ascii="Times New Roman" w:hAnsi="Times New Roman"/>
                <w:sz w:val="20"/>
              </w:rPr>
              <w:t>CUDA validation, BitsAndBytes config, model/tokeniser loading, pysbd and ClaimFilter init, probe bundle loading</w:t>
            </w:r>
          </w:p>
        </w:tc>
      </w:tr>
      <w:tr>
        <w:tc>
          <w:tcPr>
            <w:tcW w:type="dxa" w:w="2880"/>
          </w:tcPr>
          <w:p>
            <w:r>
              <w:rPr>
                <w:rFonts w:ascii="Times New Roman" w:hAnsi="Times New Roman"/>
                <w:sz w:val="20"/>
              </w:rPr>
              <w:t>generate_responses</w:t>
            </w:r>
          </w:p>
        </w:tc>
        <w:tc>
          <w:tcPr>
            <w:tcW w:type="dxa" w:w="2880"/>
          </w:tcPr>
          <w:p>
            <w:r>
              <w:rPr>
                <w:rFonts w:ascii="Times New Roman" w:hAnsi="Times New Roman"/>
                <w:sz w:val="20"/>
              </w:rPr>
              <w:t>~94-160</w:t>
            </w:r>
          </w:p>
        </w:tc>
        <w:tc>
          <w:tcPr>
            <w:tcW w:type="dxa" w:w="2880"/>
          </w:tcPr>
          <w:p>
            <w:r>
              <w:rPr>
                <w:rFonts w:ascii="Times New Roman" w:hAnsi="Times New Roman"/>
                <w:sz w:val="20"/>
              </w:rPr>
              <w:t>Stochastic multi-sample generation; returns per-token logits and softmax probabilities</w:t>
            </w:r>
          </w:p>
        </w:tc>
      </w:tr>
      <w:tr>
        <w:tc>
          <w:tcPr>
            <w:tcW w:type="dxa" w:w="2880"/>
          </w:tcPr>
          <w:p>
            <w:r>
              <w:rPr>
                <w:rFonts w:ascii="Times New Roman" w:hAnsi="Times New Roman"/>
                <w:sz w:val="20"/>
              </w:rPr>
              <w:t>check_equivalence</w:t>
            </w:r>
          </w:p>
        </w:tc>
        <w:tc>
          <w:tcPr>
            <w:tcW w:type="dxa" w:w="2880"/>
          </w:tcPr>
          <w:p>
            <w:r>
              <w:rPr>
                <w:rFonts w:ascii="Times New Roman" w:hAnsi="Times New Roman"/>
                <w:sz w:val="20"/>
              </w:rPr>
              <w:t>~161-220</w:t>
            </w:r>
          </w:p>
        </w:tc>
        <w:tc>
          <w:tcPr>
            <w:tcW w:type="dxa" w:w="2880"/>
          </w:tcPr>
          <w:p>
            <w:r>
              <w:rPr>
                <w:rFonts w:ascii="Times New Roman" w:hAnsi="Times New Roman"/>
                <w:sz w:val="20"/>
              </w:rPr>
              <w:t>LLM-based pairwise semantic equivalence; greedy decoding</w:t>
            </w:r>
          </w:p>
        </w:tc>
      </w:tr>
      <w:tr>
        <w:tc>
          <w:tcPr>
            <w:tcW w:type="dxa" w:w="2880"/>
          </w:tcPr>
          <w:p>
            <w:r>
              <w:rPr>
                <w:rFonts w:ascii="Times New Roman" w:hAnsi="Times New Roman"/>
                <w:sz w:val="20"/>
              </w:rPr>
              <w:t>cluster_responses</w:t>
            </w:r>
          </w:p>
        </w:tc>
        <w:tc>
          <w:tcPr>
            <w:tcW w:type="dxa" w:w="2880"/>
          </w:tcPr>
          <w:p>
            <w:r>
              <w:rPr>
                <w:rFonts w:ascii="Times New Roman" w:hAnsi="Times New Roman"/>
                <w:sz w:val="20"/>
              </w:rPr>
              <w:t>~221-270</w:t>
            </w:r>
          </w:p>
        </w:tc>
        <w:tc>
          <w:tcPr>
            <w:tcW w:type="dxa" w:w="2880"/>
          </w:tcPr>
          <w:p>
            <w:r>
              <w:rPr>
                <w:rFonts w:ascii="Times New Roman" w:hAnsi="Times New Roman"/>
                <w:sz w:val="20"/>
              </w:rPr>
              <w:t>Greedy agglomerative clustering using pairwise equivalence matrix</w:t>
            </w:r>
          </w:p>
        </w:tc>
      </w:tr>
      <w:tr>
        <w:tc>
          <w:tcPr>
            <w:tcW w:type="dxa" w:w="2880"/>
          </w:tcPr>
          <w:p>
            <w:r>
              <w:rPr>
                <w:rFonts w:ascii="Times New Roman" w:hAnsi="Times New Roman"/>
                <w:sz w:val="20"/>
              </w:rPr>
              <w:t>score_sentences</w:t>
            </w:r>
          </w:p>
        </w:tc>
        <w:tc>
          <w:tcPr>
            <w:tcW w:type="dxa" w:w="2880"/>
          </w:tcPr>
          <w:p>
            <w:r>
              <w:rPr>
                <w:rFonts w:ascii="Times New Roman" w:hAnsi="Times New Roman"/>
                <w:sz w:val="20"/>
              </w:rPr>
              <w:t>~271-350</w:t>
            </w:r>
          </w:p>
        </w:tc>
        <w:tc>
          <w:tcPr>
            <w:tcW w:type="dxa" w:w="2880"/>
          </w:tcPr>
          <w:p>
            <w:r>
              <w:rPr>
                <w:rFonts w:ascii="Times New Roman" w:hAnsi="Times New Roman"/>
                <w:sz w:val="20"/>
              </w:rPr>
              <w:t>pysbd segmentation, claim filtering, B1 logit confidence per sentence</w:t>
            </w:r>
          </w:p>
        </w:tc>
      </w:tr>
      <w:tr>
        <w:tc>
          <w:tcPr>
            <w:tcW w:type="dxa" w:w="2880"/>
          </w:tcPr>
          <w:p>
            <w:r>
              <w:rPr>
                <w:rFonts w:ascii="Times New Roman" w:hAnsi="Times New Roman"/>
                <w:sz w:val="20"/>
              </w:rPr>
              <w:t>_extract_hidden_states</w:t>
            </w:r>
          </w:p>
        </w:tc>
        <w:tc>
          <w:tcPr>
            <w:tcW w:type="dxa" w:w="2880"/>
          </w:tcPr>
          <w:p>
            <w:r>
              <w:rPr>
                <w:rFonts w:ascii="Times New Roman" w:hAnsi="Times New Roman"/>
                <w:sz w:val="20"/>
              </w:rPr>
              <w:t>351-401</w:t>
            </w:r>
          </w:p>
        </w:tc>
        <w:tc>
          <w:tcPr>
            <w:tcW w:type="dxa" w:w="2880"/>
          </w:tcPr>
          <w:p>
            <w:r>
              <w:rPr>
                <w:rFonts w:ascii="Times New Roman" w:hAnsi="Times New Roman"/>
                <w:sz w:val="20"/>
              </w:rPr>
              <w:t>Separate forward pass; TBG/SLT hidden state extraction; sentence-end token positions</w:t>
            </w:r>
          </w:p>
        </w:tc>
      </w:tr>
      <w:tr>
        <w:tc>
          <w:tcPr>
            <w:tcW w:type="dxa" w:w="2880"/>
          </w:tcPr>
          <w:p>
            <w:r>
              <w:rPr>
                <w:rFonts w:ascii="Times New Roman" w:hAnsi="Times New Roman"/>
                <w:sz w:val="20"/>
              </w:rPr>
              <w:t>score_with_tbg_probe</w:t>
            </w:r>
          </w:p>
        </w:tc>
        <w:tc>
          <w:tcPr>
            <w:tcW w:type="dxa" w:w="2880"/>
          </w:tcPr>
          <w:p>
            <w:r>
              <w:rPr>
                <w:rFonts w:ascii="Times New Roman" w:hAnsi="Times New Roman"/>
                <w:sz w:val="20"/>
              </w:rPr>
              <w:t>403-459</w:t>
            </w:r>
          </w:p>
        </w:tc>
        <w:tc>
          <w:tcPr>
            <w:tcW w:type="dxa" w:w="2880"/>
          </w:tcPr>
          <w:p>
            <w:r>
              <w:rPr>
                <w:rFonts w:ascii="Times New Roman" w:hAnsi="Times New Roman"/>
                <w:sz w:val="20"/>
              </w:rPr>
              <w:t>TBG probe inference: layer slice -&gt; StandardScaler -&gt; predict_proba -&gt; risk mapping</w:t>
            </w:r>
          </w:p>
        </w:tc>
      </w:tr>
      <w:tr>
        <w:tc>
          <w:tcPr>
            <w:tcW w:type="dxa" w:w="2880"/>
          </w:tcPr>
          <w:p>
            <w:r>
              <w:rPr>
                <w:rFonts w:ascii="Times New Roman" w:hAnsi="Times New Roman"/>
                <w:sz w:val="20"/>
              </w:rPr>
              <w:t>score_with_slt_probe</w:t>
            </w:r>
          </w:p>
        </w:tc>
        <w:tc>
          <w:tcPr>
            <w:tcW w:type="dxa" w:w="2880"/>
          </w:tcPr>
          <w:p>
            <w:r>
              <w:rPr>
                <w:rFonts w:ascii="Times New Roman" w:hAnsi="Times New Roman"/>
                <w:sz w:val="20"/>
              </w:rPr>
              <w:t>461-540+</w:t>
            </w:r>
          </w:p>
        </w:tc>
        <w:tc>
          <w:tcPr>
            <w:tcW w:type="dxa" w:w="2880"/>
          </w:tcPr>
          <w:p>
            <w:r>
              <w:rPr>
                <w:rFonts w:ascii="Times New Roman" w:hAnsi="Times New Roman"/>
                <w:sz w:val="20"/>
              </w:rPr>
              <w:t>SLT probe inference: generation + hidden extraction + per-sentence scoring + aggregation</w:t>
            </w:r>
          </w:p>
        </w:tc>
      </w:tr>
      <w:tr>
        <w:tc>
          <w:tcPr>
            <w:tcW w:type="dxa" w:w="2880"/>
          </w:tcPr>
          <w:p>
            <w:r>
              <w:rPr>
                <w:rFonts w:ascii="Times New Roman" w:hAnsi="Times New Roman"/>
                <w:sz w:val="20"/>
              </w:rPr>
              <w:t>run_full_pipeline</w:t>
            </w:r>
          </w:p>
        </w:tc>
        <w:tc>
          <w:tcPr>
            <w:tcW w:type="dxa" w:w="2880"/>
          </w:tcPr>
          <w:p>
            <w:r>
              <w:rPr>
                <w:rFonts w:ascii="Times New Roman" w:hAnsi="Times New Roman"/>
                <w:sz w:val="20"/>
              </w:rPr>
              <w:t>~541-671</w:t>
            </w:r>
          </w:p>
        </w:tc>
        <w:tc>
          <w:tcPr>
            <w:tcW w:type="dxa" w:w="2880"/>
          </w:tcPr>
          <w:p>
            <w:r>
              <w:rPr>
                <w:rFonts w:ascii="Times New Roman" w:hAnsi="Times New Roman"/>
                <w:sz w:val="20"/>
              </w:rPr>
              <w:t>Full Semantic Energy: 5 generations, clustering, energy/entropy computation</w:t>
            </w:r>
          </w:p>
        </w:tc>
      </w:tr>
    </w:tbl>
    <w:p/>
    <w:p>
      <w:r>
        <w:rPr>
          <w:b w:val="0"/>
          <w:i w:val="0"/>
        </w:rPr>
        <w:t>Singleton initialisation — CUDA check and 8-bit model loading (engine.py lines 51-72):</w:t>
      </w:r>
    </w:p>
    <w:p>
      <w:pPr>
        <w:spacing w:before="80" w:after="80"/>
        <w:ind w:left="567"/>
      </w:pPr>
      <w:r>
        <w:rPr>
          <w:rFonts w:ascii="Courier New" w:hAnsi="Courier New"/>
          <w:sz w:val="18"/>
        </w:rPr>
        <w:t>class SemanticEngine:</w:t>
        <w:br/>
        <w:t xml:space="preserve">    def __init__(self, model_name, probe_bundle_path):</w:t>
        <w:br/>
        <w:t xml:space="preserve">        if not torch.cuda.is_available():</w:t>
        <w:br/>
        <w:t xml:space="preserve">            raise RuntimeError('SemanticEngine requires CUDA.')</w:t>
        <w:br/>
        <w:t xml:space="preserve">        bnb_config = BitsAndBytesConfig(load_in_8bit=True, llm_int8_threshold=6.0)</w:t>
        <w:br/>
        <w:t xml:space="preserve">        self.model = AutoModelForCausalLM.from_pretrained(</w:t>
        <w:br/>
        <w:t xml:space="preserve">            model_name, quantization_config=bnb_config, device_map='auto')</w:t>
        <w:br/>
        <w:t xml:space="preserve">        self.tokenizer    = AutoTokenizer.from_pretrained(model_name)</w:t>
        <w:br/>
        <w:t xml:space="preserve">        self.segmenter    = pysbd.Segmenter(language='en', clean=False)</w:t>
        <w:br/>
        <w:t xml:space="preserve">        self.claim_filter = ClaimFilter()</w:t>
        <w:br/>
        <w:t xml:space="preserve">        with open(probe_bundle_path, 'rb') as f:</w:t>
        <w:br/>
        <w:t xml:space="preserve">            self.probe_bundle = pickle.load(f)</w:t>
      </w:r>
    </w:p>
    <w:p>
      <w:r>
        <w:rPr>
          <w:b w:val="0"/>
          <w:i w:val="0"/>
        </w:rPr>
        <w:t>The BitsAndBytes 8-bit configuration reduces Llama 3.1 8B from ~16 GB (FP16) to ~8 GB VRAM. The probe bundle is co-loaded with the model to enforce structural consistency across model switches.</w:t>
      </w:r>
    </w:p>
    <w:p>
      <w:r>
        <w:rPr>
          <w:b w:val="0"/>
          <w:i w:val="0"/>
        </w:rPr>
        <w:t>Core energy computation — Boltzmann teacher (engine.py lines 39-48):</w:t>
      </w:r>
    </w:p>
    <w:p>
      <w:pPr>
        <w:spacing w:before="80" w:after="80"/>
        <w:ind w:left="567"/>
      </w:pPr>
      <w:r>
        <w:rPr>
          <w:rFonts w:ascii="Courier New" w:hAnsi="Courier New"/>
          <w:sz w:val="18"/>
        </w:rPr>
        <w:t>def cal_boltzmann_logits(logits_list):</w:t>
        <w:br/>
        <w:t xml:space="preserve">    return [-mean(sublist) for sublist in logits_list]</w:t>
        <w:br/>
        <w:br/>
        <w:t>def cal_flow(probs_list, logits_list, clusters, fermi_mu=None):</w:t>
        <w:br/>
        <w:t xml:space="preserve">    probs = cal_probs(probs_list)</w:t>
        <w:br/>
        <w:t xml:space="preserve">    logits = (cal_fermi_dirac_logits(logits_list, mu=fermi_mu)</w:t>
        <w:br/>
        <w:t xml:space="preserve">              if fermi_mu is not None else cal_boltzmann_logits(logits_list))</w:t>
        <w:br/>
        <w:t xml:space="preserve">    return cal_cluster_ce(probs, logits, clusters)</w:t>
      </w:r>
    </w:p>
    <w:p>
      <w:r>
        <w:rPr>
          <w:b w:val="0"/>
          <w:i w:val="0"/>
        </w:rPr>
        <w:t>cal_boltzmann_logits implements Formula 2 (negative mean chosen-token logit = per-sample energy). cal_flow is the central teacher computation: it assembles probabilities, selects the energy variant, and delegates cluster aggregation and normalisation to cal_cluster_ce (Formula 3).</w:t>
      </w:r>
    </w:p>
    <w:p>
      <w:r>
        <w:rPr>
          <w:b w:val="0"/>
          <w:i w:val="0"/>
        </w:rPr>
        <w:t>Hidden state extraction — separate forward pass (engine.py lines 378-401):</w:t>
      </w:r>
    </w:p>
    <w:p>
      <w:pPr>
        <w:spacing w:before="80" w:after="80"/>
        <w:ind w:left="567"/>
      </w:pPr>
      <w:r>
        <w:rPr>
          <w:rFonts w:ascii="Courier New" w:hAnsi="Courier New"/>
          <w:sz w:val="18"/>
        </w:rPr>
        <w:t>with torch.no_grad():</w:t>
        <w:br/>
        <w:t xml:space="preserve">    outputs = self.model(**full_inputs, output_hidden_states=True)</w:t>
        <w:br/>
        <w:br/>
        <w:t>hidden = torch.stack(outputs.hidden_states, dim=0)  # (layers, 1, seq_len, hidden_dim)</w:t>
        <w:br/>
        <w:t>hidden = hidden[:, 0, :, :].float().cpu()           # (layers, seq_len, hidden_dim)</w:t>
        <w:br/>
        <w:br/>
        <w:t>tbg_hidden = hidden[:, prompt_len - 1, :].numpy()  # last prompt token</w:t>
        <w:br/>
        <w:t>slt_hidden = hidden[:, full_len - 2, :].numpy()    # second-to-last generated token</w:t>
      </w:r>
    </w:p>
    <w:p>
      <w:r>
        <w:rPr>
          <w:b w:val="0"/>
          <w:i w:val="0"/>
        </w:rPr>
        <w:t>torch.stack converts the per-layer tuple into a single tensor. Index full_len-2 targets the second-to-last token (EOS is always last). Both arrays move to CPU before probe inference to free VRAM.</w:t>
      </w:r>
    </w:p>
    <w:p>
      <w:r>
        <w:rPr>
          <w:b w:val="0"/>
          <w:i w:val="0"/>
        </w:rPr>
        <w:t>Probe inference — layer slice and logistic regression (engine.py lines 431-451):</w:t>
      </w:r>
    </w:p>
    <w:p>
      <w:pPr>
        <w:spacing w:before="80" w:after="80"/>
        <w:ind w:left="567"/>
      </w:pPr>
      <w:r>
        <w:rPr>
          <w:rFonts w:ascii="Courier New" w:hAnsi="Courier New"/>
          <w:sz w:val="18"/>
        </w:rPr>
        <w:t>l0, l1 = probe_bundle['best_energy_tbg_range']</w:t>
        <w:br/>
        <w:t>X_e   = probe_bundle['tbg_energy_scaler'].transform(tbg_hidden[l0:l1].reshape(1,-1))</w:t>
        <w:br/>
        <w:t>energy_risk = 1.0 - probe_bundle['tbg_energy_probe'].predict_proba(X_e)[0, 1]</w:t>
        <w:br/>
        <w:br/>
        <w:t>l0h, l1h = probe_bundle['best_entropy_tbg_range']</w:t>
        <w:br/>
        <w:t>X_h   = probe_bundle['tbg_entropy_scaler'].transform(tbg_hidden[l0h:l1h].reshape(1,-1))</w:t>
        <w:br/>
        <w:t>entropy_risk = probe_bundle['tbg_entropy_probe'].predict_proba(X_h)[0, 1]</w:t>
        <w:br/>
        <w:br/>
        <w:t>combined_risk = (energy_risk + entropy_risk) / 2.0</w:t>
      </w:r>
    </w:p>
    <w:p>
      <w:r>
        <w:rPr>
          <w:b w:val="0"/>
          <w:i w:val="0"/>
        </w:rPr>
        <w:t>Layer range tuples in the probe bundle ensure inference always uses the exact layers trained. reshape(1,-1) flattens (window, 4096) into the vector expected by predict_proba. Energy probe outputs P(confident) and is inverted to risk; entropy probe outputs P(uncertain) directly.</w:t>
      </w:r>
    </w:p>
    <w:p>
      <w:pPr>
        <w:pStyle w:val="Heading3"/>
      </w:pPr>
      <w:r>
        <w:t>7.3.9.3 API Endpoints</w:t>
      </w:r>
    </w:p>
    <w:p>
      <w:r>
        <w:rPr>
          <w:b w:val="0"/>
          <w:i w:val="0"/>
        </w:rPr>
        <w:t>Three scoring endpoints implement the three speed-accuracy tradeoff points:</w:t>
      </w:r>
    </w:p>
    <w:p>
      <w:r>
        <w:rPr>
          <w:i/>
          <w:sz w:val="20"/>
        </w:rPr>
        <w:t>Table 7.19 — API endpoints and their characteristics.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Endpoint</w:t>
            </w:r>
          </w:p>
        </w:tc>
        <w:tc>
          <w:tcPr>
            <w:tcW w:type="dxa" w:w="1728"/>
          </w:tcPr>
          <w:p>
            <w:r>
              <w:rPr>
                <w:rFonts w:ascii="Times New Roman" w:hAnsi="Times New Roman"/>
                <w:b/>
                <w:sz w:val="20"/>
              </w:rPr>
              <w:t>Method</w:t>
            </w:r>
          </w:p>
        </w:tc>
        <w:tc>
          <w:tcPr>
            <w:tcW w:type="dxa" w:w="1728"/>
          </w:tcPr>
          <w:p>
            <w:r>
              <w:rPr>
                <w:rFonts w:ascii="Times New Roman" w:hAnsi="Times New Roman"/>
                <w:b/>
                <w:sz w:val="20"/>
              </w:rPr>
              <w:t>Scoring Mode</w:t>
            </w:r>
          </w:p>
        </w:tc>
        <w:tc>
          <w:tcPr>
            <w:tcW w:type="dxa" w:w="1728"/>
          </w:tcPr>
          <w:p>
            <w:r>
              <w:rPr>
                <w:rFonts w:ascii="Times New Roman" w:hAnsi="Times New Roman"/>
                <w:b/>
                <w:sz w:val="20"/>
              </w:rPr>
              <w:t>Model Calls</w:t>
            </w:r>
          </w:p>
        </w:tc>
        <w:tc>
          <w:tcPr>
            <w:tcW w:type="dxa" w:w="1728"/>
          </w:tcPr>
          <w:p>
            <w:r>
              <w:rPr>
                <w:rFonts w:ascii="Times New Roman" w:hAnsi="Times New Roman"/>
                <w:b/>
                <w:sz w:val="20"/>
              </w:rPr>
              <w:t>Response Time</w:t>
            </w:r>
          </w:p>
        </w:tc>
      </w:tr>
      <w:tr>
        <w:tc>
          <w:tcPr>
            <w:tcW w:type="dxa" w:w="1728"/>
          </w:tcPr>
          <w:p>
            <w:r>
              <w:rPr>
                <w:rFonts w:ascii="Times New Roman" w:hAnsi="Times New Roman"/>
                <w:sz w:val="20"/>
              </w:rPr>
              <w:t>/chat</w:t>
            </w:r>
          </w:p>
        </w:tc>
        <w:tc>
          <w:tcPr>
            <w:tcW w:type="dxa" w:w="1728"/>
          </w:tcPr>
          <w:p>
            <w:r>
              <w:rPr>
                <w:rFonts w:ascii="Times New Roman" w:hAnsi="Times New Roman"/>
                <w:sz w:val="20"/>
              </w:rPr>
              <w:t>POST</w:t>
            </w:r>
          </w:p>
        </w:tc>
        <w:tc>
          <w:tcPr>
            <w:tcW w:type="dxa" w:w="1728"/>
          </w:tcPr>
          <w:p>
            <w:r>
              <w:rPr>
                <w:rFonts w:ascii="Times New Roman" w:hAnsi="Times New Roman"/>
                <w:sz w:val="20"/>
              </w:rPr>
              <w:t>Full Semantic Energy</w:t>
            </w:r>
          </w:p>
        </w:tc>
        <w:tc>
          <w:tcPr>
            <w:tcW w:type="dxa" w:w="1728"/>
          </w:tcPr>
          <w:p>
            <w:r>
              <w:rPr>
                <w:rFonts w:ascii="Times New Roman" w:hAnsi="Times New Roman"/>
                <w:sz w:val="20"/>
              </w:rPr>
              <w:t>5 generations + up to 10 equivalence checks</w:t>
            </w:r>
          </w:p>
        </w:tc>
        <w:tc>
          <w:tcPr>
            <w:tcW w:type="dxa" w:w="1728"/>
          </w:tcPr>
          <w:p>
            <w:r>
              <w:rPr>
                <w:rFonts w:ascii="Times New Roman" w:hAnsi="Times New Roman"/>
                <w:sz w:val="20"/>
              </w:rPr>
              <w:t>60-120s</w:t>
            </w:r>
          </w:p>
        </w:tc>
      </w:tr>
      <w:tr>
        <w:tc>
          <w:tcPr>
            <w:tcW w:type="dxa" w:w="1728"/>
          </w:tcPr>
          <w:p>
            <w:r>
              <w:rPr>
                <w:rFonts w:ascii="Times New Roman" w:hAnsi="Times New Roman"/>
                <w:sz w:val="20"/>
              </w:rPr>
              <w:t>/score_fast_slt</w:t>
            </w:r>
          </w:p>
        </w:tc>
        <w:tc>
          <w:tcPr>
            <w:tcW w:type="dxa" w:w="1728"/>
          </w:tcPr>
          <w:p>
            <w:r>
              <w:rPr>
                <w:rFonts w:ascii="Times New Roman" w:hAnsi="Times New Roman"/>
                <w:sz w:val="20"/>
              </w:rPr>
              <w:t>POST</w:t>
            </w:r>
          </w:p>
        </w:tc>
        <w:tc>
          <w:tcPr>
            <w:tcW w:type="dxa" w:w="1728"/>
          </w:tcPr>
          <w:p>
            <w:r>
              <w:rPr>
                <w:rFonts w:ascii="Times New Roman" w:hAnsi="Times New Roman"/>
                <w:sz w:val="20"/>
              </w:rPr>
              <w:t>Fast SLT (probe-based)</w:t>
            </w:r>
          </w:p>
        </w:tc>
        <w:tc>
          <w:tcPr>
            <w:tcW w:type="dxa" w:w="1728"/>
          </w:tcPr>
          <w:p>
            <w:r>
              <w:rPr>
                <w:rFonts w:ascii="Times New Roman" w:hAnsi="Times New Roman"/>
                <w:sz w:val="20"/>
              </w:rPr>
              <w:t>1 generation + 1 forward pass</w:t>
            </w:r>
          </w:p>
        </w:tc>
        <w:tc>
          <w:tcPr>
            <w:tcW w:type="dxa" w:w="1728"/>
          </w:tcPr>
          <w:p>
            <w:r>
              <w:rPr>
                <w:rFonts w:ascii="Times New Roman" w:hAnsi="Times New Roman"/>
                <w:sz w:val="20"/>
              </w:rPr>
              <w:t>5-15s</w:t>
            </w:r>
          </w:p>
        </w:tc>
      </w:tr>
      <w:tr>
        <w:tc>
          <w:tcPr>
            <w:tcW w:type="dxa" w:w="1728"/>
          </w:tcPr>
          <w:p>
            <w:r>
              <w:rPr>
                <w:rFonts w:ascii="Times New Roman" w:hAnsi="Times New Roman"/>
                <w:sz w:val="20"/>
              </w:rPr>
              <w:t>/score_fast_tbg</w:t>
            </w:r>
          </w:p>
        </w:tc>
        <w:tc>
          <w:tcPr>
            <w:tcW w:type="dxa" w:w="1728"/>
          </w:tcPr>
          <w:p>
            <w:r>
              <w:rPr>
                <w:rFonts w:ascii="Times New Roman" w:hAnsi="Times New Roman"/>
                <w:sz w:val="20"/>
              </w:rPr>
              <w:t>POST</w:t>
            </w:r>
          </w:p>
        </w:tc>
        <w:tc>
          <w:tcPr>
            <w:tcW w:type="dxa" w:w="1728"/>
          </w:tcPr>
          <w:p>
            <w:r>
              <w:rPr>
                <w:rFonts w:ascii="Times New Roman" w:hAnsi="Times New Roman"/>
                <w:sz w:val="20"/>
              </w:rPr>
              <w:t>Fast TBG (probe-based)</w:t>
            </w:r>
          </w:p>
        </w:tc>
        <w:tc>
          <w:tcPr>
            <w:tcW w:type="dxa" w:w="1728"/>
          </w:tcPr>
          <w:p>
            <w:r>
              <w:rPr>
                <w:rFonts w:ascii="Times New Roman" w:hAnsi="Times New Roman"/>
                <w:sz w:val="20"/>
              </w:rPr>
              <w:t>1 forward pass (no generation)</w:t>
            </w:r>
          </w:p>
        </w:tc>
        <w:tc>
          <w:tcPr>
            <w:tcW w:type="dxa" w:w="1728"/>
          </w:tcPr>
          <w:p>
            <w:r>
              <w:rPr>
                <w:rFonts w:ascii="Times New Roman" w:hAnsi="Times New Roman"/>
                <w:sz w:val="20"/>
              </w:rPr>
              <w:t>0.5-2s</w:t>
            </w:r>
          </w:p>
        </w:tc>
      </w:tr>
      <w:tr>
        <w:tc>
          <w:tcPr>
            <w:tcW w:type="dxa" w:w="1728"/>
          </w:tcPr>
          <w:p>
            <w:r>
              <w:rPr>
                <w:rFonts w:ascii="Times New Roman" w:hAnsi="Times New Roman"/>
                <w:sz w:val="20"/>
              </w:rPr>
              <w:t>/status</w:t>
            </w:r>
          </w:p>
        </w:tc>
        <w:tc>
          <w:tcPr>
            <w:tcW w:type="dxa" w:w="1728"/>
          </w:tcPr>
          <w:p>
            <w:r>
              <w:rPr>
                <w:rFonts w:ascii="Times New Roman" w:hAnsi="Times New Roman"/>
                <w:sz w:val="20"/>
              </w:rPr>
              <w:t>GET</w:t>
            </w:r>
          </w:p>
        </w:tc>
        <w:tc>
          <w:tcPr>
            <w:tcW w:type="dxa" w:w="1728"/>
          </w:tcPr>
          <w:p>
            <w:r>
              <w:rPr>
                <w:rFonts w:ascii="Times New Roman" w:hAnsi="Times New Roman"/>
                <w:sz w:val="20"/>
              </w:rPr>
              <w:t>Health check</w:t>
            </w:r>
          </w:p>
        </w:tc>
        <w:tc>
          <w:tcPr>
            <w:tcW w:type="dxa" w:w="1728"/>
          </w:tcPr>
          <w:p>
            <w:r>
              <w:rPr>
                <w:rFonts w:ascii="Times New Roman" w:hAnsi="Times New Roman"/>
                <w:sz w:val="20"/>
              </w:rPr>
              <w:t>None</w:t>
            </w:r>
          </w:p>
        </w:tc>
        <w:tc>
          <w:tcPr>
            <w:tcW w:type="dxa" w:w="1728"/>
          </w:tcPr>
          <w:p>
            <w:r>
              <w:rPr>
                <w:rFonts w:ascii="Times New Roman" w:hAnsi="Times New Roman"/>
                <w:sz w:val="20"/>
              </w:rPr>
              <w:t>&lt; 1ms</w:t>
            </w:r>
          </w:p>
        </w:tc>
      </w:tr>
      <w:tr>
        <w:tc>
          <w:tcPr>
            <w:tcW w:type="dxa" w:w="1728"/>
          </w:tcPr>
          <w:p>
            <w:r>
              <w:rPr>
                <w:rFonts w:ascii="Times New Roman" w:hAnsi="Times New Roman"/>
                <w:sz w:val="20"/>
              </w:rPr>
              <w:t>/switch_model</w:t>
            </w:r>
          </w:p>
        </w:tc>
        <w:tc>
          <w:tcPr>
            <w:tcW w:type="dxa" w:w="1728"/>
          </w:tcPr>
          <w:p>
            <w:r>
              <w:rPr>
                <w:rFonts w:ascii="Times New Roman" w:hAnsi="Times New Roman"/>
                <w:sz w:val="20"/>
              </w:rPr>
              <w:t>POST</w:t>
            </w:r>
          </w:p>
        </w:tc>
        <w:tc>
          <w:tcPr>
            <w:tcW w:type="dxa" w:w="1728"/>
          </w:tcPr>
          <w:p>
            <w:r>
              <w:rPr>
                <w:rFonts w:ascii="Times New Roman" w:hAnsi="Times New Roman"/>
                <w:sz w:val="20"/>
              </w:rPr>
              <w:t>Model swap</w:t>
            </w:r>
          </w:p>
        </w:tc>
        <w:tc>
          <w:tcPr>
            <w:tcW w:type="dxa" w:w="1728"/>
          </w:tcPr>
          <w:p>
            <w:r>
              <w:rPr>
                <w:rFonts w:ascii="Times New Roman" w:hAnsi="Times New Roman"/>
                <w:sz w:val="20"/>
              </w:rPr>
              <w:t>Full model reload</w:t>
            </w:r>
          </w:p>
        </w:tc>
        <w:tc>
          <w:tcPr>
            <w:tcW w:type="dxa" w:w="1728"/>
          </w:tcPr>
          <w:p>
            <w:r>
              <w:rPr>
                <w:rFonts w:ascii="Times New Roman" w:hAnsi="Times New Roman"/>
                <w:sz w:val="20"/>
              </w:rPr>
              <w:t>30-60s</w:t>
            </w:r>
          </w:p>
        </w:tc>
      </w:tr>
    </w:tbl>
    <w:p/>
    <w:p>
      <w:pPr>
        <w:spacing w:before="240" w:after="240"/>
        <w:jc w:val="center"/>
      </w:pPr>
      <w:r>
        <w:rPr>
          <w:i/>
          <w:color w:val="646464"/>
          <w:sz w:val="20"/>
        </w:rPr>
        <w:t>[Figure 7.4 — System architecture diagram showing three tiers: Frontend (Vanilla JS), Backend (FastAPI with SemanticEngine, ClaimFilter, and ProbeBundle), and ML Layer (LLM with Hidden State Extractor). Arrows indicate data flow between components.]</w:t>
      </w:r>
    </w:p>
    <w:p>
      <w:pPr>
        <w:spacing w:before="240" w:after="240"/>
        <w:jc w:val="center"/>
      </w:pPr>
      <w:r>
        <w:rPr>
          <w:i/>
          <w:color w:val="646464"/>
          <w:sz w:val="20"/>
        </w:rPr>
        <w:t>[Figure 7.5 — Sequence diagram: Side-by-side comparison of the three scoring modes. Full SE performs all steps; Fast SLT skips clustering; Fast TBG skips both generation and clustering.]</w:t>
      </w:r>
    </w:p>
    <w:p>
      <w:pPr>
        <w:pStyle w:val="Heading3"/>
      </w:pPr>
      <w:r>
        <w:t>7.3.9.4 Training Pipeline</w:t>
      </w:r>
    </w:p>
    <w:p>
      <w:r>
        <w:rPr>
          <w:b w:val="0"/>
          <w:i w:val="0"/>
        </w:rPr>
        <w:t>The training infrastructure consists of four Jupyter notebooks forming a sequential pipeline:</w:t>
      </w:r>
    </w:p>
    <w:p>
      <w:r>
        <w:rPr>
          <w:i/>
          <w:sz w:val="20"/>
        </w:rPr>
        <w:t>Table 7.20 — Training pipeline notebooks and their outputs.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Notebook</w:t>
            </w:r>
          </w:p>
        </w:tc>
        <w:tc>
          <w:tcPr>
            <w:tcW w:type="dxa" w:w="2880"/>
          </w:tcPr>
          <w:p>
            <w:r>
              <w:rPr>
                <w:rFonts w:ascii="Times New Roman" w:hAnsi="Times New Roman"/>
                <w:b/>
                <w:sz w:val="20"/>
              </w:rPr>
              <w:t>Purpose</w:t>
            </w:r>
          </w:p>
        </w:tc>
        <w:tc>
          <w:tcPr>
            <w:tcW w:type="dxa" w:w="2880"/>
          </w:tcPr>
          <w:p>
            <w:r>
              <w:rPr>
                <w:rFonts w:ascii="Times New Roman" w:hAnsi="Times New Roman"/>
                <w:b/>
                <w:sz w:val="20"/>
              </w:rPr>
              <w:t>Output</w:t>
            </w:r>
          </w:p>
        </w:tc>
      </w:tr>
      <w:tr>
        <w:tc>
          <w:tcPr>
            <w:tcW w:type="dxa" w:w="2880"/>
          </w:tcPr>
          <w:p>
            <w:r>
              <w:rPr>
                <w:rFonts w:ascii="Times New Roman" w:hAnsi="Times New Roman"/>
                <w:sz w:val="20"/>
              </w:rPr>
              <w:t>00_preflight.ipynb</w:t>
            </w:r>
          </w:p>
        </w:tc>
        <w:tc>
          <w:tcPr>
            <w:tcW w:type="dxa" w:w="2880"/>
          </w:tcPr>
          <w:p>
            <w:r>
              <w:rPr>
                <w:rFonts w:ascii="Times New Roman" w:hAnsi="Times New Roman"/>
                <w:sz w:val="20"/>
              </w:rPr>
              <w:t>Formula verification, score orientation checks</w:t>
            </w:r>
          </w:p>
        </w:tc>
        <w:tc>
          <w:tcPr>
            <w:tcW w:type="dxa" w:w="2880"/>
          </w:tcPr>
          <w:p>
            <w:r>
              <w:rPr>
                <w:rFonts w:ascii="Times New Roman" w:hAnsi="Times New Roman"/>
                <w:sz w:val="20"/>
              </w:rPr>
              <w:t>Validated mathematical foundations</w:t>
            </w:r>
          </w:p>
        </w:tc>
      </w:tr>
      <w:tr>
        <w:tc>
          <w:tcPr>
            <w:tcW w:type="dxa" w:w="2880"/>
          </w:tcPr>
          <w:p>
            <w:r>
              <w:rPr>
                <w:rFonts w:ascii="Times New Roman" w:hAnsi="Times New Roman"/>
                <w:sz w:val="20"/>
              </w:rPr>
              <w:t>01_generate_dataset.ipynb</w:t>
            </w:r>
          </w:p>
        </w:tc>
        <w:tc>
          <w:tcPr>
            <w:tcW w:type="dxa" w:w="2880"/>
          </w:tcPr>
          <w:p>
            <w:r>
              <w:rPr>
                <w:rFonts w:ascii="Times New Roman" w:hAnsi="Times New Roman"/>
                <w:sz w:val="20"/>
              </w:rPr>
              <w:t>TriviaQA processing, 5-sample generation, teacher computation</w:t>
            </w:r>
          </w:p>
        </w:tc>
        <w:tc>
          <w:tcPr>
            <w:tcW w:type="dxa" w:w="2880"/>
          </w:tcPr>
          <w:p>
            <w:r>
              <w:rPr>
                <w:rFonts w:ascii="Times New Roman" w:hAnsi="Times New Roman"/>
                <w:sz w:val="20"/>
              </w:rPr>
              <w:t>probe_dataset_llama3-8b_triviaqa.pkl (~541 MB)</w:t>
            </w:r>
          </w:p>
        </w:tc>
      </w:tr>
      <w:tr>
        <w:tc>
          <w:tcPr>
            <w:tcW w:type="dxa" w:w="2880"/>
          </w:tcPr>
          <w:p>
            <w:r>
              <w:rPr>
                <w:rFonts w:ascii="Times New Roman" w:hAnsi="Times New Roman"/>
                <w:sz w:val="20"/>
              </w:rPr>
              <w:t>02_train_se_probes.ipynb</w:t>
            </w:r>
          </w:p>
        </w:tc>
        <w:tc>
          <w:tcPr>
            <w:tcW w:type="dxa" w:w="2880"/>
          </w:tcPr>
          <w:p>
            <w:r>
              <w:rPr>
                <w:rFonts w:ascii="Times New Roman" w:hAnsi="Times New Roman"/>
                <w:sz w:val="20"/>
              </w:rPr>
              <w:t>Binarisation, layer sweep, probe training, evaluation</w:t>
            </w:r>
          </w:p>
        </w:tc>
        <w:tc>
          <w:tcPr>
            <w:tcW w:type="dxa" w:w="2880"/>
          </w:tcPr>
          <w:p>
            <w:r>
              <w:rPr>
                <w:rFonts w:ascii="Times New Roman" w:hAnsi="Times New Roman"/>
                <w:sz w:val="20"/>
              </w:rPr>
              <w:t>probes_llama3-8b_triviaqa.pkl (~2.1 MB)</w:t>
            </w:r>
          </w:p>
        </w:tc>
      </w:tr>
      <w:tr>
        <w:tc>
          <w:tcPr>
            <w:tcW w:type="dxa" w:w="2880"/>
          </w:tcPr>
          <w:p>
            <w:r>
              <w:rPr>
                <w:rFonts w:ascii="Times New Roman" w:hAnsi="Times New Roman"/>
                <w:sz w:val="20"/>
              </w:rPr>
              <w:t>04_sentence_baseline.ipynb</w:t>
            </w:r>
          </w:p>
        </w:tc>
        <w:tc>
          <w:tcPr>
            <w:tcW w:type="dxa" w:w="2880"/>
          </w:tcPr>
          <w:p>
            <w:r>
              <w:rPr>
                <w:rFonts w:ascii="Times New Roman" w:hAnsi="Times New Roman"/>
                <w:sz w:val="20"/>
              </w:rPr>
              <w:t>B1 per-sentence logit confidence validation</w:t>
            </w:r>
          </w:p>
        </w:tc>
        <w:tc>
          <w:tcPr>
            <w:tcW w:type="dxa" w:w="2880"/>
          </w:tcPr>
          <w:p>
            <w:r>
              <w:rPr>
                <w:rFonts w:ascii="Times New Roman" w:hAnsi="Times New Roman"/>
                <w:sz w:val="20"/>
              </w:rPr>
              <w:t>Calibrated sigmoid parameters</w:t>
            </w:r>
          </w:p>
        </w:tc>
      </w:tr>
    </w:tbl>
    <w:p/>
    <w:p>
      <w:pPr>
        <w:pStyle w:val="Heading3"/>
      </w:pPr>
      <w:r>
        <w:t>7.3.9.5 Frontend Architecture</w:t>
      </w:r>
    </w:p>
    <w:p>
      <w:r>
        <w:rPr>
          <w:b w:val="0"/>
          <w:i w:val="0"/>
        </w:rPr>
        <w:t>The frontend is implemented as a vanilla JavaScript single-page application with no framework dependencies. Key components include:</w:t>
      </w:r>
    </w:p>
    <w:p>
      <w:pPr>
        <w:pStyle w:val="ListBullet"/>
      </w:pPr>
      <w:r>
        <w:t>Three-mode selector (Full SE / Fast SLT / Fast TBG) persisted in localStorage, allowing users to select their preferred speed-accuracy tradeoff.</w:t>
      </w:r>
    </w:p>
    <w:p>
      <w:pPr>
        <w:pStyle w:val="ListBullet"/>
      </w:pPr>
      <w:r>
        <w:t>Per-message rendering with a colour-coded confidence badge (green/yellow/red), response timer, and collapsible metrics panel showing per-sentence analysis with risk bars.</w:t>
      </w:r>
    </w:p>
    <w:p>
      <w:pPr>
        <w:pStyle w:val="ListBullet"/>
      </w:pPr>
      <w:r>
        <w:t>Score history chart (SVG-based) visualising confidence trends across the conversation, with colour-coded zones for high/medium/low confidence.</w:t>
      </w:r>
    </w:p>
    <w:p>
      <w:pPr>
        <w:pStyle w:val="ListBullet"/>
      </w:pPr>
      <w:r>
        <w:t>Model switching via dropdown, with a loading overlay during model swap.</w:t>
      </w:r>
    </w:p>
    <w:p>
      <w:r>
        <w:rPr>
          <w:b w:val="0"/>
          <w:i w:val="0"/>
        </w:rPr>
        <w:t>State management: localStorage stores persistent preferences (mode, model selection); sessionStorage stores ephemeral state (chat message HTML, score history).</w:t>
      </w:r>
    </w:p>
    <w:p>
      <w:pPr>
        <w:pStyle w:val="Heading3"/>
      </w:pPr>
      <w:r>
        <w:t>7.3.9.6 Module Integration</w:t>
      </w:r>
    </w:p>
    <w:p>
      <w:r>
        <w:rPr>
          <w:b w:val="0"/>
          <w:i w:val="0"/>
        </w:rPr>
        <w:t>Method-level call sequence for /score_fast_slt (the endpoint with the most integration touch-points):</w:t>
      </w:r>
    </w:p>
    <w:p>
      <w:pPr>
        <w:spacing w:before="80" w:after="80"/>
        <w:ind w:left="567"/>
      </w:pPr>
      <w:r>
        <w:rPr>
          <w:rFonts w:ascii="Courier New" w:hAnsi="Courier New"/>
          <w:sz w:val="18"/>
        </w:rPr>
        <w:t>POST /score_fast_slt  (app.py)</w:t>
        <w:br/>
        <w:t xml:space="preserve">  |</w:t>
        <w:br/>
        <w:t xml:space="preserve">  +-- Readiness check: engine not None, probe_bundle loaded</w:t>
        <w:br/>
        <w:t xml:space="preserve">  |</w:t>
        <w:br/>
        <w:t xml:space="preserve">  +-- engine.score_with_slt_probe(prompt, max_new_tokens=512)</w:t>
        <w:br/>
        <w:t xml:space="preserve">       |</w:t>
        <w:br/>
        <w:t xml:space="preserve">       +-- 1. generate_responses(n=1, temperature=0.7)</w:t>
        <w:br/>
        <w:t xml:space="preserve">       |       -&gt; answer_text, logits_per_token, probs_per_token</w:t>
        <w:br/>
        <w:t xml:space="preserve">       |</w:t>
        <w:br/>
        <w:t xml:space="preserve">       +-- 2. score_sentences(answer_text, logits_per_token)</w:t>
        <w:br/>
        <w:t xml:space="preserve">       |       +-- pysbd.Segmenter.segment()     -&gt; sentence spans</w:t>
        <w:br/>
        <w:t xml:space="preserve">       |       +-- ClaimFilter.is_claim()         -&gt; bool per sentence</w:t>
        <w:br/>
        <w:t xml:space="preserve">       |       +-- B1 sigmoid(mean_logit, margin) -&gt; confidence per claim</w:t>
        <w:br/>
        <w:t xml:space="preserve">       |</w:t>
        <w:br/>
        <w:t xml:space="preserve">       +-- 3. _align_tokens_to_sentences()        -&gt; token-&gt;sentence mapping</w:t>
        <w:br/>
        <w:t xml:space="preserve">       |</w:t>
        <w:br/>
        <w:t xml:space="preserve">       +-- 4. _extract_hidden_states(prompt_ids, answer_ids)</w:t>
        <w:br/>
        <w:t xml:space="preserve">       |       +-- model(**full_inputs, output_hidden_states=True)</w:t>
        <w:br/>
        <w:t xml:space="preserve">       |       +-- tbg_hidden = [:, prompt_len-1, :]  (33, 4096)</w:t>
        <w:br/>
        <w:t xml:space="preserve">       |       +-- slt_hidden = [:, full_len-2, :]    (33, 4096)</w:t>
        <w:br/>
        <w:t xml:space="preserve">       |       +-- sentence_end_positions</w:t>
        <w:br/>
        <w:t xml:space="preserve">       |</w:t>
        <w:br/>
        <w:t xml:space="preserve">       +-- 5. SLT probe inference (overall)</w:t>
        <w:br/>
        <w:t xml:space="preserve">       |       energy_risk  = 1 - slt_energy_probe.predict_proba()[:,1]</w:t>
        <w:br/>
        <w:t xml:space="preserve">       |       entropy_risk = slt_entropy_probe.predict_proba()[:,1]</w:t>
        <w:br/>
        <w:t xml:space="preserve">       |</w:t>
        <w:br/>
        <w:t xml:space="preserve">       +-- 6. Per-sentence probe scoring</w:t>
        <w:br/>
        <w:t xml:space="preserve">       |       probe_risk(s) = 0.515*entropy_risk + 0.485*energy_risk</w:t>
        <w:br/>
        <w:t xml:space="preserve">       |       level(s)      = max(B1_level, probe_risk_level)</w:t>
        <w:br/>
        <w:t xml:space="preserve">       |</w:t>
        <w:br/>
        <w:t xml:space="preserve">       +-- 7. Conditional aggregation (Formula 7 or 8)</w:t>
        <w:br/>
        <w:t xml:space="preserve">               -&gt; combined_risk, confidence_level</w:t>
        <w:br/>
        <w:t xml:space="preserve">               -&gt; JSON {answer, confidence_level, combined_risk, ...}</w:t>
      </w:r>
    </w:p>
    <w:p>
      <w:r>
        <w:rPr>
          <w:b w:val="0"/>
          <w:i w:val="0"/>
        </w:rPr>
        <w:t>Integration design decisions:</w:t>
      </w:r>
    </w:p>
    <w:p>
      <w:pPr>
        <w:pStyle w:val="ListBullet"/>
      </w:pPr>
      <w:r>
        <w:t>Singleton engine: app.py holds the engine as a module-level variable initialised at startup. Every request handler accesses the same instance — the correct pattern for a single-GPU server where model loading is the dominant cost.</w:t>
      </w:r>
    </w:p>
    <w:p>
      <w:pPr>
        <w:pStyle w:val="ListBullet"/>
      </w:pPr>
      <w:r>
        <w:t>Atomic model-probe binding: When /switch_model is called, the engine is deleted, CUDA cache cleared, and a new engine instantiated with the model-specific probe bundle path. This enforces probe-model consistency structurally: running a Qwen3 probe against a Llama hidden state is impossible because the bundle is always co-loaded.</w:t>
      </w:r>
    </w:p>
    <w:p>
      <w:pPr>
        <w:pStyle w:val="ListBullet"/>
      </w:pPr>
      <w:r>
        <w:t>Claim filter decoupling: ClaimFilter holds only compiled re patterns and has no GPU dependencies. It operates purely on strings, so sentence classification never blocks on GPU operations.</w:t>
      </w:r>
    </w:p>
    <w:p>
      <w:pPr>
        <w:pStyle w:val="ListBullet"/>
      </w:pPr>
      <w:r>
        <w:t>TBG as a pre-generation gate: /score_fast_tbg runs a forward pass on the prompt alone, returning a risk estimate before the model generates any answer. This enables a qualitatively different interaction mode: the frontend can warn the user before potentially hallucinated text is shown.</w:t>
      </w:r>
    </w:p>
    <w:p>
      <w:pPr>
        <w:pStyle w:val="Heading2"/>
      </w:pPr>
      <w:r>
        <w:t>7.3.10 Functional Requirement Traceability</w:t>
      </w:r>
    </w:p>
    <w:p>
      <w:r>
        <w:rPr>
          <w:b w:val="0"/>
          <w:i w:val="0"/>
        </w:rPr>
        <w:t>The following table maps each functional requirement to its implementing module(s).</w:t>
      </w:r>
    </w:p>
    <w:p>
      <w:r>
        <w:rPr>
          <w:i/>
          <w:sz w:val="20"/>
        </w:rPr>
        <w:t>Table 7.21 — Functional requirement traceability matrix.</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ID</w:t>
            </w:r>
          </w:p>
        </w:tc>
        <w:tc>
          <w:tcPr>
            <w:tcW w:type="dxa" w:w="2160"/>
          </w:tcPr>
          <w:p>
            <w:r>
              <w:rPr>
                <w:rFonts w:ascii="Times New Roman" w:hAnsi="Times New Roman"/>
                <w:b/>
                <w:sz w:val="20"/>
              </w:rPr>
              <w:t>Requirement</w:t>
            </w:r>
          </w:p>
        </w:tc>
        <w:tc>
          <w:tcPr>
            <w:tcW w:type="dxa" w:w="2160"/>
          </w:tcPr>
          <w:p>
            <w:r>
              <w:rPr>
                <w:rFonts w:ascii="Times New Roman" w:hAnsi="Times New Roman"/>
                <w:b/>
                <w:sz w:val="20"/>
              </w:rPr>
              <w:t>Implementation</w:t>
            </w:r>
          </w:p>
        </w:tc>
        <w:tc>
          <w:tcPr>
            <w:tcW w:type="dxa" w:w="2160"/>
          </w:tcPr>
          <w:p>
            <w:r>
              <w:rPr>
                <w:rFonts w:ascii="Times New Roman" w:hAnsi="Times New Roman"/>
                <w:b/>
                <w:sz w:val="20"/>
              </w:rPr>
              <w:t>Module(s)</w:t>
            </w:r>
          </w:p>
        </w:tc>
      </w:tr>
      <w:tr>
        <w:tc>
          <w:tcPr>
            <w:tcW w:type="dxa" w:w="2160"/>
          </w:tcPr>
          <w:p>
            <w:r>
              <w:rPr>
                <w:rFonts w:ascii="Times New Roman" w:hAnsi="Times New Roman"/>
                <w:sz w:val="20"/>
              </w:rPr>
              <w:t>FR1</w:t>
            </w:r>
          </w:p>
        </w:tc>
        <w:tc>
          <w:tcPr>
            <w:tcW w:type="dxa" w:w="2160"/>
          </w:tcPr>
          <w:p>
            <w:r>
              <w:rPr>
                <w:rFonts w:ascii="Times New Roman" w:hAnsi="Times New Roman"/>
                <w:sz w:val="20"/>
              </w:rPr>
              <w:t>Analyse Answer (Local)</w:t>
            </w:r>
          </w:p>
        </w:tc>
        <w:tc>
          <w:tcPr>
            <w:tcW w:type="dxa" w:w="2160"/>
          </w:tcPr>
          <w:p>
            <w:r>
              <w:rPr>
                <w:rFonts w:ascii="Times New Roman" w:hAnsi="Times New Roman"/>
                <w:sz w:val="20"/>
              </w:rPr>
              <w:t>All inference on local GPU via 8-bit quantised LLM; no external API calls</w:t>
            </w:r>
          </w:p>
        </w:tc>
        <w:tc>
          <w:tcPr>
            <w:tcW w:type="dxa" w:w="2160"/>
          </w:tcPr>
          <w:p>
            <w:r>
              <w:rPr>
                <w:rFonts w:ascii="Times New Roman" w:hAnsi="Times New Roman"/>
                <w:sz w:val="20"/>
              </w:rPr>
              <w:t>engine.py (SemanticEngine.__init__)</w:t>
            </w:r>
          </w:p>
        </w:tc>
      </w:tr>
      <w:tr>
        <w:tc>
          <w:tcPr>
            <w:tcW w:type="dxa" w:w="2160"/>
          </w:tcPr>
          <w:p>
            <w:r>
              <w:rPr>
                <w:rFonts w:ascii="Times New Roman" w:hAnsi="Times New Roman"/>
                <w:sz w:val="20"/>
              </w:rPr>
              <w:t>FR2</w:t>
            </w:r>
          </w:p>
        </w:tc>
        <w:tc>
          <w:tcPr>
            <w:tcW w:type="dxa" w:w="2160"/>
          </w:tcPr>
          <w:p>
            <w:r>
              <w:rPr>
                <w:rFonts w:ascii="Times New Roman" w:hAnsi="Times New Roman"/>
                <w:sz w:val="20"/>
              </w:rPr>
              <w:t>Compute Paragraph Risk</w:t>
            </w:r>
          </w:p>
        </w:tc>
        <w:tc>
          <w:tcPr>
            <w:tcW w:type="dxa" w:w="2160"/>
          </w:tcPr>
          <w:p>
            <w:r>
              <w:rPr>
                <w:rFonts w:ascii="Times New Roman" w:hAnsi="Times New Roman"/>
                <w:sz w:val="20"/>
              </w:rPr>
              <w:t>combined_risk and confidence_level in all three scoring modes</w:t>
            </w:r>
          </w:p>
        </w:tc>
        <w:tc>
          <w:tcPr>
            <w:tcW w:type="dxa" w:w="2160"/>
          </w:tcPr>
          <w:p>
            <w:r>
              <w:rPr>
                <w:rFonts w:ascii="Times New Roman" w:hAnsi="Times New Roman"/>
                <w:sz w:val="20"/>
              </w:rPr>
              <w:t>engine.py, app.py</w:t>
            </w:r>
          </w:p>
        </w:tc>
      </w:tr>
      <w:tr>
        <w:tc>
          <w:tcPr>
            <w:tcW w:type="dxa" w:w="2160"/>
          </w:tcPr>
          <w:p>
            <w:r>
              <w:rPr>
                <w:rFonts w:ascii="Times New Roman" w:hAnsi="Times New Roman"/>
                <w:sz w:val="20"/>
              </w:rPr>
              <w:t>FR3</w:t>
            </w:r>
          </w:p>
        </w:tc>
        <w:tc>
          <w:tcPr>
            <w:tcW w:type="dxa" w:w="2160"/>
          </w:tcPr>
          <w:p>
            <w:r>
              <w:rPr>
                <w:rFonts w:ascii="Times New Roman" w:hAnsi="Times New Roman"/>
                <w:sz w:val="20"/>
              </w:rPr>
              <w:t>Factoid/Sentence Decomposition</w:t>
            </w:r>
          </w:p>
        </w:tc>
        <w:tc>
          <w:tcPr>
            <w:tcW w:type="dxa" w:w="2160"/>
          </w:tcPr>
          <w:p>
            <w:r>
              <w:rPr>
                <w:rFonts w:ascii="Times New Roman" w:hAnsi="Times New Roman"/>
                <w:sz w:val="20"/>
              </w:rPr>
              <w:t>pysbd segmentation + character-midpoint token alignment</w:t>
            </w:r>
          </w:p>
        </w:tc>
        <w:tc>
          <w:tcPr>
            <w:tcW w:type="dxa" w:w="2160"/>
          </w:tcPr>
          <w:p>
            <w:r>
              <w:rPr>
                <w:rFonts w:ascii="Times New Roman" w:hAnsi="Times New Roman"/>
                <w:sz w:val="20"/>
              </w:rPr>
              <w:t>engine.py (score_sentences, align_tokens_to_sentences)</w:t>
            </w:r>
          </w:p>
        </w:tc>
      </w:tr>
      <w:tr>
        <w:tc>
          <w:tcPr>
            <w:tcW w:type="dxa" w:w="2160"/>
          </w:tcPr>
          <w:p>
            <w:r>
              <w:rPr>
                <w:rFonts w:ascii="Times New Roman" w:hAnsi="Times New Roman"/>
                <w:sz w:val="20"/>
              </w:rPr>
              <w:t>FR4</w:t>
            </w:r>
          </w:p>
        </w:tc>
        <w:tc>
          <w:tcPr>
            <w:tcW w:type="dxa" w:w="2160"/>
          </w:tcPr>
          <w:p>
            <w:r>
              <w:rPr>
                <w:rFonts w:ascii="Times New Roman" w:hAnsi="Times New Roman"/>
                <w:sz w:val="20"/>
              </w:rPr>
              <w:t>Per-Factoid Risk Labels</w:t>
            </w:r>
          </w:p>
        </w:tc>
        <w:tc>
          <w:tcPr>
            <w:tcW w:type="dxa" w:w="2160"/>
          </w:tcPr>
          <w:p>
            <w:r>
              <w:rPr>
                <w:rFonts w:ascii="Times New Roman" w:hAnsi="Times New Roman"/>
                <w:sz w:val="20"/>
              </w:rPr>
              <w:t>Per-sentence probe_risk, level, and is_claim in SLT and Full SE modes</w:t>
            </w:r>
          </w:p>
        </w:tc>
        <w:tc>
          <w:tcPr>
            <w:tcW w:type="dxa" w:w="2160"/>
          </w:tcPr>
          <w:p>
            <w:r>
              <w:rPr>
                <w:rFonts w:ascii="Times New Roman" w:hAnsi="Times New Roman"/>
                <w:sz w:val="20"/>
              </w:rPr>
              <w:t>engine.py (score_sentences, score_with_slt_probe)</w:t>
            </w:r>
          </w:p>
        </w:tc>
      </w:tr>
      <w:tr>
        <w:tc>
          <w:tcPr>
            <w:tcW w:type="dxa" w:w="2160"/>
          </w:tcPr>
          <w:p>
            <w:r>
              <w:rPr>
                <w:rFonts w:ascii="Times New Roman" w:hAnsi="Times New Roman"/>
                <w:sz w:val="20"/>
              </w:rPr>
              <w:t>FR5</w:t>
            </w:r>
          </w:p>
        </w:tc>
        <w:tc>
          <w:tcPr>
            <w:tcW w:type="dxa" w:w="2160"/>
          </w:tcPr>
          <w:p>
            <w:r>
              <w:rPr>
                <w:rFonts w:ascii="Times New Roman" w:hAnsi="Times New Roman"/>
                <w:sz w:val="20"/>
              </w:rPr>
              <w:t>Single-Pass Probe Estimator</w:t>
            </w:r>
          </w:p>
        </w:tc>
        <w:tc>
          <w:tcPr>
            <w:tcW w:type="dxa" w:w="2160"/>
          </w:tcPr>
          <w:p>
            <w:r>
              <w:rPr>
                <w:rFonts w:ascii="Times New Roman" w:hAnsi="Times New Roman"/>
                <w:sz w:val="20"/>
              </w:rPr>
              <w:t>TBG: 1 forward pass; SLT: 1 generation + 1 forward pass</w:t>
            </w:r>
          </w:p>
        </w:tc>
        <w:tc>
          <w:tcPr>
            <w:tcW w:type="dxa" w:w="2160"/>
          </w:tcPr>
          <w:p>
            <w:r>
              <w:rPr>
                <w:rFonts w:ascii="Times New Roman" w:hAnsi="Times New Roman"/>
                <w:sz w:val="20"/>
              </w:rPr>
              <w:t>engine.py (score_with_tbg_probe, score_with_slt_probe)</w:t>
            </w:r>
          </w:p>
        </w:tc>
      </w:tr>
      <w:tr>
        <w:tc>
          <w:tcPr>
            <w:tcW w:type="dxa" w:w="2160"/>
          </w:tcPr>
          <w:p>
            <w:r>
              <w:rPr>
                <w:rFonts w:ascii="Times New Roman" w:hAnsi="Times New Roman"/>
                <w:sz w:val="20"/>
              </w:rPr>
              <w:t>FR6</w:t>
            </w:r>
          </w:p>
        </w:tc>
        <w:tc>
          <w:tcPr>
            <w:tcW w:type="dxa" w:w="2160"/>
          </w:tcPr>
          <w:p>
            <w:r>
              <w:rPr>
                <w:rFonts w:ascii="Times New Roman" w:hAnsi="Times New Roman"/>
                <w:sz w:val="20"/>
              </w:rPr>
              <w:t>Risk Summary View</w:t>
            </w:r>
          </w:p>
        </w:tc>
        <w:tc>
          <w:tcPr>
            <w:tcW w:type="dxa" w:w="2160"/>
          </w:tcPr>
          <w:p>
            <w:r>
              <w:rPr>
                <w:rFonts w:ascii="Times New Roman" w:hAnsi="Times New Roman"/>
                <w:sz w:val="20"/>
              </w:rPr>
              <w:t>Colour-coded confidence badge + overall score per message</w:t>
            </w:r>
          </w:p>
        </w:tc>
        <w:tc>
          <w:tcPr>
            <w:tcW w:type="dxa" w:w="2160"/>
          </w:tcPr>
          <w:p>
            <w:r>
              <w:rPr>
                <w:rFonts w:ascii="Times New Roman" w:hAnsi="Times New Roman"/>
                <w:sz w:val="20"/>
              </w:rPr>
              <w:t>frontend/script.js</w:t>
            </w:r>
          </w:p>
        </w:tc>
      </w:tr>
      <w:tr>
        <w:tc>
          <w:tcPr>
            <w:tcW w:type="dxa" w:w="2160"/>
          </w:tcPr>
          <w:p>
            <w:r>
              <w:rPr>
                <w:rFonts w:ascii="Times New Roman" w:hAnsi="Times New Roman"/>
                <w:sz w:val="20"/>
              </w:rPr>
              <w:t>FR7</w:t>
            </w:r>
          </w:p>
        </w:tc>
        <w:tc>
          <w:tcPr>
            <w:tcW w:type="dxa" w:w="2160"/>
          </w:tcPr>
          <w:p>
            <w:r>
              <w:rPr>
                <w:rFonts w:ascii="Times New Roman" w:hAnsi="Times New Roman"/>
                <w:sz w:val="20"/>
              </w:rPr>
              <w:t>Detailed Rationale</w:t>
            </w:r>
          </w:p>
        </w:tc>
        <w:tc>
          <w:tcPr>
            <w:tcW w:type="dxa" w:w="2160"/>
          </w:tcPr>
          <w:p>
            <w:r>
              <w:rPr>
                <w:rFonts w:ascii="Times New Roman" w:hAnsi="Times New Roman"/>
                <w:sz w:val="20"/>
              </w:rPr>
              <w:t>Collapsible metrics panel with per-sentence breakdown</w:t>
            </w:r>
          </w:p>
        </w:tc>
        <w:tc>
          <w:tcPr>
            <w:tcW w:type="dxa" w:w="2160"/>
          </w:tcPr>
          <w:p>
            <w:r>
              <w:rPr>
                <w:rFonts w:ascii="Times New Roman" w:hAnsi="Times New Roman"/>
                <w:sz w:val="20"/>
              </w:rPr>
              <w:t>frontend/script.js</w:t>
            </w:r>
          </w:p>
        </w:tc>
      </w:tr>
      <w:tr>
        <w:tc>
          <w:tcPr>
            <w:tcW w:type="dxa" w:w="2160"/>
          </w:tcPr>
          <w:p>
            <w:r>
              <w:rPr>
                <w:rFonts w:ascii="Times New Roman" w:hAnsi="Times New Roman"/>
                <w:sz w:val="20"/>
              </w:rPr>
              <w:t>FR8</w:t>
            </w:r>
          </w:p>
        </w:tc>
        <w:tc>
          <w:tcPr>
            <w:tcW w:type="dxa" w:w="2160"/>
          </w:tcPr>
          <w:p>
            <w:r>
              <w:rPr>
                <w:rFonts w:ascii="Times New Roman" w:hAnsi="Times New Roman"/>
                <w:sz w:val="20"/>
              </w:rPr>
              <w:t>Threshold &amp; Display Settings</w:t>
            </w:r>
          </w:p>
        </w:tc>
        <w:tc>
          <w:tcPr>
            <w:tcW w:type="dxa" w:w="2160"/>
          </w:tcPr>
          <w:p>
            <w:r>
              <w:rPr>
                <w:rFonts w:ascii="Times New Roman" w:hAnsi="Times New Roman"/>
                <w:sz w:val="20"/>
              </w:rPr>
              <w:t>Mode selector (Full SE / SLT / TBG) with speed-accuracy tradeoffs</w:t>
            </w:r>
          </w:p>
        </w:tc>
        <w:tc>
          <w:tcPr>
            <w:tcW w:type="dxa" w:w="2160"/>
          </w:tcPr>
          <w:p>
            <w:r>
              <w:rPr>
                <w:rFonts w:ascii="Times New Roman" w:hAnsi="Times New Roman"/>
                <w:sz w:val="20"/>
              </w:rPr>
              <w:t>frontend/script.js, app.py</w:t>
            </w:r>
          </w:p>
        </w:tc>
      </w:tr>
      <w:tr>
        <w:tc>
          <w:tcPr>
            <w:tcW w:type="dxa" w:w="2160"/>
          </w:tcPr>
          <w:p>
            <w:r>
              <w:rPr>
                <w:rFonts w:ascii="Times New Roman" w:hAnsi="Times New Roman"/>
                <w:sz w:val="20"/>
              </w:rPr>
              <w:t>FR9</w:t>
            </w:r>
          </w:p>
        </w:tc>
        <w:tc>
          <w:tcPr>
            <w:tcW w:type="dxa" w:w="2160"/>
          </w:tcPr>
          <w:p>
            <w:r>
              <w:rPr>
                <w:rFonts w:ascii="Times New Roman" w:hAnsi="Times New Roman"/>
                <w:sz w:val="20"/>
              </w:rPr>
              <w:t>Multi-user Accounts / Auth</w:t>
            </w:r>
          </w:p>
        </w:tc>
        <w:tc>
          <w:tcPr>
            <w:tcW w:type="dxa" w:w="2160"/>
          </w:tcPr>
          <w:p>
            <w:r>
              <w:rPr>
                <w:rFonts w:ascii="Times New Roman" w:hAnsi="Times New Roman"/>
                <w:sz w:val="20"/>
              </w:rPr>
              <w:t>Not implemented — out of scope</w:t>
            </w:r>
          </w:p>
        </w:tc>
        <w:tc>
          <w:tcPr>
            <w:tcW w:type="dxa" w:w="2160"/>
          </w:tcPr>
          <w:p>
            <w:r>
              <w:rPr>
                <w:rFonts w:ascii="Times New Roman" w:hAnsi="Times New Roman"/>
                <w:sz w:val="20"/>
              </w:rPr>
              <w:t>—</w:t>
            </w:r>
          </w:p>
        </w:tc>
      </w:tr>
      <w:tr>
        <w:tc>
          <w:tcPr>
            <w:tcW w:type="dxa" w:w="2160"/>
          </w:tcPr>
          <w:p>
            <w:r>
              <w:rPr>
                <w:rFonts w:ascii="Times New Roman" w:hAnsi="Times New Roman"/>
                <w:sz w:val="20"/>
              </w:rPr>
              <w:t>FR10</w:t>
            </w:r>
          </w:p>
        </w:tc>
        <w:tc>
          <w:tcPr>
            <w:tcW w:type="dxa" w:w="2160"/>
          </w:tcPr>
          <w:p>
            <w:r>
              <w:rPr>
                <w:rFonts w:ascii="Times New Roman" w:hAnsi="Times New Roman"/>
                <w:sz w:val="20"/>
              </w:rPr>
              <w:t>Public Web/App Hosting</w:t>
            </w:r>
          </w:p>
        </w:tc>
        <w:tc>
          <w:tcPr>
            <w:tcW w:type="dxa" w:w="2160"/>
          </w:tcPr>
          <w:p>
            <w:r>
              <w:rPr>
                <w:rFonts w:ascii="Times New Roman" w:hAnsi="Times New Roman"/>
                <w:sz w:val="20"/>
              </w:rPr>
              <w:t>Not implemented — local deployment only</w:t>
            </w:r>
          </w:p>
        </w:tc>
        <w:tc>
          <w:tcPr>
            <w:tcW w:type="dxa" w:w="2160"/>
          </w:tcPr>
          <w:p>
            <w:r>
              <w:rPr>
                <w:rFonts w:ascii="Times New Roman" w:hAnsi="Times New Roman"/>
                <w:sz w:val="20"/>
              </w:rPr>
              <w:t>—</w:t>
            </w:r>
          </w:p>
        </w:tc>
      </w:tr>
      <w:tr>
        <w:tc>
          <w:tcPr>
            <w:tcW w:type="dxa" w:w="2160"/>
          </w:tcPr>
          <w:p>
            <w:r>
              <w:rPr>
                <w:rFonts w:ascii="Times New Roman" w:hAnsi="Times New Roman"/>
                <w:sz w:val="20"/>
              </w:rPr>
              <w:t>FR11</w:t>
            </w:r>
          </w:p>
        </w:tc>
        <w:tc>
          <w:tcPr>
            <w:tcW w:type="dxa" w:w="2160"/>
          </w:tcPr>
          <w:p>
            <w:r>
              <w:rPr>
                <w:rFonts w:ascii="Times New Roman" w:hAnsi="Times New Roman"/>
                <w:sz w:val="20"/>
              </w:rPr>
              <w:t>Multilingual Detection</w:t>
            </w:r>
          </w:p>
        </w:tc>
        <w:tc>
          <w:tcPr>
            <w:tcW w:type="dxa" w:w="2160"/>
          </w:tcPr>
          <w:p>
            <w:r>
              <w:rPr>
                <w:rFonts w:ascii="Times New Roman" w:hAnsi="Times New Roman"/>
                <w:sz w:val="20"/>
              </w:rPr>
              <w:t>Not implemented — English only</w:t>
            </w:r>
          </w:p>
        </w:tc>
        <w:tc>
          <w:tcPr>
            <w:tcW w:type="dxa" w:w="2160"/>
          </w:tcPr>
          <w:p>
            <w:r>
              <w:rPr>
                <w:rFonts w:ascii="Times New Roman" w:hAnsi="Times New Roman"/>
                <w:sz w:val="20"/>
              </w:rPr>
              <w:t>—</w:t>
            </w:r>
          </w:p>
        </w:tc>
      </w:tr>
    </w:tbl>
    <w:p/>
    <w:p>
      <w:r>
        <w:rPr>
          <w:b w:val="0"/>
          <w:i w:val="0"/>
        </w:rPr>
        <w:t>All mandatory requirements (FR1-FR5, priority M) are fully implemented. The 'should have' requirement (FR6) and 'could have' requirement (FR7) are also implemented. FR8 is partially addressed through the three-mode selection mechanism. FR9-FR11 are explicitly documented as out of scope.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