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64748B"/>
          <w:sz w:val="17"/>
        </w:rPr>
        <w:t>M9 — INTRODUCTION TO MACHINE LEARNING · 100% COURSE 3 SUMMARY COMPLIANT</w:t>
      </w:r>
    </w:p>
    <w:p>
      <w:r>
        <w:rPr>
          <w:rFonts w:ascii="Arial" w:hAnsi="Arial"/>
          <w:b/>
          <w:color w:val="0F172A"/>
          <w:sz w:val="34"/>
        </w:rPr>
        <w:t>MASTER PRESENTATION GUIDE: AI FOR MEDICAL TREATMENT</w:t>
      </w:r>
    </w:p>
    <w:p>
      <w:r>
        <w:rPr>
          <w:rFonts w:ascii="Arial" w:hAnsi="Arial"/>
          <w:color w:val="475569"/>
          <w:sz w:val="21"/>
        </w:rPr>
        <w:t>Complete 20-Minute Script, 14-Step Agenda &amp; Defense Q&amp;A (100% Course 3 Summary Compliant)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👤 Presenter: Khương · Hiếu · Dung · Linh (Group Project)</w:t>
            </w:r>
          </w:p>
        </w:tc>
        <w:tc>
          <w:tcPr>
            <w:tcW w:type="dxa" w:w="48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E293B"/>
                <w:sz w:val="17"/>
              </w:rPr>
              <w:t>🎭 Role: Full Team Unified Guide (BIZ 1, DEV 1, BIZ 2, DEV 2)</w:t>
            </w:r>
          </w:p>
        </w:tc>
      </w:tr>
      <w:tr>
        <w:tc>
          <w:tcPr>
            <w:tcW w:type="dxa" w:w="48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⏱️ Allocated Time: 20.0 Minutes</w:t>
            </w:r>
          </w:p>
        </w:tc>
        <w:tc>
          <w:tcPr>
            <w:tcW w:type="dxa" w:w="48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E293B"/>
                <w:sz w:val="17"/>
              </w:rPr>
              <w:t>🎯 Alignment: AI_For_Medical_Treatment_Course3_Summary.docx</w:t>
            </w:r>
          </w:p>
        </w:tc>
      </w:tr>
    </w:tbl>
    <w:p/>
    <w:p>
      <w:r>
        <w:rPr>
          <w:rFonts w:ascii="Arial" w:hAnsi="Arial"/>
          <w:b/>
          <w:sz w:val="22"/>
        </w:rPr>
        <w:t>🌟 Full 14-Step Master Agenda (Derived from Table 23 of Course 3 Summary):</w:t>
        <w:br/>
      </w:r>
    </w:p>
    <w:p>
      <w:r>
        <w:rPr>
          <w:rFonts w:ascii="Arial" w:hAnsi="Arial"/>
          <w:b/>
          <w:color w:val="1E3A8A"/>
          <w:sz w:val="19"/>
        </w:rPr>
        <w:t xml:space="preserve">• Step 1 (2 min · BIZ 1 Khương): </w:t>
      </w:r>
      <w:r>
        <w:rPr>
          <w:rFonts w:ascii="Arial" w:hAnsi="Arial"/>
          <w:color w:val="334155"/>
          <w:sz w:val="18"/>
        </w:rPr>
        <w:t>Opening with Patient 62y clinical dilemma (10,000 trial average vs individual doctor decision).</w:t>
      </w:r>
    </w:p>
    <w:p>
      <w:r>
        <w:rPr>
          <w:rFonts w:ascii="Arial" w:hAnsi="Arial"/>
          <w:b/>
          <w:color w:val="1E3A8A"/>
          <w:sz w:val="19"/>
        </w:rPr>
        <w:t xml:space="preserve">• Step 2 (2.5 min · BIZ 1 Khương): </w:t>
      </w:r>
      <w:r>
        <w:rPr>
          <w:rFonts w:ascii="Arial" w:hAnsi="Arial"/>
          <w:color w:val="334155"/>
          <w:sz w:val="18"/>
        </w:rPr>
        <w:t>ARR (+14%), RRR (70%), NNT (7.1) economics and RCT coin flip cutting confounding bias (SMD = 0.02).</w:t>
      </w:r>
    </w:p>
    <w:p>
      <w:r>
        <w:rPr>
          <w:rFonts w:ascii="Arial" w:hAnsi="Arial"/>
          <w:b/>
          <w:color w:val="1E3A8A"/>
          <w:sz w:val="19"/>
        </w:rPr>
        <w:t xml:space="preserve">• Step 3 (2 min · BIZ 1 Khương): </w:t>
      </w:r>
      <w:r>
        <w:rPr>
          <w:rFonts w:ascii="Arial" w:hAnsi="Arial"/>
          <w:color w:val="334155"/>
          <w:sz w:val="18"/>
        </w:rPr>
        <w:t>Neyman-Rubin potential outcomes Y(1)/Y(0), missing counterfactuals, and ATE -&gt; CATE transition.</w:t>
      </w:r>
    </w:p>
    <w:p>
      <w:r>
        <w:rPr>
          <w:rFonts w:ascii="Arial" w:hAnsi="Arial"/>
          <w:b/>
          <w:color w:val="1E3A8A"/>
          <w:sz w:val="19"/>
        </w:rPr>
        <w:t xml:space="preserve">• Step 4 (1.5 min · DEV 1 Hiếu): </w:t>
      </w:r>
      <w:r>
        <w:rPr>
          <w:rFonts w:ascii="Arial" w:hAnsi="Arial"/>
          <w:color w:val="334155"/>
          <w:sz w:val="18"/>
        </w:rPr>
        <w:t>Personalized CATE profiling: Grandpa An (+26.4%) vs Alex (+2.0%).</w:t>
      </w:r>
    </w:p>
    <w:p>
      <w:r>
        <w:rPr>
          <w:rFonts w:ascii="Arial" w:hAnsi="Arial"/>
          <w:b/>
          <w:color w:val="1E3A8A"/>
          <w:sz w:val="19"/>
        </w:rPr>
        <w:t xml:space="preserve">• Step 5 (1.5 min · DEV 1 Hiếu): </w:t>
      </w:r>
      <w:r>
        <w:rPr>
          <w:rFonts w:ascii="Arial" w:hAnsi="Arial"/>
          <w:color w:val="334155"/>
          <w:sz w:val="18"/>
        </w:rPr>
        <w:t>Architecture Battle: T-Learner (2 specialized trees) vs S-Learner Regularization Shrinkage Trap.</w:t>
      </w:r>
    </w:p>
    <w:p>
      <w:r>
        <w:rPr>
          <w:rFonts w:ascii="Arial" w:hAnsi="Arial"/>
          <w:b/>
          <w:color w:val="1E3A8A"/>
          <w:sz w:val="19"/>
        </w:rPr>
        <w:t xml:space="preserve">• Step 6 (1.5 min · DEV 1 Hiếu): </w:t>
      </w:r>
      <w:r>
        <w:rPr>
          <w:rFonts w:ascii="Arial" w:hAnsi="Arial"/>
          <w:color w:val="334155"/>
          <w:sz w:val="18"/>
        </w:rPr>
        <w:t>Statistical Matched Twin Pairs (C-for-benefit = 0.6342) &amp; Itemized TreeSHAP Push Receipts.</w:t>
      </w:r>
    </w:p>
    <w:p>
      <w:r>
        <w:rPr>
          <w:rFonts w:ascii="Arial" w:hAnsi="Arial"/>
          <w:b/>
          <w:color w:val="1E3A8A"/>
          <w:sz w:val="19"/>
        </w:rPr>
        <w:t xml:space="preserve">• Step 7 (2.5 min · BIZ 2 Dung): </w:t>
      </w:r>
      <w:r>
        <w:rPr>
          <w:rFonts w:ascii="Arial" w:hAnsi="Arial"/>
          <w:color w:val="334155"/>
          <w:sz w:val="18"/>
        </w:rPr>
        <w:t>3-Step Automatic PACS Label Extraction: UMLS Synonyms -&gt; Is-A Hierarchy -&gt; NegBio Negation ('No evidence of pneumonia' -&gt; 0).</w:t>
      </w:r>
    </w:p>
    <w:p>
      <w:r>
        <w:rPr>
          <w:rFonts w:ascii="Arial" w:hAnsi="Arial"/>
          <w:b/>
          <w:color w:val="1E3A8A"/>
          <w:sz w:val="19"/>
        </w:rPr>
        <w:t xml:space="preserve">• Step 8 (2.0 min · BIZ 2 Dung): </w:t>
      </w:r>
      <w:r>
        <w:rPr>
          <w:rFonts w:ascii="Arial" w:hAnsi="Arial"/>
          <w:color w:val="334155"/>
          <w:sz w:val="18"/>
        </w:rPr>
        <w:t>Multi-Label F1 evaluation, 99% accuracy trap, Macro (0.842) vs Micro (0.891) average &amp; Phần 4 Critical Assessment.</w:t>
      </w:r>
    </w:p>
    <w:p>
      <w:r>
        <w:rPr>
          <w:rFonts w:ascii="Arial" w:hAnsi="Arial"/>
          <w:b/>
          <w:color w:val="1E3A8A"/>
          <w:sz w:val="19"/>
        </w:rPr>
        <w:t xml:space="preserve">• Step 9 (2.0 min · DEV 2 Linh): </w:t>
      </w:r>
      <w:r>
        <w:rPr>
          <w:rFonts w:ascii="Arial" w:hAnsi="Arial"/>
          <w:color w:val="334155"/>
          <w:sz w:val="18"/>
        </w:rPr>
        <w:t>Medical Question Answering, resolving polysemy ('MS') via BioBERT, and Start/End vectors S, E span selection.</w:t>
      </w:r>
    </w:p>
    <w:p>
      <w:r>
        <w:rPr>
          <w:rFonts w:ascii="Arial" w:hAnsi="Arial"/>
          <w:b/>
          <w:color w:val="1E3A8A"/>
          <w:sz w:val="19"/>
        </w:rPr>
        <w:t xml:space="preserve">• Step 10 (3.0 min · DEV 2 Linh): </w:t>
      </w:r>
      <w:r>
        <w:rPr>
          <w:rFonts w:ascii="Arial" w:hAnsi="Arial"/>
          <w:color w:val="334155"/>
          <w:sz w:val="18"/>
        </w:rPr>
        <w:t>Permutation Importance (Delta C = -0.2228), Layer 424 Grad-CAM localization &amp; Adebayo 2018 Sanity Checks.</w:t>
      </w:r>
    </w:p>
    <w:p>
      <w:r>
        <w:rPr>
          <w:rFonts w:ascii="Arial" w:hAnsi="Arial"/>
          <w:b/>
          <w:color w:val="1E3A8A"/>
          <w:sz w:val="19"/>
        </w:rPr>
        <w:t xml:space="preserve">• Step 11 (2.0 min · All Members): </w:t>
      </w:r>
      <w:r>
        <w:rPr>
          <w:rFonts w:ascii="Arial" w:hAnsi="Arial"/>
          <w:color w:val="334155"/>
          <w:sz w:val="18"/>
        </w:rPr>
        <w:t>Strategic Wrap-Up: resolving Patient 62y dilemma and 6 Core Professor Defense Answers.</w:t>
      </w:r>
    </w:p>
    <w:p/>
    <w:p>
      <w:r>
        <w:rPr>
          <w:rFonts w:ascii="Arial" w:hAnsi="Arial"/>
          <w:b/>
          <w:color w:val="0F172A"/>
          <w:sz w:val="24"/>
        </w:rPr>
        <w:t>💡 6 Core Professor Defense Questions (Mục 6.1 of Course 3 Summary)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326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Primary Speaker</w:t>
            </w:r>
          </w:p>
        </w:tc>
        <w:tc>
          <w:tcPr>
            <w:tcW w:type="dxa" w:w="326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Key 30-Second Defense Answer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Q1. Why not use standard risk models instead of causal AI?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Khương / Hiếu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Risk models only predict correlation (who gets sick); causal AI estimates treatment response (who improves with the drug), preventing overtreatment in non-responders.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Q2. Is C-for-benefit of 0.6342 high enough for hospital deployment?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Hiếu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Yes! In causal ML, 0.55-0.65 is the international gold standard because unobservable counterfactuals add natural twin matching variance (equivalent to ~0.80 standard AUC).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Q3. Why is T-Learner preferred over S-Learner?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Hiếu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S-Learner suffers from shrinkage bias—trees split on Age/BP and ignore treatment W. T-Learner trains 2 separate models to capture 100% of treatment interactions.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Q4. Does Grad-CAM prove the model is medically correct?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Linh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No. As shown by Adebayo et al. (NeurIPS 2018), Grad-CAM shows WHERE the model looked, NOT WHY. It is a vital safety filter, not proof of correctness.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Q5. Why use rule-based NLP if modern LLMs exist?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Dung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Hospital PACS contain millions of records behind firewalls. Rule-based NegBio is 100% HIPAA-compliant, zero-cost, runs locally at lightning speed, and needs 0 GPUs.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Q6. Why is Accuracy useless for evaluating medical AI?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Dung / Linh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Extreme class imbalance (1% disease prevalence) means predicting all 0 gives 99% accuracy while killing sick patients. F1 harmonic mean is mandatory.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