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64748B"/>
          <w:sz w:val="17"/>
        </w:rPr>
        <w:t>M9 — INTRODUCTION TO MACHINE LEARNING · 100% COURSE 3 SUMMARY COMPLIANT</w:t>
      </w:r>
    </w:p>
    <w:p>
      <w:r>
        <w:rPr>
          <w:rFonts w:ascii="Arial" w:hAnsi="Arial"/>
          <w:b/>
          <w:color w:val="059669"/>
          <w:sz w:val="34"/>
        </w:rPr>
        <w:t>PART 2: PRECISION CATE, T-LEARNER &amp; SHAP ATTRIBUTION</w:t>
      </w:r>
    </w:p>
    <w:p>
      <w:r>
        <w:rPr>
          <w:rFonts w:ascii="Arial" w:hAnsi="Arial"/>
          <w:color w:val="475569"/>
          <w:sz w:val="21"/>
        </w:rPr>
        <w:t>Official Speaking Guide &amp; Interactive Demo Plan (Week 1, V8–12 &amp; Week 3, V4–6)</w:t>
      </w:r>
    </w:p>
    <w:tbl>
      <w:tblPr>
        <w:tblW w:type="auto" w:w="0"/>
        <w:jc w:val="center"/>
        <w:tblLayout w:type="fixed"/>
        <w:tblLook w:firstColumn="1" w:firstRow="1" w:lastColumn="0" w:lastRow="0" w:noHBand="0" w:noVBand="1" w:val="04A0"/>
      </w:tblPr>
      <w:tblGrid>
        <w:gridCol w:w="4896"/>
        <w:gridCol w:w="4896"/>
      </w:tblGrid>
      <w:tr>
        <w:tc>
          <w:tcPr>
            <w:tcW w:type="dxa" w:w="4896"/>
            <w:shd w:fill="F1F5F9"/>
            <w:tcMar>
              <w:top w:w="80" w:type="dxa"/>
              <w:bottom w:w="80" w:type="dxa"/>
              <w:left w:w="120" w:type="dxa"/>
              <w:right w:w="120" w:type="dxa"/>
            </w:tcMar>
          </w:tcPr>
          <w:p>
            <w:r>
              <w:rPr>
                <w:rFonts w:ascii="Arial" w:hAnsi="Arial"/>
                <w:b/>
                <w:color w:val="1E293B"/>
                <w:sz w:val="17"/>
              </w:rPr>
              <w:t>👤 Presenter: Đặng Trung Hiếu (ID: 20225003)</w:t>
            </w:r>
          </w:p>
        </w:tc>
        <w:tc>
          <w:tcPr>
            <w:tcW w:type="dxa" w:w="4896"/>
            <w:shd w:fill="F1F5F9"/>
            <w:tcMar>
              <w:top w:w="80" w:type="dxa"/>
              <w:bottom w:w="80" w:type="dxa"/>
              <w:left w:w="120" w:type="dxa"/>
              <w:right w:w="120" w:type="dxa"/>
            </w:tcMar>
          </w:tcPr>
          <w:p>
            <w:r>
              <w:rPr>
                <w:rFonts w:ascii="Arial" w:hAnsi="Arial"/>
                <w:b w:val="0"/>
                <w:color w:val="1E293B"/>
                <w:sz w:val="17"/>
              </w:rPr>
              <w:t>🎭 Role: DEV 1 · Treatment Effect Modeling &amp; SHAP Attribution</w:t>
            </w:r>
          </w:p>
        </w:tc>
      </w:tr>
      <w:tr>
        <w:tc>
          <w:tcPr>
            <w:tcW w:type="dxa" w:w="4896"/>
            <w:shd w:fill="F1F5F9"/>
            <w:tcMar>
              <w:top w:w="80" w:type="dxa"/>
              <w:bottom w:w="80" w:type="dxa"/>
              <w:left w:w="120" w:type="dxa"/>
              <w:right w:w="120" w:type="dxa"/>
            </w:tcMar>
          </w:tcPr>
          <w:p>
            <w:r>
              <w:rPr>
                <w:rFonts w:ascii="Arial" w:hAnsi="Arial"/>
                <w:b/>
                <w:color w:val="1E293B"/>
                <w:sz w:val="17"/>
              </w:rPr>
              <w:t>⏱️ Allocated Time: 4.5 Minutes</w:t>
            </w:r>
          </w:p>
        </w:tc>
        <w:tc>
          <w:tcPr>
            <w:tcW w:type="dxa" w:w="4896"/>
            <w:shd w:fill="F1F5F9"/>
            <w:tcMar>
              <w:top w:w="80" w:type="dxa"/>
              <w:bottom w:w="80" w:type="dxa"/>
              <w:left w:w="120" w:type="dxa"/>
              <w:right w:w="120" w:type="dxa"/>
            </w:tcMar>
          </w:tcPr>
          <w:p>
            <w:r>
              <w:rPr>
                <w:rFonts w:ascii="Arial" w:hAnsi="Arial"/>
                <w:b w:val="0"/>
                <w:color w:val="1E293B"/>
                <w:sz w:val="17"/>
              </w:rPr>
              <w:t>🎯 Alignment: AI_For_Medical_Treatment_Course3_Summary.docx</w:t>
            </w:r>
          </w:p>
        </w:tc>
      </w:tr>
    </w:tbl>
    <w:p/>
    <w:p>
      <w:r>
        <w:rPr>
          <w:rFonts w:ascii="Arial" w:hAnsi="Arial"/>
          <w:b/>
          <w:color w:val="059669"/>
          <w:sz w:val="24"/>
        </w:rPr>
        <w:t>📌 Chapter 1: Individualized CATE Profiling (Week 1, V8) (1.5 mins)</w:t>
      </w:r>
    </w:p>
    <w:tbl>
      <w:tblPr>
        <w:tblW w:type="auto" w:w="0"/>
        <w:jc w:val="center"/>
        <w:tblLayout w:type="fixed"/>
        <w:tblLook w:firstColumn="1" w:firstRow="1" w:lastColumn="0" w:lastRow="0" w:noHBand="0" w:noVBand="1" w:val="04A0"/>
      </w:tblPr>
      <w:tblGrid>
        <w:gridCol w:w="9792"/>
      </w:tblGrid>
      <w:tr>
        <w:tc>
          <w:tcPr>
            <w:tcW w:type="dxa" w:w="9792"/>
            <w:shd w:fill="EFF6FF"/>
            <w:tcMar>
              <w:top w:w="80" w:type="dxa"/>
              <w:bottom w:w="80" w:type="dxa"/>
              <w:left w:w="120" w:type="dxa"/>
              <w:right w:w="120" w:type="dxa"/>
            </w:tcMar>
          </w:tcPr>
          <w:p>
            <w:r>
              <w:rPr>
                <w:rFonts w:ascii="Arial" w:hAnsi="Arial"/>
                <w:b/>
                <w:color w:val="1E40AF"/>
                <w:sz w:val="17"/>
              </w:rPr>
              <w:t>🎯 Syllabus Focus &amp; Learning Objectives</w:t>
              <w:br/>
            </w:r>
            <w:r>
              <w:rPr>
                <w:rFonts w:ascii="Arial" w:hAnsi="Arial"/>
                <w:color w:val="1E293B"/>
                <w:sz w:val="19"/>
              </w:rPr>
              <w:t>1.8 Conditional Average Treatment Effect (CATE) definition, baseline risk profiling from Age, SBP, BMI, and personalized net benefit.</w:t>
            </w:r>
          </w:p>
        </w:tc>
      </w:tr>
      <w:tr>
        <w:tc>
          <w:tcPr>
            <w:tcW w:type="dxa" w:w="9792"/>
            <w:shd w:fill="F8FAFC"/>
            <w:tcMar>
              <w:top w:w="80" w:type="dxa"/>
              <w:bottom w:w="80" w:type="dxa"/>
              <w:left w:w="120" w:type="dxa"/>
              <w:right w:w="120" w:type="dxa"/>
            </w:tcMar>
          </w:tcPr>
          <w:p>
            <w:r>
              <w:rPr>
                <w:rFonts w:ascii="Arial" w:hAnsi="Arial"/>
                <w:b/>
                <w:color w:val="0F172A"/>
                <w:sz w:val="17"/>
              </w:rPr>
              <w:t>👉 Screen &amp; UI Interactive Actions</w:t>
              <w:br/>
            </w:r>
            <w:r>
              <w:rPr>
                <w:rFonts w:ascii="Arial" w:hAnsi="Arial"/>
                <w:color w:val="1E293B"/>
                <w:sz w:val="19"/>
              </w:rPr>
              <w:t>1. Click tab 'Hiếu' · Flow Step 1 'Individual CATE' is active.</w:t>
              <w:br/>
              <w:t>2. Click preset 'Alex (Young)' -&gt; CATE = +2.0%.</w:t>
              <w:br/>
              <w:t>3. Click preset 'Grandpa An (Patient 62y)' -&gt; CATE = +26.4%.</w:t>
              <w:br/>
              <w:t>4. Show Card 6 risk bars: 48.2% untreated drops to 21.8% treated.</w:t>
            </w:r>
          </w:p>
        </w:tc>
      </w:tr>
      <w:tr>
        <w:tc>
          <w:tcPr>
            <w:tcW w:type="dxa" w:w="9792"/>
            <w:shd w:fill="FFFFFF"/>
            <w:tcMar>
              <w:top w:w="80" w:type="dxa"/>
              <w:bottom w:w="80" w:type="dxa"/>
              <w:left w:w="120" w:type="dxa"/>
              <w:right w:w="120" w:type="dxa"/>
            </w:tcMar>
          </w:tcPr>
          <w:p>
            <w:r>
              <w:rPr>
                <w:rFonts w:ascii="Arial" w:hAnsi="Arial"/>
                <w:b/>
                <w:color w:val="1E293B"/>
                <w:sz w:val="17"/>
              </w:rPr>
              <w:t>🎙️ Complete Spoken Presentation Script</w:t>
              <w:br/>
            </w:r>
            <w:r>
              <w:rPr>
                <w:rFonts w:ascii="Arial" w:hAnsi="Arial"/>
                <w:color w:val="1E293B"/>
                <w:sz w:val="19"/>
              </w:rPr>
              <w:t>"Thank you Khương. Machine learning estimates each patient's individual benefit by conditioning on their biological features X = {Age, SBP, BMI}. For Alex (Age 35, SBP 118), his untreated risk is only 5.4%, reducing to 3.4% with the drug—a minor +2.0% benefit where medication is unnecessary. But for Grandpa An (Age 62, SBP 165, BMI 31), his untreated risk of 48.2% plummets to 21.8%—a massive +26.4% Net Benefit. Precision AI allows us to target treatments where they matter most."</w:t>
            </w:r>
          </w:p>
        </w:tc>
      </w:tr>
      <w:tr>
        <w:tc>
          <w:tcPr>
            <w:tcW w:type="dxa" w:w="9792"/>
            <w:shd w:fill="F1F5F9"/>
            <w:tcMar>
              <w:top w:w="80" w:type="dxa"/>
              <w:bottom w:w="80" w:type="dxa"/>
              <w:left w:w="120" w:type="dxa"/>
              <w:right w:w="120" w:type="dxa"/>
            </w:tcMar>
          </w:tcPr>
          <w:p>
            <w:r>
              <w:rPr>
                <w:rFonts w:ascii="Arial" w:hAnsi="Arial"/>
                <w:b/>
                <w:color w:val="0F766E"/>
                <w:sz w:val="17"/>
              </w:rPr>
              <w:t>📐 Dynamic Mathematical Formula &amp; Logic</w:t>
              <w:br/>
            </w:r>
            <w:r>
              <w:rPr>
                <w:rFonts w:ascii="Arial" w:hAnsi="Arial"/>
                <w:color w:val="1E293B"/>
                <w:sz w:val="19"/>
              </w:rPr>
              <w:t>CATE(X) = E[Y(0) - Y(1) | X] = μ_0(X) - μ_1(X)</w:t>
              <w:br/>
              <w:t>Grandpa An CATE: 48.2% - 21.8% = +26.4% Net Benefit</w:t>
              <w:br/>
              <w:t>Alex CATE: 5.4% - 3.4% = +2.0% Benefit</w:t>
            </w:r>
          </w:p>
        </w:tc>
      </w:tr>
      <w:tr>
        <w:tc>
          <w:tcPr>
            <w:tcW w:type="dxa" w:w="9792"/>
            <w:shd w:fill="F0FDF4"/>
            <w:tcMar>
              <w:top w:w="80" w:type="dxa"/>
              <w:bottom w:w="80" w:type="dxa"/>
              <w:left w:w="120" w:type="dxa"/>
              <w:right w:w="120" w:type="dxa"/>
            </w:tcMar>
          </w:tcPr>
          <w:p>
            <w:r>
              <w:rPr>
                <w:rFonts w:ascii="Arial" w:hAnsi="Arial"/>
                <w:b/>
                <w:color w:val="166534"/>
                <w:sz w:val="17"/>
              </w:rPr>
              <w:t>📊 Key Deliverables &amp; Validation Metrics</w:t>
              <w:br/>
            </w:r>
            <w:r>
              <w:rPr>
                <w:rFonts w:ascii="Arial" w:hAnsi="Arial"/>
                <w:color w:val="1E293B"/>
                <w:sz w:val="19"/>
              </w:rPr>
              <w:t>• Personalized Stratification: Grandpa An (+26.4%) vs Alex (+2.0%)</w:t>
              <w:br/>
              <w:t>• Actionable Guidance: Immediate prescription recommended for CATE &gt; 15%.</w:t>
            </w:r>
          </w:p>
        </w:tc>
      </w:tr>
    </w:tbl>
    <w:p/>
    <w:p>
      <w:r>
        <w:rPr>
          <w:rFonts w:ascii="Arial" w:hAnsi="Arial"/>
          <w:b/>
          <w:color w:val="059669"/>
          <w:sz w:val="24"/>
        </w:rPr>
        <w:t>📌 Chapter 2: Architecture Battle: T-Learner vs S-Learner Trap (Week 1, V8–9) (1.5 mins)</w:t>
      </w:r>
    </w:p>
    <w:tbl>
      <w:tblPr>
        <w:tblW w:type="auto" w:w="0"/>
        <w:jc w:val="center"/>
        <w:tblLayout w:type="fixed"/>
        <w:tblLook w:firstColumn="1" w:firstRow="1" w:lastColumn="0" w:lastRow="0" w:noHBand="0" w:noVBand="1" w:val="04A0"/>
      </w:tblPr>
      <w:tblGrid>
        <w:gridCol w:w="9792"/>
      </w:tblGrid>
      <w:tr>
        <w:tc>
          <w:tcPr>
            <w:tcW w:type="dxa" w:w="9792"/>
            <w:shd w:fill="EFF6FF"/>
            <w:tcMar>
              <w:top w:w="80" w:type="dxa"/>
              <w:bottom w:w="80" w:type="dxa"/>
              <w:left w:w="120" w:type="dxa"/>
              <w:right w:w="120" w:type="dxa"/>
            </w:tcMar>
          </w:tcPr>
          <w:p>
            <w:r>
              <w:rPr>
                <w:rFonts w:ascii="Arial" w:hAnsi="Arial"/>
                <w:b/>
                <w:color w:val="1E40AF"/>
                <w:sz w:val="17"/>
              </w:rPr>
              <w:t>🎯 Syllabus Focus &amp; Learning Objectives</w:t>
              <w:br/>
            </w:r>
            <w:r>
              <w:rPr>
                <w:rFonts w:ascii="Arial" w:hAnsi="Arial"/>
                <w:color w:val="1E293B"/>
                <w:sz w:val="19"/>
              </w:rPr>
              <w:t>1.9 T-Learner (two specialized models) vs S-Learner (single model), and the mathematical trap of Regularization Shrinkage Bias.</w:t>
            </w:r>
          </w:p>
        </w:tc>
      </w:tr>
      <w:tr>
        <w:tc>
          <w:tcPr>
            <w:tcW w:type="dxa" w:w="9792"/>
            <w:shd w:fill="F8FAFC"/>
            <w:tcMar>
              <w:top w:w="80" w:type="dxa"/>
              <w:bottom w:w="80" w:type="dxa"/>
              <w:left w:w="120" w:type="dxa"/>
              <w:right w:w="120" w:type="dxa"/>
            </w:tcMar>
          </w:tcPr>
          <w:p>
            <w:r>
              <w:rPr>
                <w:rFonts w:ascii="Arial" w:hAnsi="Arial"/>
                <w:b/>
                <w:color w:val="0F172A"/>
                <w:sz w:val="17"/>
              </w:rPr>
              <w:t>👉 Screen &amp; UI Interactive Actions</w:t>
              <w:br/>
            </w:r>
            <w:r>
              <w:rPr>
                <w:rFonts w:ascii="Arial" w:hAnsi="Arial"/>
                <w:color w:val="1E293B"/>
                <w:sz w:val="19"/>
              </w:rPr>
              <w:t>1. Click Flow Step 2 'T vs S Learner'.</w:t>
              <w:br/>
              <w:t>2. Click '🌲 S-Learner (Shrinkage)' button -&gt; Show estimated benefit drops to +15.2%.</w:t>
              <w:br/>
              <w:t>3. Click '🌲🌲 T-Learner (2 Doctors)' button -&gt; Restores true unbiased +26.4% benefit.</w:t>
              <w:br/>
              <w:t>4. Adjust tree depth slider to demonstrate shrinkage severity.</w:t>
            </w:r>
          </w:p>
        </w:tc>
      </w:tr>
      <w:tr>
        <w:tc>
          <w:tcPr>
            <w:tcW w:type="dxa" w:w="9792"/>
            <w:shd w:fill="FFFFFF"/>
            <w:tcMar>
              <w:top w:w="80" w:type="dxa"/>
              <w:bottom w:w="80" w:type="dxa"/>
              <w:left w:w="120" w:type="dxa"/>
              <w:right w:w="120" w:type="dxa"/>
            </w:tcMar>
          </w:tcPr>
          <w:p>
            <w:r>
              <w:rPr>
                <w:rFonts w:ascii="Arial" w:hAnsi="Arial"/>
                <w:b/>
                <w:color w:val="1E293B"/>
                <w:sz w:val="17"/>
              </w:rPr>
              <w:t>🎙️ Complete Spoken Presentation Script</w:t>
              <w:br/>
            </w:r>
            <w:r>
              <w:rPr>
                <w:rFonts w:ascii="Arial" w:hAnsi="Arial"/>
                <w:color w:val="1E293B"/>
                <w:sz w:val="19"/>
              </w:rPr>
              <w:t>"How should we structure the causal model? An S-Learner feeds treatment W as an extra feature into one large decision tree. However, because features like SBP and Age have high variance, regularized tree algorithms split on continuous features first and penalize the binary treatment variable. Grandpa An's benefit artificially collapses from +26.4% down to +15.2% due to Regularization Shrinkage Bias.</w:t>
              <w:br/>
              <w:br/>
              <w:t>To eliminate this trap, we implement a T-Learner: two completely independent models—μ_1(X) trained only on treated patients, and μ_0(X) trained on control patients. Subtracting their predictions captures 100% of treatment interactions without shrinkage bias."</w:t>
            </w:r>
          </w:p>
        </w:tc>
      </w:tr>
      <w:tr>
        <w:tc>
          <w:tcPr>
            <w:tcW w:type="dxa" w:w="9792"/>
            <w:shd w:fill="F1F5F9"/>
            <w:tcMar>
              <w:top w:w="80" w:type="dxa"/>
              <w:bottom w:w="80" w:type="dxa"/>
              <w:left w:w="120" w:type="dxa"/>
              <w:right w:w="120" w:type="dxa"/>
            </w:tcMar>
          </w:tcPr>
          <w:p>
            <w:r>
              <w:rPr>
                <w:rFonts w:ascii="Arial" w:hAnsi="Arial"/>
                <w:b/>
                <w:color w:val="0F766E"/>
                <w:sz w:val="17"/>
              </w:rPr>
              <w:t>📐 Dynamic Mathematical Formula &amp; Logic</w:t>
              <w:br/>
            </w:r>
            <w:r>
              <w:rPr>
                <w:rFonts w:ascii="Arial" w:hAnsi="Arial"/>
                <w:color w:val="1E293B"/>
                <w:sz w:val="19"/>
              </w:rPr>
              <w:t>T-Learner: CATE_T(X) = μ_0(X) - μ_1(X)  [Unbiased]</w:t>
              <w:br/>
              <w:t>S-Learner: CATE_S(X) = μ(X, 0) - μ(X, 1)  [Shrunk by -11.2%]</w:t>
            </w:r>
          </w:p>
        </w:tc>
      </w:tr>
      <w:tr>
        <w:tc>
          <w:tcPr>
            <w:tcW w:type="dxa" w:w="9792"/>
            <w:shd w:fill="F0FDF4"/>
            <w:tcMar>
              <w:top w:w="80" w:type="dxa"/>
              <w:bottom w:w="80" w:type="dxa"/>
              <w:left w:w="120" w:type="dxa"/>
              <w:right w:w="120" w:type="dxa"/>
            </w:tcMar>
          </w:tcPr>
          <w:p>
            <w:r>
              <w:rPr>
                <w:rFonts w:ascii="Arial" w:hAnsi="Arial"/>
                <w:b/>
                <w:color w:val="166534"/>
                <w:sz w:val="17"/>
              </w:rPr>
              <w:t>📊 Key Deliverables &amp; Validation Metrics</w:t>
              <w:br/>
            </w:r>
            <w:r>
              <w:rPr>
                <w:rFonts w:ascii="Arial" w:hAnsi="Arial"/>
                <w:color w:val="1E293B"/>
                <w:sz w:val="19"/>
              </w:rPr>
              <w:t>• Shrinkage Bias Penalty: -11.2% in S-Learner</w:t>
              <w:br/>
              <w:t>• T-Learner Recovery: Full +26.4% true treatment effect restored.</w:t>
            </w:r>
          </w:p>
        </w:tc>
      </w:tr>
    </w:tbl>
    <w:p/>
    <w:p>
      <w:r>
        <w:rPr>
          <w:rFonts w:ascii="Arial" w:hAnsi="Arial"/>
          <w:b/>
          <w:color w:val="059669"/>
          <w:sz w:val="24"/>
        </w:rPr>
        <w:t>📌 Chapter 3: Matched Pairs Validation &amp; TreeSHAP Receipts (Week 1, V10–12 &amp; Week 3, V4–6) (1.5 mins)</w:t>
      </w:r>
    </w:p>
    <w:tbl>
      <w:tblPr>
        <w:tblW w:type="auto" w:w="0"/>
        <w:jc w:val="center"/>
        <w:tblLayout w:type="fixed"/>
        <w:tblLook w:firstColumn="1" w:firstRow="1" w:lastColumn="0" w:lastRow="0" w:noHBand="0" w:noVBand="1" w:val="04A0"/>
      </w:tblPr>
      <w:tblGrid>
        <w:gridCol w:w="9792"/>
      </w:tblGrid>
      <w:tr>
        <w:tc>
          <w:tcPr>
            <w:tcW w:type="dxa" w:w="9792"/>
            <w:shd w:fill="EFF6FF"/>
            <w:tcMar>
              <w:top w:w="80" w:type="dxa"/>
              <w:bottom w:w="80" w:type="dxa"/>
              <w:left w:w="120" w:type="dxa"/>
              <w:right w:w="120" w:type="dxa"/>
            </w:tcMar>
          </w:tcPr>
          <w:p>
            <w:r>
              <w:rPr>
                <w:rFonts w:ascii="Arial" w:hAnsi="Arial"/>
                <w:b/>
                <w:color w:val="1E40AF"/>
                <w:sz w:val="17"/>
              </w:rPr>
              <w:t>🎯 Syllabus Focus &amp; Learning Objectives</w:t>
              <w:br/>
            </w:r>
            <w:r>
              <w:rPr>
                <w:rFonts w:ascii="Arial" w:hAnsi="Arial"/>
                <w:color w:val="1E293B"/>
                <w:sz w:val="19"/>
              </w:rPr>
              <w:t>1.10 Matched twin pairs evaluation, C-for-benefit calculation (benchmark 0.55–0.65), Shapley values, and TreeSHAP additive feature push receipts.</w:t>
            </w:r>
          </w:p>
        </w:tc>
      </w:tr>
      <w:tr>
        <w:tc>
          <w:tcPr>
            <w:tcW w:type="dxa" w:w="9792"/>
            <w:shd w:fill="F8FAFC"/>
            <w:tcMar>
              <w:top w:w="80" w:type="dxa"/>
              <w:bottom w:w="80" w:type="dxa"/>
              <w:left w:w="120" w:type="dxa"/>
              <w:right w:w="120" w:type="dxa"/>
            </w:tcMar>
          </w:tcPr>
          <w:p>
            <w:r>
              <w:rPr>
                <w:rFonts w:ascii="Arial" w:hAnsi="Arial"/>
                <w:b/>
                <w:color w:val="0F172A"/>
                <w:sz w:val="17"/>
              </w:rPr>
              <w:t>👉 Screen &amp; UI Interactive Actions</w:t>
              <w:br/>
            </w:r>
            <w:r>
              <w:rPr>
                <w:rFonts w:ascii="Arial" w:hAnsi="Arial"/>
                <w:color w:val="1E293B"/>
                <w:sz w:val="19"/>
              </w:rPr>
              <w:t>1. Click Flow Step 3 'Twin Test &amp; SHAP'.</w:t>
              <w:br/>
              <w:t>2. Click '🎲 Resample Clinical Twin Pairs' -&gt; Shows batch concordance pairs.</w:t>
              <w:br/>
              <w:t>3. Card 5 displays validation C-for-benefit = 0.6342.</w:t>
              <w:br/>
              <w:t>4. Adjust SHAP sliders in Card 2 -&gt; Dynamic itemized push receipt in Card 6.</w:t>
            </w:r>
          </w:p>
        </w:tc>
      </w:tr>
      <w:tr>
        <w:tc>
          <w:tcPr>
            <w:tcW w:type="dxa" w:w="9792"/>
            <w:shd w:fill="FFFFFF"/>
            <w:tcMar>
              <w:top w:w="80" w:type="dxa"/>
              <w:bottom w:w="80" w:type="dxa"/>
              <w:left w:w="120" w:type="dxa"/>
              <w:right w:w="120" w:type="dxa"/>
            </w:tcMar>
          </w:tcPr>
          <w:p>
            <w:r>
              <w:rPr>
                <w:rFonts w:ascii="Arial" w:hAnsi="Arial"/>
                <w:b/>
                <w:color w:val="1E293B"/>
                <w:sz w:val="17"/>
              </w:rPr>
              <w:t>🎙️ Complete Spoken Presentation Script</w:t>
              <w:br/>
            </w:r>
            <w:r>
              <w:rPr>
                <w:rFonts w:ascii="Arial" w:hAnsi="Arial"/>
                <w:color w:val="1E293B"/>
                <w:sz w:val="19"/>
              </w:rPr>
              <w:t>"Because real patients cannot be cloned, we validate CATE models using statistical matched twin pairs—pairing treated and control patients with identical Age and SBP. As shown in Card 5, our model achieves a C-for-benefit of 0.6342, matching the internationally recognized gold standard (0.55–0.65 in causal machine learning).</w:t>
              <w:br/>
              <w:br/>
              <w:t>Finally, we explain every recommendation using TreeSHAP: Baseline Drug Effect (+3.4%), SBP 165 push (+15.2%), and Age 62 push (+7.8%), summing to +26.4% Net Benefit. Doctors understand the exact clinical rationale behind every AI decision."</w:t>
            </w:r>
          </w:p>
        </w:tc>
      </w:tr>
      <w:tr>
        <w:tc>
          <w:tcPr>
            <w:tcW w:type="dxa" w:w="9792"/>
            <w:shd w:fill="F1F5F9"/>
            <w:tcMar>
              <w:top w:w="80" w:type="dxa"/>
              <w:bottom w:w="80" w:type="dxa"/>
              <w:left w:w="120" w:type="dxa"/>
              <w:right w:w="120" w:type="dxa"/>
            </w:tcMar>
          </w:tcPr>
          <w:p>
            <w:r>
              <w:rPr>
                <w:rFonts w:ascii="Arial" w:hAnsi="Arial"/>
                <w:b/>
                <w:color w:val="0F766E"/>
                <w:sz w:val="17"/>
              </w:rPr>
              <w:t>📐 Dynamic Mathematical Formula &amp; Logic</w:t>
              <w:br/>
            </w:r>
            <w:r>
              <w:rPr>
                <w:rFonts w:ascii="Arial" w:hAnsi="Arial"/>
                <w:color w:val="1E293B"/>
                <w:sz w:val="19"/>
              </w:rPr>
              <w:t>C-for-benefit = (Concordant + 0.5·Ties) / Permissible = 0.6342</w:t>
              <w:br/>
              <w:t>TreeSHAP: CATE(X) = φ_0 + φ_SBP + φ_Age + φ_BMI = 3.4% + 15.2% + 7.8% = +26.4%</w:t>
            </w:r>
          </w:p>
        </w:tc>
      </w:tr>
      <w:tr>
        <w:tc>
          <w:tcPr>
            <w:tcW w:type="dxa" w:w="9792"/>
            <w:shd w:fill="F0FDF4"/>
            <w:tcMar>
              <w:top w:w="80" w:type="dxa"/>
              <w:bottom w:w="80" w:type="dxa"/>
              <w:left w:w="120" w:type="dxa"/>
              <w:right w:w="120" w:type="dxa"/>
            </w:tcMar>
          </w:tcPr>
          <w:p>
            <w:r>
              <w:rPr>
                <w:rFonts w:ascii="Arial" w:hAnsi="Arial"/>
                <w:b/>
                <w:color w:val="166534"/>
                <w:sz w:val="17"/>
              </w:rPr>
              <w:t>📊 Key Deliverables &amp; Validation Metrics</w:t>
              <w:br/>
            </w:r>
            <w:r>
              <w:rPr>
                <w:rFonts w:ascii="Arial" w:hAnsi="Arial"/>
                <w:color w:val="1E293B"/>
                <w:sz w:val="19"/>
              </w:rPr>
              <w:t>• Model Discrimination: C-for-benefit = 0.6342 (Hospital Gold Standard)</w:t>
              <w:br/>
              <w:t>• Explainability: 100% itemized feature push attribution.</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