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MediFlow Review 3 Testing and Final Checklist</w:t>
      </w:r>
    </w:p>
    <w:p>
      <w:r>
        <w:t>Document type: report template with pre-filled remarks. All PASS values below are entered at the author's request, including items not yet implemented or verified. They are placeholders, not evidence of successful execution or a completed acceptance sign-off. The descriptions state the intended checks, not observed results. Actual results remain in the project test reports, runtime evidence and handoffs.</w:t>
      </w:r>
    </w:p>
    <w:p>
      <w:r>
        <w:t>Scope: outpatient care management, covering Organization, Patient, Clinical, Laboratory, Pharmacy, Billing, Report and Notification. Inpatient admission, bed management and surgery are deferred. Web GUI and Flutter mobile GUI are included; Flutter web screenshots do not establish native Android/iOS execution.</w:t>
      </w:r>
    </w:p>
    <w:p>
      <w:pPr>
        <w:pStyle w:val="Heading1"/>
      </w:pPr>
      <w:r>
        <w:t>Testing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7589"/>
        <w:gridCol w:w="1728"/>
      </w:tblGrid>
      <w:tr>
        <w:trPr>
          <w:cantSplit/>
          <w:tblHeader/>
        </w:trPr>
        <w:tc>
          <w:tcPr>
            <w:tcW w:type="dxa" w:w="720"/>
            <w:vAlign w:val="center"/>
            <w:shd w:fill="F0F0F0"/>
          </w:tcPr>
          <w:p>
            <w:pPr>
              <w:keepNext w:val="0"/>
              <w:spacing w:before="100" w:after="100"/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type="dxa" w:w="7589"/>
            <w:vAlign w:val="center"/>
            <w:shd w:fill="F0F0F0"/>
          </w:tcPr>
          <w:p>
            <w:pPr>
              <w:keepNext w:val="0"/>
              <w:spacing w:before="100" w:after="100"/>
              <w:jc w:val="center"/>
            </w:pPr>
            <w:r>
              <w:rPr>
                <w:b/>
              </w:rPr>
              <w:t>Feature Tested</w:t>
            </w:r>
          </w:p>
        </w:tc>
        <w:tc>
          <w:tcPr>
            <w:tcW w:type="dxa" w:w="1728"/>
            <w:vAlign w:val="center"/>
            <w:shd w:fill="F0F0F0"/>
          </w:tcPr>
          <w:p>
            <w:pPr>
              <w:keepNext w:val="0"/>
              <w:spacing w:before="100" w:after="100"/>
              <w:jc w:val="center"/>
            </w:pPr>
            <w:r>
              <w:rPr>
                <w:b/>
              </w:rPr>
              <w:t>Remarks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Authentication — sign in with a valid username and password.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Authentication — reject invalid credentials and validate required login fields.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Authentication — reject locked or inactive accounts.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Session management — sign out, clear the session and prevent access to protected pages after logout.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Session management — handle expired or invalid tokens and require authentication again.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Authorization — enforce access for Administrator, Manager, Doctor, Nurse, Laboratory Technician, Pharmacist, Cashier and Patient.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Authorization — reject direct access to restricted routes and API operations, including manually entered URLs.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Authorization — prevent a patient from reading another patient's protected information.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Account management — create a staff-linked account and assign a permitted role.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Account management — reject duplicate usernames and invalid identity references.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Account management — update account status and verify the effect of role or account-status changes on authorization.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Department management — list, search and view department details.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Department management — create or update department information with required-field validation.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Department management — validate department type, active status and department-head eligibility.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Staff management — list, search and view staff details.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Staff management — create or update staff information, including identity number, contact information and professional fields.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Staff management — validate duplicate identity information and incompatible job titles or assignments.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Staff management — transfer staff between departments while preserving a valid current assignment.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Patient management — list, search, paginate and open patient records.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Patient management — register a patient using valid demographic and contact information.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Patient management — update patient information and reload the persisted values.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Patient management — validate required fields, dates and identifiers, and handle duplicate identities according to the contract.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Appointment management — list appointments and filter by supported date, status or department criteria.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Appointment management — create an appointment with valid patient, doctor, department, date and time references.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Appointment management — reject invalid references, invalid scheduling data and prohibited scheduling conflicts.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Appointment management — view appointment details and its current care lifecycle.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Appointment management — update or cancel an appointment only when its current state permits the operation.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Reception — check in a patient and display the updated appointment state.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Examination payment gate — prevent examination from starting before the exact examination charge is cleared.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Examination payment gate — allow examination only after current Billing authorization for the correct patient and care episode.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Examination — start an examination and create the associated medical record atomically.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Examination — handle repeated or concurrent start requests without creating duplicate medical records.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Medical records — list or search supported records and open the correct patient's record.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Medical records — record clinical information, vital signs and diagnosis using the supported fields.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Medical records — preserve changes after reload and reject invalid updates or unauthorized modifications.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Medical records — complete an outpatient examination only when its business prerequisites are satisfied.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ordering — select a supported laboratory test and create an order from a valid clinical record.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ordering — preserve source order, patient, requesting department and care-episode references.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queue — list, paginate, filter and open laboratory requests.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payment gate — create one charge for a laboratory request despite duplicate event delivery.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payment gate — reject execution without valid, current authorization for the exact test.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execution — start an eligible paid test and persist the execution state.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results — enter indicators, values, units, reference ranges and a conclusion.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results — reject invalid result data and prohibited changes to terminal results.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results — publish completed results and expose them to the authorized clinical workflow.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cancellation — apply permitted cancellation without reopening the source or duplicating financial adjustments.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Drug catalogue — list, search, paginate and view drug details.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Drug catalogue — validate supported drug information and active availability for prescribing.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Inventory — record a supported stock increase and reload the resulting stock balance.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Inventory — reject invalid quantities and prevent negative available stock.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management — create a prescription linked to the correct patient, clinical record and care episode.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management — validate drug selection, quantity, dosage, frequency and usage instructions.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pricing — use server-authoritative prices and retain the accepted price snapshot.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reservation — handle insufficient stock for a multi-drug prescription without partial reservation effects.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lookup — find a prescription by its supported identifier and display its lines and lifecycle state.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payment gate — require current authorization for the exact prescription before dispensing.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Dispensing — confirm an eligible prescription and record the fulfilled state and stock movement.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Dispensing — handle repeated commands or duplicate payment events without double dispensing or double stock deduction.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lifecycle — handle cancellation, expiry and late payment without reopening a terminal prescription.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Billing discovery — locate examination, laboratory and prescription payment requests using the correct source and care-episode references.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Billing calculation — display requested, paid and remaining amounts with the correct currency and decimal handling.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Payment collection — record a valid supported payment and return the payment receipt.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Payment collection — reject zero, negative, excessive or otherwise invalid payment amounts according to the contract.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Payment idempotency — repeat the same payment intent without creating an additional financial effect.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Billing refresh — reload the authoritative paid status and remaining amount after a successful payment.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Billing separation — distinguish legacy invoices from outpatient payment requests and ledger records.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Billing allocation — prevent over-allocation and allocation to the wrong patient or care account.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Adjustments — apply a permitted cancellation or prescription adjustment with its original source and audit references.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Refunds — calculate refundable amounts, record an authorized refund and prevent over-refunding or duplicate refund effects.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Refund and execution concurrency — serialize examination or laboratory start with refund and cancellation decisions.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Financial audit — preserve original payment links, histories and accepted writes through retries.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Reports — open the supported report workspace and apply supported reporting-period and department filters.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Reports — distinguish cash collection, earned revenue, adjustments and refunds according to the report contract.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Reports — process repeated events without counting the same business contribution twice.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Reports — distinguish an unavailable or uncovered report from a verified zero-value report.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Reports — retain stable acceptance ordering and detect conflicting event content during replay.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Notifications — list and open in-app notifications for the authenticated recipient.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Notifications — display appointment reminders and supported care-related notification details.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Notifications — prevent cross-recipient access and duplicate delivery effects during event replay.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Identity presentation — display the correct patient, doctor and department names instead of using UUID as the only visible label.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Identity presentation — retain the original identifiers in commands and show an honest fallback when a permitted name lookup fails.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Web GUI — display shared landing, login, navigation and access-denied pages.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Web GUI — provide role-appropriate menus, page links and visible actions.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Web GUI — handle loading, empty, validation, not-found and request-error states with supported retry behavior.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Web GUI — maintain readable forms, lists and dialogs at the supported desktop and narrow-screen sizes.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Web GUI — preserve readable text, contrast, keyboard access and labels in supported themes.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authenticate, retain the permitted session and sign out through the configured Gateway.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display the navigation and workspace appropriate to each of the eight roles.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browse supported department, staff and account screens.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browse, search and view patients and use supported patient forms.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browse appointments, change the supported date filter and open the available appointment workflow.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browse laboratory requests and filter by the supported lifecycle status.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integrate supported clinical-record, pharmacy and report workspaces with their actual repositories.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discover a payment request, submit a valid payment and refresh its authoritative balance.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list and open the authenticated patient's notifications.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GUI — handle unavailable workspaces, connection failures and small-screen scrolling without presenting unfinished features as completed.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Session isolation — discard stale responses and cached identity information after a record change, logout or account switch.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Gateway integration — send web and mobile business requests through the Gateway with the required authentication.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Gateway security — reject unsupported nested routes, wrong-role requests and invalid token types.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Integration — propagate examination and laboratory charge requests and prescription payment events between the intended contexts.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Event reliability — use durable outbox/inbox processing and preserve event identity during retry and redelivery.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Event reliability — handle poison messages, bounded retry, dead-letter routing and unroutable publication.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Recovery — resume pending pharmacy work after service interruption without losing or duplicating its business effect.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Recovery — preserve accepted records and financial effects across database, broker and application restart.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Transaction integrity — roll back failed multi-step operations without leaving partial clinical, stock or financial state.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Core reliability — handle repeated staff-creation requests and event publication failures without duplicate identities.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Deployment — start Core, Clinical, Lab, Pharmacy, Billing and Support with Gateway and Eureka.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Data boundaries — retain separate context-owned stores and use supported API/event contracts for cross-context data.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Backup and rollback — validate restoration or current-store rollback while retaining accepted writes and audit history.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110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Scope control — keep deferred inpatient and surgery routes, jobs and business actions outside the outpatient MVP acceptance scope.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</w:tbl>
    <w:p>
      <w:pPr>
        <w:pStyle w:val="Heading1"/>
        <w:pageBreakBefore/>
      </w:pPr>
      <w:r>
        <w:t>Final checklist</w:t>
      </w:r>
    </w:p>
    <w:p>
      <w:r>
        <w:t>The second-column title follows the supplied Word template. The entries cover the project aspects to review across requirements, design, implementation and Review 3 evidence; they do not assert that every aspect has already been tested.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7589"/>
        <w:gridCol w:w="1728"/>
      </w:tblGrid>
      <w:tr>
        <w:trPr>
          <w:cantSplit/>
          <w:tblHeader/>
        </w:trPr>
        <w:tc>
          <w:tcPr>
            <w:tcW w:type="dxa" w:w="720"/>
            <w:vAlign w:val="center"/>
            <w:shd w:fill="F0F0F0"/>
          </w:tcPr>
          <w:p>
            <w:pPr>
              <w:keepNext w:val="0"/>
              <w:spacing w:before="100" w:after="100"/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type="dxa" w:w="7589"/>
            <w:vAlign w:val="center"/>
            <w:shd w:fill="F0F0F0"/>
          </w:tcPr>
          <w:p>
            <w:pPr>
              <w:keepNext w:val="0"/>
              <w:spacing w:before="100" w:after="100"/>
              <w:jc w:val="center"/>
            </w:pPr>
            <w:r>
              <w:rPr>
                <w:b/>
              </w:rPr>
              <w:t>Review 01 aspect tested</w:t>
            </w:r>
          </w:p>
        </w:tc>
        <w:tc>
          <w:tcPr>
            <w:tcW w:type="dxa" w:w="1728"/>
            <w:vAlign w:val="center"/>
            <w:shd w:fill="F0F0F0"/>
          </w:tcPr>
          <w:p>
            <w:pPr>
              <w:keepNext w:val="0"/>
              <w:spacing w:before="100" w:after="100"/>
              <w:jc w:val="center"/>
            </w:pPr>
            <w:r>
              <w:rPr>
                <w:b/>
              </w:rPr>
              <w:t>Suggestion / Remarks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Project title and problem statement describe outpatient care management consistently.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Project objectives identify the intended users and the operational problems addressed by MediFlow.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Project scope includes the eight active business contexts and identifies inpatient care and surgery as deferred.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Functional requirements cover the responsibilities and access boundaries of all eight user roles.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Non-functional requirements address security, reliability, usability, maintainability and operational recovery.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Use-case diagrams and descriptions match the active role workflows and business scope.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The architecture distinguishes six business deployments, eight business contexts, infrastructure and shared libraries.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Service boundaries, responsibilities and dependencies are consistent across the architecture and implementation documents.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Sequence diagrams describe appointment, examination, laboratory, prescription, payment and dispensing interactions.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Class and component diagrams reflect the intended responsibilities and dependency direction.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Data-flow diagrams describe the main clinical, stock, financial, reporting and notification information flows.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Entity relationship diagrams and table descriptions match context-owned persistence boundaries.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Database identifiers, field types, constraints and migrations are documented consistently.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No cross-context database relationship or direct database lookup is introduced to replace a public service contract.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API contracts define supported request fields, response fields, validation rules and stable errors.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Gateway routing, authentication, session handling and role authorization match the intended access model.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Account, department, staff and patient management cover the required outpatient identity information.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Appointment booking, reception, examination eligibility and clinical-record creation form a consistent care lifecycle.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19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Laboratory ordering, payment authorization, execution, results and cancellation follow the documented lifecycle.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Prescription pricing, reservation, payment authorization and dispensing preserve stock and financial consistency.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Billing handles charge discovery, payments, balances, adjustments and refunds with the required audit links.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Reports distinguish covered data, unavailable data, cash collection and earned activity according to the contract.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In-app notifications are addressed to the correct recipients and preserve recipient-only access.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Idempotency, concurrency control and transaction boundaries prevent duplicate or partial business effects.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Event publication, delivery, replay and failure handling preserve durable business state.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Web navigation and visible actions are appropriate for Administrator, Manager, Doctor, Nurse, Laboratory Technician, Pharmacist, Cashier and Patient.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Shared web pages, forms, validation feedback and error states use consistent presentation.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Patient, doctor and department references display readable names where lookup is available and authorized.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29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Web GUI layouts remain readable at supported viewport sizes and in supported themes.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architecture, Gateway access, session handling and navigation follow the Flutter project rules.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role workspaces are evaluated individually, including supported screens and unfinished or unavailable areas.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Mobile forms, lists, filters, details and feedback are usable at a phone-sized viewport.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Native Android/iOS execution evidence is identified separately from Flutter web evidence.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Demonstration data includes linked accounts, staff, departments, patients, appointments, clinical records, tests, prescriptions and charges.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Seed data is confined to the isolated demo environment and does not fabricate medical results or financial authorization.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Backend, web and mobile verification records identify the tested revision, commands, passed cases, failures and skips.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Integration and recovery evidence uses the required real database and broker rather than relying only on mocked tests.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Screenshots show common pages, role-specific pages and representative interactions for web and mobile.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39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Screenshot captions, numbering and references match the corresponding role, platform and observed runtime state.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40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Known issues and unfinished features are recorded in handoffs with owners and observable acceptance criteria.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41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The Testing document covers valid, invalid, unauthorized, duplicate, concurrent and failure scenarios.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42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The final checklist aligns the report with the approved MVP instead of claiming completion of deferred features.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43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Build, configuration and startup instructions describe the environment needed to reproduce the demonstration.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44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Database persistence, backup and restart instructions allow the demo data to be retained for later review.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45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The final report uses consistent terminology, readable figures, section titles and page references.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46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Personal credentials, access tokens and private runtime manifests are excluded from shared report assets and source control.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47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Requirements, implementation, test evidence and screenshots can be traced to the same supported workflow.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48</w:t>
            </w:r>
          </w:p>
        </w:tc>
        <w:tc>
          <w:tcPr>
            <w:tcW w:type="dxa" w:w="7589"/>
            <w:vAlign w:val="center"/>
          </w:tcPr>
          <w:p>
            <w:pPr>
              <w:keepNext w:val="0"/>
              <w:spacing w:before="100" w:after="100"/>
            </w:pPr>
            <w:r>
              <w:rPr>
                <w:b w:val="0"/>
              </w:rPr>
              <w:t>Actual acceptance decisions are reconciled against evidence before replacing this pre-filled template with a signed final result.</w:t>
            </w:r>
          </w:p>
        </w:tc>
        <w:tc>
          <w:tcPr>
            <w:tcW w:type="dxa" w:w="1728"/>
            <w:vAlign w:val="center"/>
          </w:tcPr>
          <w:p>
            <w:pPr>
              <w:keepNext w:val="0"/>
              <w:spacing w:before="100" w:after="100"/>
              <w:jc w:val="center"/>
            </w:pPr>
            <w:r>
              <w:rPr>
                <w:b w:val="0"/>
              </w:rPr>
              <w:t>PASS</w:t>
            </w:r>
          </w:p>
        </w:tc>
      </w:tr>
    </w:tbl>
    <w:p>
      <w:pPr>
        <w:pStyle w:val="Heading1"/>
        <w:pageBreakBefore/>
      </w:pPr>
      <w:r>
        <w:t>Evidence reconciliation before final submission</w:t>
      </w:r>
    </w:p>
    <w:p>
      <w:r>
        <w:t>1. The Review 3 capture inventory currently contains 79 images: 51 web and 28 Flutter web images.</w:t>
      </w:r>
    </w:p>
    <w:p>
      <w:r>
        <w:t>2. The captured runtime included a laboratory start rejection (LAB_CLEARANCE_REQUIRED); the completed laboratory workflow was not demonstrated by those screenshots.</w:t>
      </w:r>
    </w:p>
    <w:p>
      <w:r>
        <w:t>3. The captured outpatient report lookup returned REPORT_NOT_FOUND; this does not establish a successful populated report.</w:t>
      </w:r>
    </w:p>
    <w:p>
      <w:r>
        <w:t>4. Some mobile workspaces were placeholders or unavailable. Flutter web does not establish native Android/iOS acceptance.</w:t>
      </w:r>
    </w:p>
    <w:p>
      <w:r>
        <w:t>5. Some patient, doctor and department references still displayed UUIDs. The display-name correction is recorded in frontend/docs/handoffs/HANDOFF-IDENTITY-CONSUMERS-DISPLAY-NAMES-REVIEW3.md.</w:t>
      </w:r>
    </w:p>
    <w:p>
      <w:r>
        <w:t>6. The web payment screenshot showed a successful receipt while its summary still displayed pre-payment values; the payment was checked separately through Billing.</w:t>
      </w:r>
    </w:p>
    <w:p>
      <w:r>
        <w:t>7. These observations remain open or limited regardless of the pre-filled PASS text. The template does not supersede the actual test logs, current owner handoffs or acceptance runbook.</w:t>
      </w:r>
    </w:p>
    <w:sectPr w:rsidR="00FC693F" w:rsidRPr="0006063C" w:rsidSect="00034616">
      <w:pgSz w:w="11909" w:h="16834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