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phân tán cho bệnh viện trong dự án MediFlow</w:t>
      </w:r>
    </w:p>
    <w:p>
      <w:pPr>
        <w:pStyle w:val="Subtitle"/>
      </w:pPr>
      <w:r>
        <w:t>Giải thích chủ đề và liên hệ với kiến trúc hiện tại</w:t>
        <w:br/>
        <w:t>Ngày 12 tháng 10 năm 2026</w:t>
      </w:r>
    </w:p>
    <w:p>
      <w:r>
        <w:rPr>
          <w:b/>
        </w:rPr>
        <w:t>Chủ đề của MediFlow là xây dựng một hệ thống mà nhiều service độc lập cùng phối hợp để hoàn thành quy trình bệnh viện, và vẫn giữ dữ liệu đúng khi có lỗi, chậm trễ hoặc xử lý đồng thời.</w:t>
      </w:r>
    </w:p>
    <w:p>
      <w:r>
        <w:rPr>
          <w:b w:val="0"/>
        </w:rPr>
        <w:t>Bệnh viện cung cấp nghiệp vụ để giải quyết. Hệ thống phân tán nằm ở cách chia trách nhiệm, giao tiếp và bảo đảm tính đúng đắn giữa những phần độc lập đó. Tài liệu này giải thích sự khác biệt, các luồng tiêu biểu và những bằng chứng cần có khi trình bày đồ án.</w:t>
      </w:r>
    </w:p>
    <w:p>
      <w:pPr>
        <w:pStyle w:val="Heading1"/>
      </w:pPr>
      <w:r>
        <w:t>1 Nghiệp vụ bệnh viện và bài toán phân tán</w:t>
      </w:r>
    </w:p>
    <w:p>
      <w:r>
        <w:rPr>
          <w:b w:val="0"/>
        </w:rPr>
        <w:t>Ví dụ cùng một chức năng cấp thuốc, hai nhóm vấn đề cần được giải quyết là:</w:t>
      </w:r>
    </w:p>
    <w:p>
      <w:pPr>
        <w:pStyle w:val="ListBullet"/>
      </w:pPr>
      <w:r>
        <w:rPr>
          <w:b w:val="0"/>
        </w:rPr>
        <w:t>Bài toán nghiệp vụ: đơn thuốc thuộc bệnh nhân nào, gồm thuốc gì, số lượng bao nhiêu và còn tồn kho không.</w:t>
      </w:r>
    </w:p>
    <w:p>
      <w:pPr>
        <w:pStyle w:val="ListBullet"/>
      </w:pPr>
      <w:r>
        <w:rPr>
          <w:b w:val="0"/>
        </w:rPr>
        <w:t>Bài toán phân tán: Billing đã nhận tiền nhưng Pharmacy đang tắt thì sao? Event thanh toán gửi hai lần có làm xuất thuốc hai lần không? Pharmacy đã xuất thuốc nhưng chưa gửi được kết quả thì hệ thống khôi phục thế nào?</w:t>
      </w:r>
    </w:p>
    <w:p>
      <w:r>
        <w:rPr>
          <w:b w:val="0"/>
        </w:rPr>
        <w:t>CRUD đơn thuốc giải quyết phần nghiệp vụ. Outbox, chống trùng, retry, compensation và đối soát giải quyết phần phối hợp phân tán. Có nhiều màn hình quản lý hoặc nhiều service chưa đủ để chứng minh chủ đề phân tán; cần chứng minh các service phối hợp đúng trong cả điều kiện bình thường lẫn khi xảy ra lỗi.</w:t>
      </w:r>
    </w:p>
    <w:p>
      <w:pPr>
        <w:pStyle w:val="Heading1"/>
      </w:pPr>
      <w:r>
        <w:t>2 Cách MediFlow chia trách nhiệm</w:t>
      </w:r>
    </w:p>
    <w:p>
      <w:r>
        <w:rPr>
          <w:b w:val="0"/>
        </w:rPr>
        <w:t>Kiến trúc care-finance đã chốt 10 phạm vi nghiệp vụ, với dữ liệu và quyết định có chủ sở hữu rõ ràng [1].</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shd w:fill="E6EEF5"/>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Service</w:t>
            </w:r>
          </w:p>
        </w:tc>
        <w:tc>
          <w:tcPr>
            <w:tcW w:type="dxa" w:w="7560"/>
            <w:vAlign w:val="center"/>
            <w:shd w:fill="E6EEF5"/>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Dữ liệu và quyết định thuộc về service</w:t>
            </w:r>
          </w:p>
        </w:tc>
      </w:tr>
      <w:tr>
        <w:trPr>
          <w:cantSplit/>
        </w:trPr>
        <w:tc>
          <w:tcPr>
            <w:tcW w:type="dxa" w:w="180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Patient</w:t>
            </w:r>
          </w:p>
        </w:tc>
        <w:tc>
          <w:tcPr>
            <w:tcW w:type="dxa" w:w="756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Danh tính và hồ sơ thông tin bệnh nhân.</w:t>
            </w:r>
          </w:p>
        </w:tc>
      </w:tr>
      <w:tr>
        <w:trPr>
          <w:cantSplit/>
        </w:trPr>
        <w:tc>
          <w:tcPr>
            <w:tcW w:type="dxa" w:w="180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Organization</w:t>
            </w:r>
          </w:p>
        </w:tc>
        <w:tc>
          <w:tcPr>
            <w:tcW w:type="dxa" w:w="756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Nhân viên, khoa phòng và các quyền hoặc năng lực được quản lý tại nguồn.</w:t>
            </w:r>
          </w:p>
        </w:tc>
      </w:tr>
      <w:tr>
        <w:trPr>
          <w:cantSplit/>
        </w:trPr>
        <w:tc>
          <w:tcPr>
            <w:tcW w:type="dxa" w:w="180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Clinical</w:t>
            </w:r>
          </w:p>
        </w:tc>
        <w:tc>
          <w:tcPr>
            <w:tcW w:type="dxa" w:w="756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Lượt khám, hồ sơ khám và chỉ định.</w:t>
            </w:r>
          </w:p>
        </w:tc>
      </w:tr>
      <w:tr>
        <w:trPr>
          <w:cantSplit/>
        </w:trPr>
        <w:tc>
          <w:tcPr>
            <w:tcW w:type="dxa" w:w="180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Lab</w:t>
            </w:r>
          </w:p>
        </w:tc>
        <w:tc>
          <w:tcPr>
            <w:tcW w:type="dxa" w:w="756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Yêu cầu xét nghiệm và kết quả.</w:t>
            </w:r>
          </w:p>
        </w:tc>
      </w:tr>
      <w:tr>
        <w:trPr>
          <w:cantSplit/>
        </w:trPr>
        <w:tc>
          <w:tcPr>
            <w:tcW w:type="dxa" w:w="180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Pharmacy</w:t>
            </w:r>
          </w:p>
        </w:tc>
        <w:tc>
          <w:tcPr>
            <w:tcW w:type="dxa" w:w="756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Đơn thuốc, tồn kho, giữ chỗ và cấp phát.</w:t>
            </w:r>
          </w:p>
        </w:tc>
      </w:tr>
      <w:tr>
        <w:trPr>
          <w:cantSplit/>
        </w:trPr>
        <w:tc>
          <w:tcPr>
            <w:tcW w:type="dxa" w:w="180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Billing</w:t>
            </w:r>
          </w:p>
        </w:tc>
        <w:tc>
          <w:tcPr>
            <w:tcW w:type="dxa" w:w="756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Khoản phí, thanh toán, tạm ứng, phân bổ, hoàn tiền và quyết toán.</w:t>
            </w:r>
          </w:p>
        </w:tc>
      </w:tr>
      <w:tr>
        <w:trPr>
          <w:cantSplit/>
        </w:trPr>
        <w:tc>
          <w:tcPr>
            <w:tcW w:type="dxa" w:w="180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Inpatient</w:t>
            </w:r>
          </w:p>
        </w:tc>
        <w:tc>
          <w:tcPr>
            <w:tcW w:type="dxa" w:w="756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Đợt nội trú, giường và vòng đời ra viện.</w:t>
            </w:r>
          </w:p>
        </w:tc>
      </w:tr>
      <w:tr>
        <w:trPr>
          <w:cantSplit/>
        </w:trPr>
        <w:tc>
          <w:tcPr>
            <w:tcW w:type="dxa" w:w="180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Surgery</w:t>
            </w:r>
          </w:p>
        </w:tc>
        <w:tc>
          <w:tcPr>
            <w:tcW w:type="dxa" w:w="756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Ca mổ, điều kiện sẵn sàng, lịch, ê-kíp và kết quả.</w:t>
            </w:r>
          </w:p>
        </w:tc>
      </w:tr>
      <w:tr>
        <w:trPr>
          <w:cantSplit/>
        </w:trPr>
        <w:tc>
          <w:tcPr>
            <w:tcW w:type="dxa" w:w="180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Notification</w:t>
            </w:r>
          </w:p>
        </w:tc>
        <w:tc>
          <w:tcPr>
            <w:tcW w:type="dxa" w:w="7560"/>
            <w:vAlign w:val="center"/>
            <w:shd w:fill="FFFFFF"/>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Thông báo và lịch sử gửi.</w:t>
            </w:r>
          </w:p>
        </w:tc>
      </w:tr>
      <w:tr>
        <w:trPr>
          <w:cantSplit/>
        </w:trPr>
        <w:tc>
          <w:tcPr>
            <w:tcW w:type="dxa" w:w="180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sz w:val="21"/>
              </w:rPr>
              <w:t>Report</w:t>
            </w:r>
          </w:p>
        </w:tc>
        <w:tc>
          <w:tcPr>
            <w:tcW w:type="dxa" w:w="7560"/>
            <w:vAlign w:val="center"/>
            <w:shd w:fill="F7F9FB"/>
            <w:tcMar>
              <w:top w:w="90" w:type="dxa"/>
              <w:left w:w="120" w:type="dxa"/>
              <w:bottom w:w="90" w:type="dxa"/>
              <w:right w:w="120" w:type="dxa"/>
            </w:tcMar>
            <w:tcBorders>
              <w:top w:val="single" w:sz="4" w:color="D9D9D9"/>
              <w:left w:val="single" w:sz="4" w:color="D9D9D9"/>
              <w:bottom w:val="single" w:sz="4" w:color="D9D9D9"/>
              <w:right w:val="single" w:sz="4" w:color="D9D9D9"/>
            </w:tcBorders>
          </w:tcPr>
          <w:p>
            <w:pPr>
              <w:spacing w:after="0" w:line="259" w:lineRule="auto"/>
            </w:pPr>
            <w:r>
              <w:rPr>
                <w:b w:val="0"/>
                <w:sz w:val="21"/>
              </w:rPr>
              <w:t>Dữ liệu tổng hợp được dựng từ sự kiện.</w:t>
            </w:r>
          </w:p>
        </w:tc>
      </w:tr>
    </w:tbl>
    <w:p>
      <w:pPr>
        <w:spacing w:before="160"/>
      </w:pPr>
      <w:r>
        <w:rPr>
          <w:b w:val="0"/>
        </w:rPr>
        <w:t>Ngoài các service nghiệp vụ, Gateway là cổng vào của frontend và mobile, kiểm tra và định tuyến request; Eureka giúp service tìm địa chỉ các service khác; RabbitMQ chuyển sự kiện giữa các service.</w:t>
      </w:r>
    </w:p>
    <w:p>
      <w:r>
        <w:rPr>
          <w:b w:val="0"/>
        </w:rPr>
        <w:t>Mỗi loại dữ liệu có một nơi sở hữu chính thức: Surgery không tự sửa số tiền trong Billing; Billing không tự trừ tồn kho của Pharmacy; Report không nối SQL trực tiếp sang database của những service khác. Các service giữ UUID tham chiếu và trao đổi qua hợp đồng API hoặc event [2].</w:t>
      </w:r>
    </w:p>
    <w:p>
      <w:r>
        <w:rPr>
          <w:b w:val="0"/>
        </w:rPr>
        <w:t>Không phải mỗi khoa bệnh viện cần một microservice riêng. departmentId là chiều dữ liệu để phân quyền và tổng hợp. Service được chia theo trách nhiệm nghiệp vụ, không phải cứ thêm khoa là thêm ứng dụng.</w:t>
      </w:r>
    </w:p>
    <w:p>
      <w:pPr>
        <w:pStyle w:val="Heading1"/>
      </w:pPr>
      <w:r>
        <w:t>3 Luồng cấp thuốc thể hiện tính phân tán</w:t>
      </w:r>
    </w:p>
    <w:p>
      <w:r>
        <w:rPr>
          <w:b w:val="0"/>
        </w:rPr>
        <w:t>Luồng cấp thuốc đích V2 dưới đây minh họa cách các service phối hợp. Đây là thiết kế đích, không phải tuyên bố toàn bộ V2 đã được bật.</w:t>
      </w:r>
    </w:p>
    <w:p>
      <w:pPr>
        <w:pStyle w:val="ListNumber"/>
      </w:pPr>
      <w:r>
        <w:rPr>
          <w:b w:val="0"/>
        </w:rPr>
        <w:t>Pharmacy tạo đơn thuốc. Pharmacy lưu đơn và sự kiện cần gửi trong database của mình.</w:t>
      </w:r>
    </w:p>
    <w:p>
      <w:pPr>
        <w:pStyle w:val="ListNumber"/>
      </w:pPr>
      <w:r>
        <w:rPr>
          <w:b w:val="0"/>
        </w:rPr>
        <w:t>Billing nhận sự kiện và tạo yêu cầu thanh toán. Billing gắn khoản phí với đúng đơn thuốc và đúng lượt khám hoặc đợt điều trị.</w:t>
      </w:r>
    </w:p>
    <w:p>
      <w:pPr>
        <w:pStyle w:val="ListNumber"/>
      </w:pPr>
      <w:r>
        <w:rPr>
          <w:b w:val="0"/>
        </w:rPr>
        <w:t>Billing ghi nhận thanh toán. Khi đủ điều kiện, Billing cấp clearance mục đích PRESCRIPTION cho đúng đối tượng.</w:t>
      </w:r>
    </w:p>
    <w:p>
      <w:pPr>
        <w:pStyle w:val="ListNumber"/>
      </w:pPr>
      <w:r>
        <w:rPr>
          <w:b w:val="0"/>
        </w:rPr>
        <w:t>Pharmacy nhận clearance và thực hiện cấp phát. Pharmacy kiểm tra quyền, trạng thái đơn và tồn kho; việc trừ kho thuộc transaction local của Pharmacy.</w:t>
      </w:r>
    </w:p>
    <w:p>
      <w:pPr>
        <w:pStyle w:val="ListNumber"/>
      </w:pPr>
      <w:r>
        <w:rPr>
          <w:b w:val="0"/>
        </w:rPr>
        <w:t>Pharmacy phát kết quả cấp phát. Clinical, Notification và Report có thể phản ứng theo trách nhiệm của mình.</w:t>
      </w:r>
    </w:p>
    <w:p>
      <w:r>
        <w:rPr>
          <w:b w:val="0"/>
        </w:rPr>
        <w:t>Không có một transaction database chung bao trùm cả năm bước. Nếu cấp phát thất bại sau khi đã thanh toán, hệ thống phải có đường xử lý bù trừ và đối soát. Billing quyết định điều chỉnh tài chính; event thất bại hoặc hủy không tự chứng minh tiền đã được hoàn.</w:t>
      </w:r>
    </w:p>
    <w:p>
      <w:r>
        <w:rPr>
          <w:b w:val="0"/>
        </w:rPr>
        <w:t>Saga là một quy trình lớn được thực hiện bằng nhiều giao dịch cục bộ, có trạng thái trung gian và cách xử lý khi một bước thất bại. Luồng tương thích V0 hiện dùng payment.completed; V2 chuyển sang quyền theo mục đích và đối tượng. Hai luồng phải được phân biệt, không coi thanh toán bất kỳ là quyền làm mọi dịch vụ.</w:t>
      </w:r>
    </w:p>
    <w:p>
      <w:pPr>
        <w:pStyle w:val="Heading1"/>
      </w:pPr>
      <w:r>
        <w:t>4 Những bài toán phân tán cần giải quyết</w:t>
      </w:r>
    </w:p>
    <w:p>
      <w:pPr>
        <w:pStyle w:val="Heading2"/>
      </w:pPr>
      <w:r>
        <w:t>4 1 Một phần hệ thống bị lỗi</w:t>
      </w:r>
    </w:p>
    <w:p>
      <w:r>
        <w:rPr>
          <w:b w:val="0"/>
        </w:rPr>
        <w:t>Billing đã nhận tiền, nhưng Pharmacy chưa nhận được sự kiện. Hệ thống cần giữ được sự thật đã thanh toán, cho biết cấp thuốc đang chờ và tiếp tục xử lý sau khi Pharmacy phục hồi. Không được trả thành công giả hoặc làm mất công việc đang chờ.</w:t>
      </w:r>
    </w:p>
    <w:p>
      <w:pPr>
        <w:pStyle w:val="Heading2"/>
      </w:pPr>
      <w:r>
        <w:t>4 2 Database đã commit nhưng chưa gửi được event</w:t>
      </w:r>
    </w:p>
    <w:p>
      <w:r>
        <w:rPr>
          <w:b w:val="0"/>
        </w:rPr>
        <w:t>Outbox giải quyết khoảng hở giữa database và broker: thay đổi nghiệp vụ và event cần gửi được lưu trong cùng transaction local; worker gửi event sau đó. Nếu gửi thất bại, event vẫn còn để retry.</w:t>
      </w:r>
    </w:p>
    <w:p>
      <w:r>
        <w:rPr>
          <w:b w:val="0"/>
        </w:rPr>
        <w:t>Pharmacy đã có dispatcher theo hướng này: gửi bytes đã lưu, chờ broker xác nhận rồi cập nhật trạng thái [4]. Outbox không biến database và broker thành một transaction chung.</w:t>
      </w:r>
    </w:p>
    <w:p>
      <w:pPr>
        <w:pStyle w:val="Heading2"/>
      </w:pPr>
      <w:r>
        <w:t>4 3 Message được gửi lại</w:t>
      </w:r>
    </w:p>
    <w:p>
      <w:r>
        <w:rPr>
          <w:b w:val="0"/>
        </w:rPr>
        <w:t>Worker có thể gửi thành công rồi chết trước khi ghi đã gửi. Sau restart, message được gửi lại. Consumer phải bảo đảm không trừ kho lần thứ hai, không tạo khoản phí lần thứ hai và không cộng báo cáo lần thứ hai.</w:t>
      </w:r>
    </w:p>
    <w:p>
      <w:r>
        <w:rPr>
          <w:b w:val="0"/>
        </w:rPr>
        <w:t>Idempotency nghĩa là xử lý lại nhưng không nhân đôi hiệu ứng. Ngoài eventId, một số luồng còn cần định danh nghiệp vụ như đơn thuốc, kết quả hoặc operation để nhận ra cùng một sự thật được gửi bằng event ID mới. Không nên hứa rằng message luôn chỉ đến đúng một lần.</w:t>
      </w:r>
    </w:p>
    <w:p>
      <w:pPr>
        <w:pStyle w:val="Heading2"/>
      </w:pPr>
      <w:r>
        <w:t>4 4 Sự kiện đến không đúng thứ tự</w:t>
      </w:r>
    </w:p>
    <w:p>
      <w:r>
        <w:rPr>
          <w:b w:val="0"/>
        </w:rPr>
        <w:t>Ví dụ clearance của ca mổ đến trước khi Surgery có ca tương ứng. Consumer cần phân biệt các trường hợp sau:</w:t>
      </w:r>
    </w:p>
    <w:p>
      <w:pPr>
        <w:pStyle w:val="ListBullet"/>
      </w:pPr>
      <w:r>
        <w:rPr>
          <w:b w:val="0"/>
        </w:rPr>
        <w:t>Sự kiện hợp lệ nhưng thiếu dữ liệu liên quan: lưu chờ và khôi phục sau.</w:t>
      </w:r>
    </w:p>
    <w:p>
      <w:pPr>
        <w:pStyle w:val="ListBullet"/>
      </w:pPr>
      <w:r>
        <w:rPr>
          <w:b w:val="0"/>
        </w:rPr>
        <w:t>Sự kiện sai đối tượng hoặc sai schema: từ chối, quarantine hoặc chuyển DLQ.</w:t>
      </w:r>
    </w:p>
    <w:p>
      <w:pPr>
        <w:pStyle w:val="ListBullet"/>
      </w:pPr>
      <w:r>
        <w:rPr>
          <w:b w:val="0"/>
        </w:rPr>
        <w:t>Sự kiện cũ đến sau kết quả cuối: không được mở lại trạng thái đã hoàn tất.</w:t>
      </w:r>
    </w:p>
    <w:p>
      <w:r>
        <w:rPr>
          <w:b w:val="0"/>
        </w:rPr>
        <w:t>Không được tìm ca gần nhất của bệnh nhân để đoán đối tượng. Hợp đồng tích hợp của dự án quy định rõ việc này [3].</w:t>
      </w:r>
    </w:p>
    <w:p>
      <w:pPr>
        <w:pStyle w:val="Heading2"/>
      </w:pPr>
      <w:r>
        <w:t>4 5 Nhiều instance cùng xử lý</w:t>
      </w:r>
    </w:p>
    <w:p>
      <w:r>
        <w:rPr>
          <w:b w:val="0"/>
        </w:rPr>
        <w:t>Hai instance Pharmacy có thể cùng nhận yêu cầu liên quan đến lượng thuốc cuối cùng. Hai instance Surgery có thể cùng muốn đặt một phòng hoặc một nhân viên trong khoảng giờ trùng nhau.</w:t>
      </w:r>
    </w:p>
    <w:p>
      <w:r>
        <w:rPr>
          <w:b w:val="0"/>
        </w:rPr>
        <w:t>Khóa synchronized trong một JVM không bảo vệ instance còn lại. Cần cơ chế tại nơi sở hữu dữ liệu: transaction, constraint, row hoặc resource lock và revision. Worker cũng cần tránh lấy cùng một công việc. Surgery đã có cơ chế claim, lease token và SKIP LOCKED cho outbox [5].</w:t>
      </w:r>
    </w:p>
    <w:p>
      <w:pPr>
        <w:pStyle w:val="Heading2"/>
      </w:pPr>
      <w:r>
        <w:t>4 6 Quyền thay đổi giữa lúc kiểm tra và thực hiện</w:t>
      </w:r>
    </w:p>
    <w:p>
      <w:r>
        <w:rPr>
          <w:b w:val="0"/>
        </w:rPr>
        <w:t>Surgery hỏi Billing và thấy clearance hợp lệ. Billing thu hồi clearance sau lần đọc đó. Surgery vẫn chuẩn bị commit START dựa trên dữ liệu đã đọc trước. Đây là race giữa hai service độc lập.</w:t>
      </w:r>
    </w:p>
    <w:p>
      <w:r>
        <w:rPr>
          <w:b w:val="0"/>
        </w:rPr>
        <w:t>Một lần đọc mới hoặc TTL ngắn không tự loại bỏ race này. Khóa database của Surgery cũng không khóa được Billing. Hợp đồng quyền, phiên bản, thu hồi và cơ chế phối hợp phải được chốt rõ. Đây là bài toán nhất quán liên service, khác với kiểm tra boolean trong một service.</w:t>
      </w:r>
    </w:p>
    <w:p>
      <w:pPr>
        <w:pStyle w:val="Heading2"/>
      </w:pPr>
      <w:r>
        <w:t>4 7 Báo cáo có thể chậm hơn giao dịch</w:t>
      </w:r>
    </w:p>
    <w:p>
      <w:r>
        <w:rPr>
          <w:b w:val="0"/>
        </w:rPr>
        <w:t>Billing có thể đã commit, trong khi Report chưa nhận hoặc chưa xử lý xong event. Điều này phù hợp với eventual consistency: số liệu được cập nhật dần sau khi nguồn nghiệp vụ thay đổi.</w:t>
      </w:r>
    </w:p>
    <w:p>
      <w:r>
        <w:rPr>
          <w:b w:val="0"/>
        </w:rPr>
        <w:t>Report phải cho biết snapshot được đối soát đến thời điểm nào, có thể rebuild từ nguồn đã lưu hay không và kỳ nào thiếu dữ liệu. Cần phân biệt số 0 có căn cứ với tình trạng chưa nhận được dữ liệu. Code Report hiện giữ journal, chống trùng và cập nhật các scope trong cùng transaction local [6].</w:t>
      </w:r>
    </w:p>
    <w:p>
      <w:pPr>
        <w:pStyle w:val="Heading1"/>
      </w:pPr>
      <w:r>
        <w:t>5 Vai trò của Pharma Report và Surgery trong phần việc của Huy</w:t>
      </w:r>
    </w:p>
    <w:p>
      <w:r>
        <w:rPr>
          <w:b w:val="0"/>
        </w:rPr>
        <w:t>Pharma thể hiện saga và tính đúng đắn của tài nguyên có số lượng: tiền đã nhận, kho có hạn, xuất thuốc không được lặp và thất bại phải có đường xử lý.</w:t>
      </w:r>
    </w:p>
    <w:p>
      <w:r>
        <w:rPr>
          <w:b w:val="0"/>
        </w:rPr>
        <w:t>Report thể hiện mô hình đọc tách khỏi nguồn giao dịch: nhận sự kiện, dựng projection, chịu dữ liệu đến trễ, replay và đối soát mà không truy cập database chéo service.</w:t>
      </w:r>
    </w:p>
    <w:p>
      <w:r>
        <w:rPr>
          <w:b w:val="0"/>
        </w:rPr>
        <w:t>Surgery thể hiện phối hợp nhiều điều kiện và tài nguyên: chỉ định, quyền chuyên môn, consent, tài chính, phòng và ê-kíp. Cần phân biệt điều kiện local có thể kiểm tra hoặc khóa tại Surgery với điều kiện thuộc service khác cần hợp đồng và cơ chế phối hợp. Bằng chứng cũ không đồng nghĩa quyền hiện tại.</w:t>
      </w:r>
    </w:p>
    <w:p>
      <w:r>
        <w:rPr>
          <w:b w:val="0"/>
        </w:rPr>
        <w:t>Checklist, consent và safety-pause là nghiệp vụ hợp lệ của Surgery. Giá trị chứng minh phân tán nằm ở việc nối chúng với các nguồn quyền và xử lý thay đổi hoặc lỗi liên service, không nằm ở số lượng biểu mẫu.</w:t>
      </w:r>
    </w:p>
    <w:p>
      <w:pPr>
        <w:pStyle w:val="Heading1"/>
      </w:pPr>
      <w:r>
        <w:t>6 Bằng chứng cần có khi trình bày đồ án</w:t>
      </w:r>
    </w:p>
    <w:p>
      <w:r>
        <w:rPr>
          <w:b w:val="0"/>
        </w:rPr>
        <w:t>Một demo thuyết phục cần trả lời được các câu hỏi sau:</w:t>
      </w:r>
    </w:p>
    <w:p>
      <w:pPr>
        <w:pStyle w:val="ListBullet"/>
      </w:pPr>
      <w:r>
        <w:rPr>
          <w:b w:val="0"/>
        </w:rPr>
        <w:t>Khi service ngừng chạy, công việc đang chờ có bị mất không?</w:t>
      </w:r>
    </w:p>
    <w:p>
      <w:pPr>
        <w:pStyle w:val="ListBullet"/>
      </w:pPr>
      <w:r>
        <w:rPr>
          <w:b w:val="0"/>
        </w:rPr>
        <w:t>Gửi cùng sự kiện nhiều lần có tạo hiệu ứng trùng không?</w:t>
      </w:r>
    </w:p>
    <w:p>
      <w:pPr>
        <w:pStyle w:val="ListBullet"/>
      </w:pPr>
      <w:r>
        <w:rPr>
          <w:b w:val="0"/>
        </w:rPr>
        <w:t>Restart worker giữa chừng có phục hồi đúng không?</w:t>
      </w:r>
    </w:p>
    <w:p>
      <w:pPr>
        <w:pStyle w:val="ListBullet"/>
      </w:pPr>
      <w:r>
        <w:rPr>
          <w:b w:val="0"/>
        </w:rPr>
        <w:t>Hai instance tranh cùng tài nguyên thì ai thắng, ai bị từ chối?</w:t>
      </w:r>
    </w:p>
    <w:p>
      <w:pPr>
        <w:pStyle w:val="ListBullet"/>
      </w:pPr>
      <w:r>
        <w:rPr>
          <w:b w:val="0"/>
        </w:rPr>
        <w:t>Event sai thứ tự hoặc sai contract được xử lý thế nào?</w:t>
      </w:r>
    </w:p>
    <w:p>
      <w:pPr>
        <w:pStyle w:val="ListBullet"/>
      </w:pPr>
      <w:r>
        <w:rPr>
          <w:b w:val="0"/>
        </w:rPr>
        <w:t>Báo cáo có đối soát lại được sau khi bỏ lỡ hoặc xử lý chậm không?</w:t>
      </w:r>
    </w:p>
    <w:p>
      <w:pPr>
        <w:pStyle w:val="ListBullet"/>
      </w:pPr>
      <w:r>
        <w:rPr>
          <w:b w:val="0"/>
        </w:rPr>
        <w:t>Có lần theo một quy trình qua nhiều service bằng correlation ID không?</w:t>
      </w:r>
    </w:p>
    <w:p>
      <w:r>
        <w:rPr>
          <w:b w:val="0"/>
        </w:rPr>
        <w:t>Repo đã có kiểm thử chạy các ứng dụng Pharmacy, Billing, Report và Notification với database riêng và RabbitMQ thật cho saga V0 [7]. Đó là bằng chứng đúng loại cho đề tài phân tán; nó chưa chứng nhận toàn bộ V2 hoặc Surgery.</w:t>
      </w:r>
    </w:p>
    <w:p>
      <w:r>
        <w:rPr>
          <w:b w:val="0"/>
        </w:rPr>
        <w:t>Monorepo hay Docker Compose trên một máy phát triển không làm kiến trúc thành monolith. Tuy nhiên, môi trường đó cũng chưa chứng minh khả năng chịu lỗi của nhiều máy hoặc cluster; cần nói rõ giới hạn triển khai.</w:t>
      </w:r>
    </w:p>
    <w:p>
      <w:r>
        <w:rPr>
          <w:b/>
        </w:rPr>
        <w:t>MediFlow không cần rời bỏ nghiệp vụ bệnh viện để trở thành hệ thống phân tán. Dự án cần chứng minh rằng quy trình bệnh viện được thực hiện đúng bởi các service độc lập, kể cả khi mạng chậm, service chết, message lặp và nhiều instance cùng chạy.</w:t>
      </w:r>
    </w:p>
    <w:p>
      <w:pPr>
        <w:pStyle w:val="Heading1"/>
      </w:pPr>
      <w:r>
        <w:t>Tài liệu và code đối chiếu trong repository</w:t>
      </w:r>
    </w:p>
    <w:p>
      <w:pPr>
        <w:keepNext/>
        <w:spacing w:after="40"/>
      </w:pPr>
      <w:r>
        <w:rPr>
          <w:b/>
        </w:rPr>
        <w:t>[1] Kiến trúc care finance</w:t>
      </w:r>
    </w:p>
    <w:p>
      <w:r>
        <w:rPr>
          <w:b w:val="0"/>
          <w:sz w:val="20"/>
        </w:rPr>
        <w:t>docs/architecture/mediflow-care-finance-redesign.html</w:t>
      </w:r>
    </w:p>
    <w:p>
      <w:pPr>
        <w:keepNext/>
        <w:spacing w:after="40"/>
      </w:pPr>
      <w:r>
        <w:rPr>
          <w:b/>
        </w:rPr>
        <w:t>[2] Quy tắc kiến trúc</w:t>
      </w:r>
    </w:p>
    <w:p>
      <w:r>
        <w:rPr>
          <w:b w:val="0"/>
          <w:sz w:val="20"/>
        </w:rPr>
        <w:t>docs/ai/01-architecture.md</w:t>
      </w:r>
    </w:p>
    <w:p>
      <w:pPr>
        <w:keepNext/>
        <w:spacing w:after="40"/>
      </w:pPr>
      <w:r>
        <w:rPr>
          <w:b/>
        </w:rPr>
        <w:t>[3] Hợp đồng tích hợp liên service</w:t>
      </w:r>
    </w:p>
    <w:p>
      <w:r>
        <w:rPr>
          <w:b w:val="0"/>
          <w:sz w:val="20"/>
        </w:rPr>
        <w:t>docs/ai/16-care-finance-integration-contracts.md</w:t>
      </w:r>
    </w:p>
    <w:p>
      <w:pPr>
        <w:keepNext/>
        <w:spacing w:after="40"/>
      </w:pPr>
      <w:r>
        <w:rPr>
          <w:b/>
        </w:rPr>
        <w:t>[4] Dispatcher outbox của Pharmacy</w:t>
      </w:r>
    </w:p>
    <w:p>
      <w:r>
        <w:rPr>
          <w:b w:val="0"/>
          <w:sz w:val="20"/>
        </w:rPr>
        <w:t>backend/pharmacy-service/src/main/java/com/mediflow/pharmacy/infrastructure/messaging/PharmacyOutboxDispatcher.java</w:t>
      </w:r>
    </w:p>
    <w:p>
      <w:pPr>
        <w:keepNext/>
        <w:spacing w:after="40"/>
      </w:pPr>
      <w:r>
        <w:rPr>
          <w:b/>
        </w:rPr>
        <w:t>[5] Claim và lease outbox của Surgery</w:t>
      </w:r>
    </w:p>
    <w:p>
      <w:r>
        <w:rPr>
          <w:b w:val="0"/>
          <w:sz w:val="20"/>
        </w:rPr>
        <w:t>backend/surgery-service/src/main/java/com/mediflow/surgery/infrastructure/persistence/SurgeryOutboxAdapter.java</w:t>
      </w:r>
    </w:p>
    <w:p>
      <w:pPr>
        <w:keepNext/>
        <w:spacing w:after="40"/>
      </w:pPr>
      <w:r>
        <w:rPr>
          <w:b/>
        </w:rPr>
        <w:t>[6] Projection của Report</w:t>
      </w:r>
    </w:p>
    <w:p>
      <w:r>
        <w:rPr>
          <w:b w:val="0"/>
          <w:sz w:val="20"/>
        </w:rPr>
        <w:t>backend/report-service/src/main/java/com/mediflow/report/application/service/OperationalContributionApplicationService.java</w:t>
      </w:r>
    </w:p>
    <w:p>
      <w:pPr>
        <w:keepNext/>
        <w:spacing w:after="40"/>
      </w:pPr>
      <w:r>
        <w:rPr>
          <w:b/>
        </w:rPr>
        <w:t>[7] Kiểm thử runtime saga V0</w:t>
      </w:r>
    </w:p>
    <w:p>
      <w:r>
        <w:rPr>
          <w:b w:val="0"/>
          <w:sz w:val="20"/>
        </w:rPr>
        <w:t>backend/pharmacy-service/src/test/java/com/mediflow/pharmacy/PharmacyDistributedRuntimeAcceptanceIT.java</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Arial" w:hAnsi="Arial"/>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Arial" w:hAnsi="Arial"/>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tán cho bệnh viện trong dự án MediFlow</dc:title>
  <dc:subject>Kiến trúc và các bài toán phân tán của MediFlow</dc:subject>
  <dc:creator/>
  <cp:keywords/>
  <dc:description/>
  <cp:lastModifiedBy/>
  <cp:revision>1</cp:revision>
  <dcterms:created xsi:type="dcterms:W3CDTF">2013-12-23T23:15:00Z</dcterms:created>
  <dcterms:modified xsi:type="dcterms:W3CDTF">2013-12-23T23:15:00Z</dcterms:modified>
  <cp:category/>
</cp:coreProperties>
</file>