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ntext"/>
    <w:p>
      <w:pPr>
        <w:pStyle w:val="Heading1"/>
      </w:pPr>
      <w:r>
        <w:rPr>
          <w:rStyle w:val="SectionNumber"/>
        </w:rPr>
        <w:t xml:space="preserve">1</w:t>
      </w:r>
      <w:r>
        <w:tab/>
      </w:r>
      <w:r>
        <w:t xml:space="preserve">Context</w:t>
      </w:r>
    </w:p>
    <w:p>
      <w:pPr>
        <w:pStyle w:val="FirstParagraph"/>
      </w:pPr>
      <w:r>
        <w:t xml:space="preserve">SaTScan statistics is the gold standard for territorial classification based on an area’s relative risk (RR) compared to the entire region. In our analysis, the area unit corresponds to the CIR and the region to São Paulo State, Brazil.</w:t>
      </w:r>
    </w:p>
    <w:p>
      <w:pPr>
        <w:pStyle w:val="BodyText"/>
      </w:pPr>
      <w:r>
        <w:t xml:space="preserve">SaTScan was applied to the consolidated ground-truth data, the naive observations, and two Bayesian predictions (the standard median and the moving average of the median).</w:t>
      </w:r>
    </w:p>
    <w:p>
      <w:pPr>
        <w:pStyle w:val="BodyText"/>
      </w:pPr>
      <w:r>
        <w:t xml:space="preserve">Results were aggregated by epidemiological week and method, yielding four potential prediction outcomes:</w:t>
      </w:r>
      <w:r>
        <w:t xml:space="preserve"> </w:t>
      </w:r>
      <w:r>
        <w:t xml:space="preserve">- True Positive (TP): The method correctly identifies a significant</w:t>
      </w:r>
      <w:r>
        <w:t xml:space="preserve"> </w:t>
      </w:r>
      <m:oMath>
        <m:r>
          <m:rPr>
            <m:nor/>
            <m:sty m:val="p"/>
          </m:rPr>
          <m:t>RR</m:t>
        </m:r>
        <m:r>
          <m:rPr>
            <m:sty m:val="p"/>
          </m:rPr>
          <m:t>&gt;</m:t>
        </m:r>
        <m:r>
          <m:t>1</m:t>
        </m:r>
      </m:oMath>
      <w:r>
        <w:t xml:space="preserve">.</w:t>
      </w:r>
    </w:p>
    <w:p>
      <w:pPr>
        <w:numPr>
          <w:ilvl w:val="0"/>
          <w:numId w:val="1001"/>
        </w:numPr>
      </w:pPr>
      <w:r>
        <w:t xml:space="preserve">True Negative (TN): The method correctly identifies a significant</w:t>
      </w:r>
      <w:r>
        <w:t xml:space="preserve"> </w:t>
      </w:r>
      <m:oMath>
        <m:r>
          <m:rPr>
            <m:nor/>
            <m:sty m:val="p"/>
          </m:rPr>
          <m:t>RR</m:t>
        </m:r>
        <m:r>
          <m:rPr>
            <m:sty m:val="p"/>
          </m:rPr>
          <m:t>≤</m:t>
        </m:r>
        <m:r>
          <m:t>1</m:t>
        </m:r>
      </m:oMath>
      <w:r>
        <w:t xml:space="preserve">.</w:t>
      </w:r>
    </w:p>
    <w:p>
      <w:pPr>
        <w:numPr>
          <w:ilvl w:val="0"/>
          <w:numId w:val="1001"/>
        </w:numPr>
      </w:pPr>
      <w:r>
        <w:t xml:space="preserve">False Positive (FP): The method incorrectly identifies an</w:t>
      </w:r>
      <w:r>
        <w:t xml:space="preserve"> </w:t>
      </w:r>
      <m:oMath>
        <m:r>
          <m:rPr>
            <m:nor/>
            <m:sty m:val="p"/>
          </m:rPr>
          <m:t>RR</m:t>
        </m:r>
        <m:r>
          <m:rPr>
            <m:sty m:val="p"/>
          </m:rPr>
          <m:t>&gt;</m:t>
        </m:r>
        <m:r>
          <m:t>1</m:t>
        </m:r>
      </m:oMath>
      <w:r>
        <w:t xml:space="preserve">.</w:t>
      </w:r>
    </w:p>
    <w:p>
      <w:pPr>
        <w:numPr>
          <w:ilvl w:val="0"/>
          <w:numId w:val="1001"/>
        </w:numPr>
      </w:pPr>
      <w:r>
        <w:t xml:space="preserve">False Negative (FN): The method incorrectly identifies an</w:t>
      </w:r>
      <w:r>
        <w:t xml:space="preserve"> </w:t>
      </w:r>
      <m:oMath>
        <m:r>
          <m:rPr>
            <m:nor/>
            <m:sty m:val="p"/>
          </m:rPr>
          <m:t>RR</m:t>
        </m:r>
        <m:r>
          <m:rPr>
            <m:sty m:val="p"/>
          </m:rPr>
          <m:t>≤</m:t>
        </m:r>
        <m:r>
          <m:t>1</m:t>
        </m:r>
      </m:oMath>
      <w:r>
        <w:t xml:space="preserve">.</w:t>
      </w:r>
    </w:p>
    <w:bookmarkStart w:id="21" w:name="method-performance-evaluation"/>
    <w:p>
      <w:pPr>
        <w:pStyle w:val="Heading2"/>
      </w:pPr>
      <w:r>
        <w:rPr>
          <w:rStyle w:val="SectionNumber"/>
        </w:rPr>
        <w:t xml:space="preserve">1.1</w:t>
      </w:r>
      <w:r>
        <w:tab/>
      </w:r>
      <w:r>
        <w:t xml:space="preserve">Method Performance Evaluation</w:t>
      </w:r>
    </w:p>
    <w:p>
      <w:pPr>
        <w:pStyle w:val="FirstParagraph"/>
      </w:pPr>
      <w:r>
        <w:t xml:space="preserve">To evaluate the predictive performance of each method, we calculated standard classification metrics based on the confusion matrix elements (TP, TN, FP, and FN).</w:t>
      </w:r>
    </w:p>
    <w:p>
      <w:pPr>
        <w:pStyle w:val="BodyText"/>
      </w:pPr>
      <w:r>
        <w:t xml:space="preserve">The classification analysis primary focuses on four key metrics:</w:t>
      </w:r>
    </w:p>
    <w:p>
      <w:pPr>
        <w:pStyle w:val="BodyText"/>
      </w:pPr>
      <w:r>
        <w:rPr>
          <w:b/>
          <w:bCs/>
        </w:rPr>
        <w:t xml:space="preserve">Sensitivity</w:t>
      </w:r>
      <w:r>
        <w:t xml:space="preserve"> </w:t>
      </w:r>
      <w:r>
        <w:t xml:space="preserve">and</w:t>
      </w:r>
      <w:r>
        <w:t xml:space="preserve"> </w:t>
      </w:r>
      <w:r>
        <w:rPr>
          <w:b/>
          <w:bCs/>
        </w:rPr>
        <w:t xml:space="preserve">Specificity</w:t>
      </w:r>
      <w:r>
        <w:t xml:space="preserve"> </w:t>
      </w:r>
      <w:r>
        <w:t xml:space="preserve">measure the method’s intrinsic capacity to correctly identify high-risk (</w:t>
      </w:r>
      <m:oMath>
        <m:r>
          <m:rPr>
            <m:nor/>
            <m:sty m:val="p"/>
          </m:rPr>
          <m:t>RR</m:t>
        </m:r>
        <m:r>
          <m:rPr>
            <m:sty m:val="p"/>
          </m:rPr>
          <m:t>&gt;</m:t>
        </m:r>
        <m:r>
          <m:t>1</m:t>
        </m:r>
      </m:oMath>
      <w:r>
        <w:t xml:space="preserve">) and non-high-risk (</w:t>
      </w:r>
      <m:oMath>
        <m:r>
          <m:rPr>
            <m:nor/>
            <m:sty m:val="p"/>
          </m:rPr>
          <m:t>RR</m:t>
        </m:r>
        <m:r>
          <m:rPr>
            <m:sty m:val="p"/>
          </m:rPr>
          <m:t>≤</m:t>
        </m:r>
        <m:r>
          <m:t>1</m:t>
        </m:r>
      </m:oMath>
      <w:r>
        <w:t xml:space="preserve">) areas, respectively.</w:t>
      </w:r>
    </w:p>
    <w:p>
      <w:pPr>
        <w:pStyle w:val="BodyText"/>
      </w:pPr>
      <w:r>
        <w:rPr>
          <w:b/>
          <w:bCs/>
        </w:rPr>
        <w:t xml:space="preserve">Positive Predictive Value (PPV)</w:t>
      </w:r>
      <w:r>
        <w:t xml:space="preserve"> </w:t>
      </w:r>
      <w:r>
        <w:t xml:space="preserve">and</w:t>
      </w:r>
      <w:r>
        <w:t xml:space="preserve"> </w:t>
      </w:r>
      <w:r>
        <w:rPr>
          <w:b/>
          <w:bCs/>
        </w:rPr>
        <w:t xml:space="preserve">Negative Predictive Value (NPV)</w:t>
      </w:r>
      <w:r>
        <w:t xml:space="preserve"> </w:t>
      </w:r>
      <w:r>
        <w:t xml:space="preserve">evaluate the post-test reliability of the predictions, quantifying the probability that a generated alert reflects a true elevated risk.</w:t>
      </w:r>
    </w:p>
    <w:p>
      <w:pPr>
        <w:pStyle w:val="BodyText"/>
      </w:pPr>
      <w:r>
        <w:t xml:space="preserve">Additionally, to account for potential class imbalances across epidemiological weeks, we computed overall performance measures, including Accuracy, Balanced Accuracy, and Youden’s Index. The mathematical definitions, descriptions, and epidemiological interpretations for all metrics are summarized in Table 1.</w:t>
      </w:r>
    </w:p>
    <w:p>
      <w:pPr>
        <w:pStyle w:val="TableCaption"/>
      </w:pPr>
      <w:bookmarkStart w:id="20" w:name="tab:tab-descricao-metricas"/>
      <w:bookmarkEnd w:id="20"/>
      <w:r>
        <w:t xml:space="preserve">Table 1.1:</w:t>
      </w:r>
      <w:r>
        <w:t xml:space="preserve"> </w:t>
      </w:r>
      <w:r>
        <w:t xml:space="preserve">Binary classification performance metrics used to evaluate nowcasting.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Formula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Interpretation</w:t>
            </w:r>
          </w:p>
        </w:tc>
      </w:tr>
      <w:tr>
        <w:trPr>
          <w:trHeight w:val="5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Sensitivity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TP / (TP + FN)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Proportion of true positives correctly identified.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Ability of the method to detect RR &gt; 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Specificity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TN / (TN + FP)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Proportion of true negatives correctly identified.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Ability of the method to correctly identify RR ≤ 1.</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Positive Predictive Value (PPV)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TP / (TP + FP)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Probability that a positive classification corresponds to a true 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Reliability of positive classifications generated by the method.</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Negative Predictive Value (NPV)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TN / (TN + FN)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Probability that a negative classification corresponds to a true negative.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Reliability of negative classifications generated by the method.</w:t>
            </w:r>
          </w:p>
        </w:tc>
      </w:tr>
    </w:tbl>
    <w:bookmarkEnd w:id="21"/>
    <w:bookmarkEnd w:id="22"/>
    <w:bookmarkStart w:id="32" w:name="results"/>
    <w:p>
      <w:pPr>
        <w:pStyle w:val="Heading1"/>
      </w:pPr>
      <w:r>
        <w:rPr>
          <w:rStyle w:val="SectionNumber"/>
        </w:rPr>
        <w:t xml:space="preserve">2</w:t>
      </w:r>
      <w:r>
        <w:tab/>
      </w:r>
      <w:r>
        <w:t xml:space="preserve">Results</w:t>
      </w:r>
    </w:p>
    <w:bookmarkStart w:id="26" w:name="general-classification"/>
    <w:p>
      <w:pPr>
        <w:pStyle w:val="Heading2"/>
      </w:pPr>
      <w:r>
        <w:rPr>
          <w:rStyle w:val="SectionNumber"/>
        </w:rPr>
        <w:t xml:space="preserve">2.1</w:t>
      </w:r>
      <w:r>
        <w:tab/>
      </w:r>
      <w:r>
        <w:t xml:space="preserve">General classification</w:t>
      </w:r>
    </w:p>
    <w:p>
      <w:pPr>
        <w:pStyle w:val="FirstParagraph"/>
      </w:pPr>
      <w:r>
        <w:drawing>
          <wp:inline>
            <wp:extent cx="5334000" cy="5334000"/>
            <wp:effectExtent b="0" l="0" r="0" t="0"/>
            <wp:docPr descr="" title="" id="24" name="Picture"/>
            <a:graphic>
              <a:graphicData uri="http://schemas.openxmlformats.org/drawingml/2006/picture">
                <pic:pic>
                  <pic:nvPicPr>
                    <pic:cNvPr descr="relatorio_classificacao_files/relatorio_classificacao_files/figure-docx/fig1-1.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bookmarkEnd w:id="26"/>
    <w:bookmarkStart w:id="31" w:name="method-performance-evaluation-metrics"/>
    <w:p>
      <w:pPr>
        <w:pStyle w:val="Heading2"/>
      </w:pPr>
      <w:r>
        <w:rPr>
          <w:rStyle w:val="SectionNumber"/>
        </w:rPr>
        <w:t xml:space="preserve">2.2</w:t>
      </w:r>
      <w:r>
        <w:tab/>
      </w:r>
      <w:r>
        <w:t xml:space="preserve">Method performance evaluation metrics</w:t>
      </w:r>
    </w:p>
    <w:p>
      <w:pPr>
        <w:pStyle w:val="TableCaption"/>
      </w:pPr>
      <w:bookmarkStart w:id="27" w:name="tab:resumo-das-metricas"/>
      <w:bookmarkEnd w:id="27"/>
      <w:r>
        <w:t xml:space="preserve">Table 2.1:</w:t>
      </w:r>
      <w:r>
        <w:t xml:space="preserve"> </w:t>
      </w:r>
      <w:r>
        <w:t xml:space="preserve">Sumamry of the method evaluation performance metrics used to evaluate nowcasting.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method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Sensitivity availability, 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PPV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NPV</w:t>
            </w:r>
          </w:p>
        </w:tc>
      </w:tr>
      <w:tr>
        <w:trPr>
          <w:trHeight w:val="5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Standard Bayesian prediction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 (97.1%)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0.6479456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0.9040605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0.44317398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0.9168402</w:t>
            </w:r>
          </w:p>
        </w:tc>
      </w:tr>
      <w:tr>
        <w:trPr>
          <w:trHeight w:val="5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Moving average of Bayesian predictions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0.7145309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0.9219129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0.56501203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0.9222113</w:t>
            </w:r>
          </w:p>
        </w:tc>
      </w:tr>
      <w:tr>
        <w:trPr>
          <w:trHeight w:val="5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Naive baseline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(11.8%)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0.8502131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0.03291317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1.0000000</w:t>
            </w:r>
          </w:p>
        </w:tc>
      </w:tr>
    </w:tbl>
    <w:p>
      <w:pPr>
        <w:pStyle w:val="BodyText"/>
      </w:pPr>
      <w:r>
        <w:drawing>
          <wp:inline>
            <wp:extent cx="5334000" cy="3810000"/>
            <wp:effectExtent b="0" l="0" r="0" t="0"/>
            <wp:docPr descr="" title="" id="29" name="Picture"/>
            <a:graphic>
              <a:graphicData uri="http://schemas.openxmlformats.org/drawingml/2006/picture">
                <pic:pic>
                  <pic:nvPicPr>
                    <pic:cNvPr descr="relatorio_classificacao_files/relatorio_classificacao_files/figure-docx/graficos-1.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2026-08-10T14:55:44Z</dcterms:created>
  <dcterms:modified xsi:type="dcterms:W3CDTF">2026-08-10T14:55:44Z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editor_options">
    <vt:lpwstr/>
  </property>
  <property fmtid="{D5CDD505-2E9C-101B-9397-08002B2CF9AE}" pid="4" name="output">
    <vt:lpwstr/>
  </property>
</Properties>
</file>