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DCDA" w14:textId="712EB06B" w:rsidR="00D44B88" w:rsidRDefault="00D44B88">
      <w:r>
        <w:t xml:space="preserve">2. </w:t>
      </w:r>
    </w:p>
    <w:p w14:paraId="2732E9A4" w14:textId="2B345156" w:rsidR="00C239B1" w:rsidRPr="00C239B1" w:rsidRDefault="00C239B1">
      <w:pPr>
        <w:rPr>
          <w:b/>
          <w:bCs/>
        </w:rPr>
      </w:pPr>
      <w:r w:rsidRPr="00C239B1">
        <w:rPr>
          <w:b/>
          <w:bCs/>
        </w:rPr>
        <w:t>R</w:t>
      </w:r>
      <w:r w:rsidRPr="00C239B1">
        <w:rPr>
          <w:rFonts w:hint="eastAsia"/>
          <w:b/>
          <w:bCs/>
        </w:rPr>
        <w:t>eport</w:t>
      </w:r>
      <w:r w:rsidRPr="00C239B1">
        <w:rPr>
          <w:b/>
          <w:bCs/>
        </w:rPr>
        <w:t xml:space="preserve"> </w:t>
      </w:r>
      <w:r w:rsidRPr="00C239B1">
        <w:rPr>
          <w:rFonts w:hint="eastAsia"/>
          <w:b/>
          <w:bCs/>
        </w:rPr>
        <w:t>Part</w:t>
      </w:r>
      <w:r w:rsidRPr="00C239B1">
        <w:rPr>
          <w:b/>
          <w:bCs/>
        </w:rPr>
        <w:t xml:space="preserve"> </w:t>
      </w:r>
    </w:p>
    <w:p w14:paraId="1121115C" w14:textId="77777777" w:rsidR="00C239B1" w:rsidRDefault="00C239B1"/>
    <w:p w14:paraId="7C3DEA64" w14:textId="4ABAECA2" w:rsidR="00A46E30" w:rsidRDefault="00D44B88">
      <w:r>
        <w:t xml:space="preserve">Based on the description of the question, we know that </w:t>
      </w:r>
      <w:r w:rsidR="00A46E30">
        <w:t>there are two consumers and two goods shown in utilities functions. In economics, t</w:t>
      </w:r>
      <w:r w:rsidR="00A46E30" w:rsidRPr="00A46E30">
        <w:t xml:space="preserve">he </w:t>
      </w:r>
      <w:r w:rsidR="00C239B1">
        <w:t>E</w:t>
      </w:r>
      <w:r w:rsidR="00A46E30" w:rsidRPr="00A46E30">
        <w:t>dgeworth box is a graphical illustration of the trade difficulty encountered by the participants in a two-person, two-good "exchange economy." It enables them to solve and visualize their exchange problem in a straightforward manner.</w:t>
      </w:r>
      <w:r w:rsidR="00A46E30">
        <w:t xml:space="preserve"> </w:t>
      </w:r>
      <w:r w:rsidR="00A46E30" w:rsidRPr="00A46E30">
        <w:t>A Pareto efficient allocation is one in which it is impossible to benefit one person without harming another (or, more broadly, someone else). It is important to note that a Pareto efficiency allocation does not always indicate a fair or socially desirable distribution of resources, because the idea makes no claim regarding equality or a society's overall wellbeing.</w:t>
      </w:r>
    </w:p>
    <w:p w14:paraId="3ABF5438" w14:textId="1898E537" w:rsidR="00A46E30" w:rsidRDefault="00A46E30">
      <w:r>
        <w:t>Contact curve i</w:t>
      </w:r>
      <w:r w:rsidRPr="00A46E30">
        <w:t>s an economy's collection of Pareto optimal allocations. Every point on this curve optimizes one person's utility given the other, and they are distinguished by the isoquant tangencies.</w:t>
      </w:r>
    </w:p>
    <w:p w14:paraId="3C9E33D5" w14:textId="1C373A33" w:rsidR="00A46E30" w:rsidRDefault="00A46E30"/>
    <w:p w14:paraId="0DC08129" w14:textId="45639982" w:rsidR="00A46E30" w:rsidRDefault="00AF1DD4" w:rsidP="00AF1DD4">
      <w:r>
        <w:t xml:space="preserve">a) The utilities functions for consumer R and S are given. Quantities for two consumers are defined as well as the endowment. Two parameters </w:t>
      </w:r>
      <w:proofErr w:type="gramStart"/>
      <w:r>
        <w:t>has</w:t>
      </w:r>
      <w:proofErr w:type="gramEnd"/>
      <w:r>
        <w:t xml:space="preserve"> one constraint </w:t>
      </w:r>
      <w:proofErr w:type="spellStart"/>
      <w:r>
        <w:t>a+b</w:t>
      </w:r>
      <w:proofErr w:type="spellEnd"/>
      <w:r>
        <w:t xml:space="preserve">=1. </w:t>
      </w:r>
    </w:p>
    <w:p w14:paraId="02DC551A" w14:textId="077F601F" w:rsidR="00C239B1" w:rsidRDefault="00AF1DD4" w:rsidP="00C239B1">
      <w:pPr>
        <w:rPr>
          <w:rFonts w:ascii="Times New Roman" w:eastAsia="Times New Roman" w:hAnsi="Times New Roman" w:cs="Times New Roman"/>
        </w:rPr>
      </w:pPr>
      <w:r>
        <w:t>An allocation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),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proofErr w:type="gramStart"/>
      <w:r w:rsidR="004C765D">
        <w:t>) ,</w:t>
      </w:r>
      <w:proofErr w:type="gramEnd"/>
      <w:r w:rsidR="004C765D">
        <w:t xml:space="preserve"> having to be greater than zero, will be efficient </w:t>
      </w:r>
      <w:r w:rsidR="004C765D" w:rsidRPr="004C765D">
        <w:rPr>
          <w:rFonts w:ascii="Times New Roman" w:eastAsia="Times New Roman" w:hAnsi="Times New Roman" w:cs="Times New Roman"/>
        </w:rPr>
        <w:t>if and only if the two people’s marginal rates of substitution are equal</w:t>
      </w:r>
      <w:r w:rsidR="004C765D">
        <w:rPr>
          <w:rFonts w:ascii="Times New Roman" w:eastAsia="Times New Roman" w:hAnsi="Times New Roman" w:cs="Times New Roman"/>
        </w:rPr>
        <w:t>. U</w:t>
      </w:r>
      <w:r w:rsidR="004C765D">
        <w:rPr>
          <w:rFonts w:ascii="Times New Roman" w:eastAsia="Times New Roman" w:hAnsi="Times New Roman" w:cs="Times New Roman" w:hint="eastAsia"/>
        </w:rPr>
        <w:t>si</w:t>
      </w:r>
      <w:r w:rsidR="004C765D">
        <w:rPr>
          <w:rFonts w:ascii="Times New Roman" w:eastAsia="Times New Roman" w:hAnsi="Times New Roman" w:cs="Times New Roman"/>
        </w:rPr>
        <w:t xml:space="preserve">ng </w:t>
      </w:r>
      <w:r w:rsidR="00C239B1">
        <w:rPr>
          <w:rFonts w:ascii="Times New Roman" w:eastAsia="Times New Roman" w:hAnsi="Times New Roman" w:cs="Times New Roman" w:hint="eastAsia"/>
        </w:rPr>
        <w:t>the</w:t>
      </w:r>
      <w:r w:rsidR="00C239B1">
        <w:rPr>
          <w:rFonts w:ascii="Times New Roman" w:eastAsia="Times New Roman" w:hAnsi="Times New Roman" w:cs="Times New Roman"/>
        </w:rPr>
        <w:t xml:space="preserve"> marginal utility function of two consumers and two goods, </w:t>
      </w:r>
      <w:r w:rsidR="004C765D">
        <w:rPr>
          <w:rFonts w:ascii="Times New Roman" w:eastAsia="Times New Roman" w:hAnsi="Times New Roman" w:cs="Times New Roman"/>
        </w:rPr>
        <w:t xml:space="preserve">we defined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="004C765D">
        <w:rPr>
          <w:rFonts w:ascii="Times New Roman" w:eastAsia="Times New Roman" w:hAnsi="Times New Roman" w:cs="Times New Roman"/>
        </w:rPr>
        <w:t xml:space="preserve"> as a function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="00C239B1">
        <w:rPr>
          <w:rFonts w:ascii="Times New Roman" w:eastAsia="Times New Roman" w:hAnsi="Times New Roman" w:cs="Times New Roman"/>
        </w:rPr>
        <w:t xml:space="preserve">, which defines an </w:t>
      </w:r>
      <w:r w:rsidR="00C239B1" w:rsidRPr="00C239B1">
        <w:rPr>
          <w:rFonts w:ascii="Times New Roman" w:eastAsia="Times New Roman" w:hAnsi="Times New Roman" w:cs="Times New Roman"/>
        </w:rPr>
        <w:t>upward–sloping curve in the Edgeworth box.</w:t>
      </w:r>
      <w:r w:rsidR="00C239B1">
        <w:rPr>
          <w:rFonts w:ascii="Times New Roman" w:eastAsia="Times New Roman" w:hAnsi="Times New Roman" w:cs="Times New Roman"/>
        </w:rPr>
        <w:t xml:space="preserve"> </w:t>
      </w:r>
      <w:r w:rsidR="00C4590F">
        <w:rPr>
          <w:rFonts w:ascii="Times New Roman" w:eastAsia="Times New Roman" w:hAnsi="Times New Roman" w:cs="Times New Roman"/>
        </w:rPr>
        <w:t xml:space="preserve">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="00C4590F">
        <w:rPr>
          <w:rFonts w:ascii="Times New Roman" w:eastAsia="Times New Roman" w:hAnsi="Times New Roman" w:cs="Times New Roman"/>
        </w:rPr>
        <w:t xml:space="preserve"> is 0,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="00C4590F">
        <w:rPr>
          <w:rFonts w:ascii="Times New Roman" w:eastAsia="Times New Roman" w:hAnsi="Times New Roman" w:cs="Times New Roman"/>
        </w:rPr>
        <w:t xml:space="preserve"> will be 0. Besides,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E</m:t>
            </m:r>
          </m:sup>
        </m:sSup>
      </m:oMath>
      <w:r w:rsidR="00B64B6C">
        <w:rPr>
          <w:rFonts w:ascii="Times New Roman" w:eastAsia="Times New Roman" w:hAnsi="Times New Roman" w:cs="Times New Roman"/>
        </w:rPr>
        <w:t xml:space="preserve"> can’t equal 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="00760623">
        <w:rPr>
          <w:rFonts w:ascii="Times New Roman" w:eastAsia="Times New Roman" w:hAnsi="Times New Roman" w:cs="Times New Roman"/>
        </w:rPr>
        <w:t xml:space="preserve">. </w:t>
      </w:r>
    </w:p>
    <w:p w14:paraId="3C974553" w14:textId="124B669C" w:rsidR="005D0B61" w:rsidRDefault="005D0B61" w:rsidP="00C239B1">
      <w:pPr>
        <w:rPr>
          <w:rFonts w:ascii="Times New Roman" w:eastAsia="Times New Roman" w:hAnsi="Times New Roman" w:cs="Times New Roman"/>
        </w:rPr>
      </w:pPr>
    </w:p>
    <w:p w14:paraId="770B172A" w14:textId="263CDD65" w:rsidR="00AF1576" w:rsidRDefault="00AF1576" w:rsidP="00AF15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Looking</w:t>
      </w:r>
      <w:r>
        <w:rPr>
          <w:rFonts w:ascii="Times New Roman" w:eastAsia="Times New Roman" w:hAnsi="Times New Roman" w:cs="Times New Roman"/>
        </w:rPr>
        <w:t xml:space="preserve"> at the </w:t>
      </w:r>
      <w:r>
        <w:t>E</w:t>
      </w:r>
      <w:r w:rsidRPr="00A46E30">
        <w:t>dgeworth box</w:t>
      </w:r>
      <w:r>
        <w:t xml:space="preserve">, we can see measure R’s consumption from bottom left and </w:t>
      </w:r>
      <w:proofErr w:type="gramStart"/>
      <w:r>
        <w:t>S’s</w:t>
      </w:r>
      <w:proofErr w:type="gramEnd"/>
      <w:r>
        <w:t xml:space="preserve"> from top right. </w:t>
      </w:r>
      <w:r>
        <w:rPr>
          <w:rFonts w:ascii="Times New Roman" w:eastAsia="Times New Roman" w:hAnsi="Times New Roman" w:cs="Times New Roman"/>
        </w:rPr>
        <w:t xml:space="preserve">R and S </w:t>
      </w:r>
      <w:r w:rsidRPr="00AF1576">
        <w:rPr>
          <w:rFonts w:ascii="Times New Roman" w:eastAsia="Times New Roman" w:hAnsi="Times New Roman" w:cs="Times New Roman"/>
        </w:rPr>
        <w:t>must be no worse off after exchange than at their initial endowment</w:t>
      </w:r>
      <w:r>
        <w:rPr>
          <w:rFonts w:ascii="Times New Roman" w:eastAsia="Times New Roman" w:hAnsi="Times New Roman" w:cs="Times New Roman"/>
        </w:rPr>
        <w:t xml:space="preserve">. </w:t>
      </w:r>
      <w:r w:rsidRPr="00AF1576">
        <w:rPr>
          <w:rFonts w:ascii="Times New Roman" w:eastAsia="Times New Roman" w:hAnsi="Times New Roman" w:cs="Times New Roman"/>
        </w:rPr>
        <w:t>Endowments will be divided as a result of the exchange in the shaded region above and to the left of point E.</w:t>
      </w:r>
    </w:p>
    <w:p w14:paraId="080624CA" w14:textId="6EBE1C97" w:rsidR="00AF1576" w:rsidRDefault="00AF1576" w:rsidP="00AF1576">
      <w:pPr>
        <w:rPr>
          <w:rFonts w:ascii="Times New Roman" w:eastAsia="Times New Roman" w:hAnsi="Times New Roman" w:cs="Times New Roman"/>
        </w:rPr>
      </w:pPr>
    </w:p>
    <w:p w14:paraId="0E5BCA70" w14:textId="7AA540E2" w:rsidR="00AF1576" w:rsidRDefault="00AF1576" w:rsidP="00AF1576">
      <w:r>
        <w:t>T</w:t>
      </w:r>
      <w:r w:rsidRPr="00AF1576">
        <w:t>he total amount of products available for consumption remains constant</w:t>
      </w:r>
      <w:r>
        <w:t xml:space="preserve">. </w:t>
      </w:r>
    </w:p>
    <w:p w14:paraId="2FB06479" w14:textId="32622D3A" w:rsidR="00AF1576" w:rsidRDefault="00AF1576" w:rsidP="00AF1576">
      <w:r>
        <w:t xml:space="preserve">R and S </w:t>
      </w:r>
      <w:r>
        <w:t>have the property of efficient allocation.</w:t>
      </w:r>
      <w:r w:rsidR="00DA2BAE">
        <w:t xml:space="preserve"> </w:t>
      </w:r>
      <w:r>
        <w:t>All allocations are Pareto efficient.</w:t>
      </w:r>
    </w:p>
    <w:p w14:paraId="30B718AF" w14:textId="7B6DD1C6" w:rsidR="00AF1576" w:rsidRDefault="00AF1576" w:rsidP="00AF1576">
      <w:r>
        <w:t>Contract curve is used to represent (typically shown as running from bottom left to top right corners of Edgeworth box)</w:t>
      </w:r>
    </w:p>
    <w:p w14:paraId="3F15929D" w14:textId="39A66A47" w:rsidR="00AF1576" w:rsidRDefault="00AF1576" w:rsidP="00AF1576"/>
    <w:p w14:paraId="22261D1F" w14:textId="539C9B34" w:rsidR="00DA2BAE" w:rsidRDefault="00DA2BAE" w:rsidP="00DA2BAE">
      <w:r>
        <w:t xml:space="preserve">b) </w:t>
      </w:r>
    </w:p>
    <w:p w14:paraId="4047E615" w14:textId="5E1E71E1" w:rsidR="00AF1576" w:rsidRDefault="00DA2BAE" w:rsidP="00DA2BAE">
      <w:r>
        <w:t xml:space="preserve">Given a relative price (exchange rate) for products, </w:t>
      </w:r>
      <w:r w:rsidR="00655C30">
        <w:t xml:space="preserve">we can </w:t>
      </w:r>
      <w:r w:rsidR="00655C30">
        <w:t>divid</w:t>
      </w:r>
      <w:r w:rsidR="00655C30">
        <w:t>e</w:t>
      </w:r>
      <w:r w:rsidR="00655C30">
        <w:t xml:space="preserve"> a substantial endowment between two individuals</w:t>
      </w:r>
      <w:r w:rsidR="00655C30">
        <w:t>. T</w:t>
      </w:r>
      <w:r>
        <w:t>he final division of items achieved via trade is restricted optimal for both. As a result, the indifference curves touch and have a similar tangent.</w:t>
      </w:r>
    </w:p>
    <w:p w14:paraId="6BB11B57" w14:textId="5103BF9F" w:rsidR="00AF1576" w:rsidRDefault="00AF1576" w:rsidP="00DA2BAE"/>
    <w:p w14:paraId="17DB0C68" w14:textId="5932955A" w:rsidR="00655C30" w:rsidRDefault="00655C30" w:rsidP="00DA2BAE">
      <w:pPr>
        <w:rPr>
          <w:lang w:val="en-GB"/>
        </w:rPr>
      </w:pPr>
      <w:r>
        <w:t xml:space="preserve">We can calculate the relative price and slope of line EJ which </w:t>
      </w:r>
      <w:r w:rsidRPr="00655C30">
        <w:rPr>
          <w:lang w:val="en-GB"/>
        </w:rPr>
        <w:t>is the common tangent of the indifference curves</w:t>
      </w:r>
      <w:r>
        <w:rPr>
          <w:lang w:val="en-GB"/>
        </w:rPr>
        <w:t xml:space="preserve">. </w:t>
      </w:r>
    </w:p>
    <w:p w14:paraId="04988F24" w14:textId="6BB80BB4" w:rsidR="006B1196" w:rsidRDefault="006B1196" w:rsidP="00DA2BAE">
      <w:pPr>
        <w:rPr>
          <w:lang w:val="en-GB"/>
        </w:rPr>
      </w:pPr>
    </w:p>
    <w:p w14:paraId="52B8066C" w14:textId="2AE09873" w:rsidR="00340AC2" w:rsidRDefault="00340AC2" w:rsidP="00340AC2">
      <w:r>
        <w:rPr>
          <w:rFonts w:hint="eastAsia"/>
        </w:rPr>
        <w:t>C</w:t>
      </w:r>
      <w:r>
        <w:t>onsider the situation from R</w:t>
      </w:r>
      <w:r w:rsidRPr="00340AC2">
        <w:t>’s point of view</w:t>
      </w:r>
      <w:r>
        <w:t>, R maximizes her/his utility by trading a</w:t>
      </w:r>
      <w:r w:rsidRPr="00340AC2">
        <w:t>ccepting the price ratio determined in the market</w:t>
      </w:r>
      <w:r>
        <w:t xml:space="preserve"> o</w:t>
      </w:r>
      <w:r w:rsidRPr="00340AC2">
        <w:t xml:space="preserve">r alternatively, allowing </w:t>
      </w:r>
      <w:r>
        <w:t>S</w:t>
      </w:r>
      <w:r w:rsidRPr="00340AC2">
        <w:t xml:space="preserve"> to reach a target utility</w:t>
      </w:r>
      <w:r>
        <w:t xml:space="preserve">. </w:t>
      </w:r>
    </w:p>
    <w:p w14:paraId="05453FD5" w14:textId="4CAE8FDE" w:rsidR="00340AC2" w:rsidRDefault="00340AC2" w:rsidP="00340AC2"/>
    <w:p w14:paraId="2CE86F8A" w14:textId="77777777" w:rsidR="00433390" w:rsidRDefault="00877CA0" w:rsidP="00877CA0">
      <w:r w:rsidRPr="00877CA0">
        <w:lastRenderedPageBreak/>
        <w:t>Offer curve is diagrammatic representation of R’s most preferred affordable allocations</w:t>
      </w:r>
      <w:r>
        <w:t xml:space="preserve"> or S’s most preferred affordable allocations. </w:t>
      </w:r>
      <w:r w:rsidR="005143D3">
        <w:t xml:space="preserve">    </w:t>
      </w:r>
    </w:p>
    <w:p w14:paraId="516FC509" w14:textId="5E323B26" w:rsidR="003F4C39" w:rsidRPr="003F4C39" w:rsidRDefault="00433390" w:rsidP="003F4C39">
      <w:r>
        <w:t xml:space="preserve">For there to be market clearing, </w:t>
      </w:r>
      <w:r w:rsidR="00402F28">
        <w:t xml:space="preserve">R and S need to have feasible demands. We need to be at the point </w:t>
      </w:r>
      <w:r w:rsidR="00402F28" w:rsidRPr="00402F28">
        <w:rPr>
          <w:lang w:val="en-GB"/>
        </w:rPr>
        <w:t>where both are maximising given the other’s demands</w:t>
      </w:r>
      <w:r w:rsidR="00402F28">
        <w:rPr>
          <w:lang w:val="en-GB"/>
        </w:rPr>
        <w:t xml:space="preserve">. Then we have market clearing in both markets. Also, we found out that the intersection of contract curves </w:t>
      </w:r>
      <w:r w:rsidR="003F4C39">
        <w:rPr>
          <w:lang w:val="en-GB"/>
        </w:rPr>
        <w:t xml:space="preserve">has </w:t>
      </w:r>
      <w:r w:rsidR="003F4C39" w:rsidRPr="003F4C39">
        <w:rPr>
          <w:lang w:val="en-GB"/>
        </w:rPr>
        <w:t>the feasible trade line a common tangent</w:t>
      </w:r>
      <w:r w:rsidR="003F4C39">
        <w:rPr>
          <w:lang w:val="en-GB"/>
        </w:rPr>
        <w:t xml:space="preserve">. </w:t>
      </w:r>
    </w:p>
    <w:p w14:paraId="6B4C860E" w14:textId="47E6BD37" w:rsidR="00877CA0" w:rsidRPr="00877CA0" w:rsidRDefault="005143D3" w:rsidP="00877CA0">
      <w:r>
        <w:t xml:space="preserve">                                                                                                  </w:t>
      </w:r>
      <w:r w:rsidR="00877CA0" w:rsidRPr="00877CA0">
        <w:t xml:space="preserve"> </w:t>
      </w:r>
    </w:p>
    <w:p w14:paraId="5FD2080B" w14:textId="77777777" w:rsidR="00340AC2" w:rsidRPr="00340AC2" w:rsidRDefault="00340AC2" w:rsidP="00340AC2"/>
    <w:p w14:paraId="34D86A3F" w14:textId="77230D8E" w:rsidR="00340AC2" w:rsidRDefault="009C4B79" w:rsidP="00DA2BAE">
      <w:r>
        <w:t xml:space="preserve">c) </w:t>
      </w:r>
    </w:p>
    <w:p w14:paraId="56833376" w14:textId="4DB45F95" w:rsidR="009C4B79" w:rsidRDefault="009C4B79" w:rsidP="009C4B79"/>
    <w:p w14:paraId="61991C33" w14:textId="77777777" w:rsidR="00D72952" w:rsidRDefault="00D72952" w:rsidP="00D72952">
      <w:r>
        <w:t>First theorem: It is impossible to make someone better off after a trade without making someone else worse off: on the contracting curve</w:t>
      </w:r>
    </w:p>
    <w:p w14:paraId="49DBCB56" w14:textId="77777777" w:rsidR="00D72952" w:rsidRDefault="00D72952" w:rsidP="00D72952">
      <w:r>
        <w:t xml:space="preserve">In diagrams, this is any location at which </w:t>
      </w:r>
      <w:proofErr w:type="gramStart"/>
      <w:r>
        <w:t>offer</w:t>
      </w:r>
      <w:proofErr w:type="gramEnd"/>
      <w:r>
        <w:t xml:space="preserve"> and indifference curves might overlap; indifference curves share a common tangent.</w:t>
      </w:r>
    </w:p>
    <w:p w14:paraId="1BC3B3E5" w14:textId="68276F17" w:rsidR="009C4B79" w:rsidRDefault="00D72952" w:rsidP="00D72952">
      <w:r>
        <w:t>Gradients M</w:t>
      </w:r>
      <w:r>
        <w:t>RS=</w:t>
      </w:r>
      <w:r>
        <w:sym w:font="Symbol" w:char="F072"/>
      </w:r>
      <w:r>
        <w:t xml:space="preserve">. </w:t>
      </w:r>
    </w:p>
    <w:p w14:paraId="49E3B954" w14:textId="77777777" w:rsidR="009C4B79" w:rsidRDefault="009C4B79" w:rsidP="009C4B79"/>
    <w:p w14:paraId="09D70583" w14:textId="0D2EDE82" w:rsidR="00D72952" w:rsidRDefault="00D72952" w:rsidP="00D72952">
      <w:r>
        <w:t xml:space="preserve">Only the price ratio,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supports endowment equilibrium, E.</w:t>
      </w:r>
    </w:p>
    <w:p w14:paraId="18FB2E9D" w14:textId="77777777" w:rsidR="00D72952" w:rsidRDefault="00D72952" w:rsidP="00D72952">
      <w:r>
        <w:t>Beginning with any endowment on line EJ1, equilibrium is at J1.</w:t>
      </w:r>
    </w:p>
    <w:p w14:paraId="389C4115" w14:textId="37DB35FC" w:rsidR="00D72952" w:rsidRDefault="00D72952" w:rsidP="00D72952">
      <w:r>
        <w:t>But imagine R finds this unacceptable.</w:t>
      </w:r>
      <w:r>
        <w:t xml:space="preserve"> </w:t>
      </w:r>
      <w:r>
        <w:t>Insists on a bigger part of the outcome</w:t>
      </w:r>
    </w:p>
    <w:p w14:paraId="5D798457" w14:textId="77777777" w:rsidR="00D72952" w:rsidRDefault="00D72952" w:rsidP="00D72952">
      <w:r>
        <w:t>There is no way to trade to a different conclusion.</w:t>
      </w:r>
    </w:p>
    <w:p w14:paraId="425C4CBF" w14:textId="116D486B" w:rsidR="00AF1576" w:rsidRPr="00AF1576" w:rsidRDefault="00D72952" w:rsidP="00D72952">
      <w:r>
        <w:t>However, S can transfer resources to R, and they can then trade to a new equilibrium.</w:t>
      </w:r>
    </w:p>
    <w:p w14:paraId="0A266C31" w14:textId="287FE3C0" w:rsidR="00AF1576" w:rsidRDefault="00AF1576" w:rsidP="00C239B1">
      <w:pPr>
        <w:rPr>
          <w:rFonts w:ascii="Times New Roman" w:eastAsia="Times New Roman" w:hAnsi="Times New Roman" w:cs="Times New Roman"/>
        </w:rPr>
      </w:pPr>
    </w:p>
    <w:p w14:paraId="4D50FD0A" w14:textId="6D586BF9" w:rsidR="00D72952" w:rsidRPr="00C239B1" w:rsidRDefault="00D72952" w:rsidP="00D72952">
      <w:pPr>
        <w:rPr>
          <w:rFonts w:ascii="Times New Roman" w:eastAsia="Times New Roman" w:hAnsi="Times New Roman" w:cs="Times New Roman" w:hint="eastAsia"/>
        </w:rPr>
      </w:pPr>
      <w:r w:rsidRPr="00D72952">
        <w:rPr>
          <w:rFonts w:ascii="Times New Roman" w:eastAsia="Times New Roman" w:hAnsi="Times New Roman" w:cs="Times New Roman"/>
        </w:rPr>
        <w:t>According to the theorem, any allocation on the contract curve may be attained through trade from a set of endowments.</w:t>
      </w:r>
      <w:r>
        <w:rPr>
          <w:rFonts w:ascii="Times New Roman" w:eastAsia="Times New Roman" w:hAnsi="Times New Roman" w:cs="Times New Roman"/>
        </w:rPr>
        <w:t xml:space="preserve"> </w:t>
      </w:r>
      <w:r w:rsidRPr="00D72952">
        <w:rPr>
          <w:rFonts w:ascii="Times New Roman" w:eastAsia="Times New Roman" w:hAnsi="Times New Roman" w:cs="Times New Roman"/>
        </w:rPr>
        <w:t>So, assuming R and S agree on the desired outcome, all that remains is to select allocation within a set of endowments.</w:t>
      </w:r>
      <w:r>
        <w:rPr>
          <w:rFonts w:ascii="Times New Roman" w:eastAsia="Times New Roman" w:hAnsi="Times New Roman" w:cs="Times New Roman"/>
        </w:rPr>
        <w:t xml:space="preserve"> </w:t>
      </w:r>
      <w:r w:rsidRPr="00D72952">
        <w:rPr>
          <w:rFonts w:ascii="Times New Roman" w:eastAsia="Times New Roman" w:hAnsi="Times New Roman" w:cs="Times New Roman"/>
        </w:rPr>
        <w:t>Consider what happens in a family</w:t>
      </w:r>
      <w:r>
        <w:rPr>
          <w:rFonts w:ascii="Times New Roman" w:eastAsia="Times New Roman" w:hAnsi="Times New Roman" w:cs="Times New Roman"/>
        </w:rPr>
        <w:t>, y</w:t>
      </w:r>
      <w:r w:rsidRPr="00D72952">
        <w:rPr>
          <w:rFonts w:ascii="Times New Roman" w:eastAsia="Times New Roman" w:hAnsi="Times New Roman" w:cs="Times New Roman"/>
        </w:rPr>
        <w:t>ou don't have to buy things for each other; merely pool your resources.</w:t>
      </w:r>
      <w:r>
        <w:rPr>
          <w:rFonts w:ascii="Times New Roman" w:eastAsia="Times New Roman" w:hAnsi="Times New Roman" w:cs="Times New Roman"/>
        </w:rPr>
        <w:t xml:space="preserve"> </w:t>
      </w:r>
      <w:r w:rsidRPr="00D72952">
        <w:rPr>
          <w:rFonts w:ascii="Times New Roman" w:eastAsia="Times New Roman" w:hAnsi="Times New Roman" w:cs="Times New Roman"/>
        </w:rPr>
        <w:t>It is also possible to apply to countries: Income redistribution schemes versus direct purchases vs voucher systems</w:t>
      </w:r>
    </w:p>
    <w:p w14:paraId="61598476" w14:textId="59B9859C" w:rsidR="004C765D" w:rsidRPr="004C765D" w:rsidRDefault="004C765D" w:rsidP="004C765D">
      <w:pPr>
        <w:rPr>
          <w:rFonts w:ascii="Times New Roman" w:eastAsia="Times New Roman" w:hAnsi="Times New Roman" w:cs="Times New Roman"/>
        </w:rPr>
      </w:pPr>
    </w:p>
    <w:p w14:paraId="1904FCA7" w14:textId="423B7F7B" w:rsidR="00AF1DD4" w:rsidRDefault="00AF1DD4" w:rsidP="00AF1DD4">
      <w:pPr>
        <w:rPr>
          <w:rFonts w:hint="eastAsia"/>
        </w:rPr>
      </w:pPr>
    </w:p>
    <w:p w14:paraId="6C454317" w14:textId="382BC703" w:rsidR="00A46E30" w:rsidRDefault="00A46E30"/>
    <w:p w14:paraId="027E8919" w14:textId="77777777" w:rsidR="00A46E30" w:rsidRDefault="00A46E30"/>
    <w:sectPr w:rsidR="00A4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3268"/>
    <w:multiLevelType w:val="hybridMultilevel"/>
    <w:tmpl w:val="DE0C279E"/>
    <w:lvl w:ilvl="0" w:tplc="44C82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8D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6AD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83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4B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021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26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6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01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0A295A"/>
    <w:multiLevelType w:val="hybridMultilevel"/>
    <w:tmpl w:val="1C5A2588"/>
    <w:lvl w:ilvl="0" w:tplc="25B4A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95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DAC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CE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6D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0B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87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A3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4A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9B76AC"/>
    <w:multiLevelType w:val="hybridMultilevel"/>
    <w:tmpl w:val="EC8E9750"/>
    <w:lvl w:ilvl="0" w:tplc="53DED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4C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BA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88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A9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E2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8E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D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1B1DBF"/>
    <w:multiLevelType w:val="hybridMultilevel"/>
    <w:tmpl w:val="653E8C08"/>
    <w:lvl w:ilvl="0" w:tplc="2AB6E6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35A7D"/>
    <w:multiLevelType w:val="hybridMultilevel"/>
    <w:tmpl w:val="8D86D412"/>
    <w:lvl w:ilvl="0" w:tplc="589AA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EB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828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C3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A21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A3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00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A5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C1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5712662">
    <w:abstractNumId w:val="3"/>
  </w:num>
  <w:num w:numId="2" w16cid:durableId="1835298618">
    <w:abstractNumId w:val="1"/>
  </w:num>
  <w:num w:numId="3" w16cid:durableId="26764380">
    <w:abstractNumId w:val="4"/>
  </w:num>
  <w:num w:numId="4" w16cid:durableId="370154840">
    <w:abstractNumId w:val="2"/>
  </w:num>
  <w:num w:numId="5" w16cid:durableId="179852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88"/>
    <w:rsid w:val="00340AC2"/>
    <w:rsid w:val="003F4C39"/>
    <w:rsid w:val="00402F28"/>
    <w:rsid w:val="00433390"/>
    <w:rsid w:val="004C765D"/>
    <w:rsid w:val="005143D3"/>
    <w:rsid w:val="005D0B61"/>
    <w:rsid w:val="00651EFE"/>
    <w:rsid w:val="00655C30"/>
    <w:rsid w:val="006B1196"/>
    <w:rsid w:val="006D78C3"/>
    <w:rsid w:val="00760623"/>
    <w:rsid w:val="00805CA4"/>
    <w:rsid w:val="00877CA0"/>
    <w:rsid w:val="00886234"/>
    <w:rsid w:val="009C4B79"/>
    <w:rsid w:val="00A46E30"/>
    <w:rsid w:val="00AF1576"/>
    <w:rsid w:val="00AF1DD4"/>
    <w:rsid w:val="00B64B6C"/>
    <w:rsid w:val="00C239B1"/>
    <w:rsid w:val="00C4590F"/>
    <w:rsid w:val="00D44B88"/>
    <w:rsid w:val="00D72952"/>
    <w:rsid w:val="00DA2BAE"/>
    <w:rsid w:val="00F5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F5712"/>
  <w15:chartTrackingRefBased/>
  <w15:docId w15:val="{685D5925-3924-CC4A-BFA6-07764C98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1D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8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9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5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212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23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0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Huang</dc:creator>
  <cp:keywords/>
  <dc:description/>
  <cp:lastModifiedBy>Dan Huang</cp:lastModifiedBy>
  <cp:revision>1</cp:revision>
  <dcterms:created xsi:type="dcterms:W3CDTF">2022-04-21T20:10:00Z</dcterms:created>
  <dcterms:modified xsi:type="dcterms:W3CDTF">2022-04-22T03:19:00Z</dcterms:modified>
</cp:coreProperties>
</file>