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jc w:val="left"/>
      </w:pPr>
      <w:r>
        <w:drawing>
          <wp:inline distT="0" distB="0" distL="0" distR="0">
            <wp:extent cx="96202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62025" cy="914400"/>
                    </a:xfrm>
                    <a:prstGeom prst="rect">
                      <a:avLst/>
                    </a:prstGeom>
                  </pic:spPr>
                </pic:pic>
              </a:graphicData>
            </a:graphic>
          </wp:inline>
        </w:drawing>
      </w:r>
      <w:r>
        <w:t xml:space="preserve">								</w:t>
      </w:r>
      <w:r>
        <w:drawing>
          <wp:inline distT="0" distB="0" distL="0" distR="0">
            <wp:extent cx="866775"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66775" cy="733425"/>
                    </a:xfrm>
                    <a:prstGeom prst="rect">
                      <a:avLst/>
                    </a:prstGeom>
                  </pic:spPr>
                </pic:pic>
              </a:graphicData>
            </a:graphic>
          </wp:inline>
        </w:drawing>
      </w:r>
    </w:p>
    <w:p>
      <w:pPr>
        <w:spacing w:after="120" w:before="440"/>
        <w:jc w:val="center"/>
      </w:pPr>
      <w:r>
        <w:rPr>
          <w:rFonts w:ascii="Times New Roman" w:cs="Times New Roman" w:eastAsia="Times New Roman" w:hAnsi="Times New Roman"/>
          <w:b/>
          <w:bCs/>
          <w:i w:val="false"/>
          <w:iCs w:val="false"/>
          <w:color w:val="000000"/>
          <w:sz w:val="30"/>
          <w:szCs w:val="30"/>
        </w:rPr>
        <w:t xml:space="preserve">CONFMAN – A CONFERENCE MANAGEMENT SYSTEM</w:t>
      </w:r>
    </w:p>
    <w:p>
      <w:pPr>
        <w:spacing w:after="200" w:before="120"/>
        <w:jc w:val="center"/>
      </w:pPr>
      <w:r>
        <w:rPr>
          <w:rFonts w:ascii="Times New Roman" w:cs="Times New Roman" w:eastAsia="Times New Roman" w:hAnsi="Times New Roman"/>
          <w:b/>
          <w:bCs/>
          <w:i w:val="false"/>
          <w:iCs w:val="false"/>
          <w:color w:val="000000"/>
          <w:sz w:val="28"/>
          <w:szCs w:val="28"/>
        </w:rPr>
        <w:t xml:space="preserve">A MINI PROJECT REPORT</w:t>
      </w:r>
    </w:p>
    <w:p>
      <w:pPr>
        <w:spacing w:after="80" w:before="100"/>
        <w:jc w:val="center"/>
      </w:pPr>
      <w:r>
        <w:rPr>
          <w:rFonts w:ascii="Times New Roman" w:cs="Times New Roman" w:eastAsia="Times New Roman" w:hAnsi="Times New Roman"/>
          <w:b/>
          <w:bCs/>
          <w:i/>
          <w:iCs/>
          <w:color w:val="000000"/>
          <w:sz w:val="24"/>
          <w:szCs w:val="24"/>
        </w:rPr>
        <w:t xml:space="preserve">Submitted by</w:t>
      </w:r>
    </w:p>
    <w:p>
      <w:pPr>
        <w:spacing w:after="60" w:before="80"/>
        <w:jc w:val="center"/>
      </w:pPr>
      <w:r>
        <w:rPr>
          <w:rFonts w:ascii="Times New Roman" w:cs="Times New Roman" w:eastAsia="Times New Roman" w:hAnsi="Times New Roman"/>
          <w:b/>
          <w:bCs/>
          <w:i w:val="false"/>
          <w:iCs w:val="false"/>
          <w:color w:val="000000"/>
          <w:sz w:val="24"/>
          <w:szCs w:val="24"/>
        </w:rPr>
        <w:t xml:space="preserve">[STUDENT NAME 1] – [REG. NUMBER 1]</w:t>
      </w:r>
    </w:p>
    <w:p>
      <w:pPr>
        <w:spacing w:after="60" w:before="40"/>
        <w:jc w:val="center"/>
      </w:pPr>
      <w:r>
        <w:rPr>
          <w:rFonts w:ascii="Times New Roman" w:cs="Times New Roman" w:eastAsia="Times New Roman" w:hAnsi="Times New Roman"/>
          <w:b/>
          <w:bCs/>
          <w:i w:val="false"/>
          <w:iCs w:val="false"/>
          <w:color w:val="000000"/>
          <w:sz w:val="24"/>
          <w:szCs w:val="24"/>
        </w:rPr>
        <w:t xml:space="preserve">[STUDENT NAME 2] – [REG. NUMBER 2]</w:t>
      </w:r>
    </w:p>
    <w:p>
      <w:pPr>
        <w:spacing w:after="160" w:before="40"/>
        <w:jc w:val="center"/>
      </w:pPr>
      <w:r>
        <w:rPr>
          <w:rFonts w:ascii="Times New Roman" w:cs="Times New Roman" w:eastAsia="Times New Roman" w:hAnsi="Times New Roman"/>
          <w:b/>
          <w:bCs/>
          <w:i w:val="false"/>
          <w:iCs w:val="false"/>
          <w:color w:val="000000"/>
          <w:sz w:val="24"/>
          <w:szCs w:val="24"/>
        </w:rPr>
        <w:t xml:space="preserve">[STUDENT NAME 3] – [REG. NUMBER 3]</w:t>
      </w:r>
    </w:p>
    <w:p>
      <w:pPr>
        <w:spacing w:after="120" w:before="80"/>
        <w:jc w:val="center"/>
      </w:pPr>
      <w:r>
        <w:rPr>
          <w:rFonts w:ascii="Times New Roman" w:cs="Times New Roman" w:eastAsia="Times New Roman" w:hAnsi="Times New Roman"/>
          <w:b/>
          <w:bCs/>
          <w:i/>
          <w:iCs/>
          <w:color w:val="000000"/>
          <w:sz w:val="24"/>
          <w:szCs w:val="24"/>
        </w:rPr>
        <w:t xml:space="preserve">In partial fulfillment for the award of the degree of</w:t>
      </w:r>
    </w:p>
    <w:p>
      <w:pPr>
        <w:spacing w:after="80" w:before="60"/>
        <w:jc w:val="center"/>
      </w:pPr>
      <w:r>
        <w:rPr>
          <w:rFonts w:ascii="Times New Roman" w:cs="Times New Roman" w:eastAsia="Times New Roman" w:hAnsi="Times New Roman"/>
          <w:b/>
          <w:bCs/>
          <w:i w:val="false"/>
          <w:iCs w:val="false"/>
          <w:color w:val="000000"/>
          <w:sz w:val="24"/>
          <w:szCs w:val="24"/>
        </w:rPr>
        <w:t xml:space="preserve">BACHELOR OF TECHNOLOGY IN INFORMATION TECHNOLOGY</w:t>
      </w:r>
    </w:p>
    <w:p>
      <w:pPr>
        <w:spacing w:after="80" w:before="60"/>
        <w:jc w:val="center"/>
      </w:pPr>
      <w:r>
        <w:rPr>
          <w:rFonts w:ascii="Times New Roman" w:cs="Times New Roman" w:eastAsia="Times New Roman" w:hAnsi="Times New Roman"/>
          <w:b/>
          <w:bCs/>
          <w:i w:val="false"/>
          <w:iCs w:val="false"/>
          <w:color w:val="000000"/>
          <w:sz w:val="24"/>
          <w:szCs w:val="24"/>
        </w:rPr>
        <w:t xml:space="preserve">LOYOLA-ICAM COLLEGE OF ENGINEERING AND TECHNOLOGY</w:t>
      </w:r>
    </w:p>
    <w:p>
      <w:pPr>
        <w:spacing w:after="80" w:before="60"/>
        <w:jc w:val="center"/>
      </w:pPr>
      <w:r>
        <w:rPr>
          <w:rFonts w:ascii="Times New Roman" w:cs="Times New Roman" w:eastAsia="Times New Roman" w:hAnsi="Times New Roman"/>
          <w:b/>
          <w:bCs/>
          <w:i w:val="false"/>
          <w:iCs w:val="false"/>
          <w:color w:val="000000"/>
          <w:sz w:val="24"/>
          <w:szCs w:val="24"/>
        </w:rPr>
        <w:t xml:space="preserve">ANNA UNIVERSITY: CHENNAI 600 025</w:t>
      </w:r>
    </w:p>
    <w:p>
      <w:pPr>
        <w:spacing w:after="0" w:before="80"/>
        <w:jc w:val="center"/>
      </w:pPr>
      <w:r>
        <w:rPr>
          <w:rFonts w:ascii="Times New Roman" w:cs="Times New Roman" w:eastAsia="Times New Roman" w:hAnsi="Times New Roman"/>
          <w:b/>
          <w:bCs/>
          <w:i w:val="false"/>
          <w:iCs w:val="false"/>
          <w:color w:val="000000"/>
          <w:sz w:val="24"/>
          <w:szCs w:val="24"/>
        </w:rPr>
        <w:t xml:space="preserve">NOVEMBER 2026</w:t>
      </w:r>
    </w:p>
    <w:p>
      <w:r>
        <w:br w:type="page"/>
      </w:r>
    </w:p>
    <w:p>
      <w:pPr>
        <w:spacing w:after="240" w:before="0"/>
        <w:jc w:val="center"/>
      </w:pPr>
      <w:r>
        <w:rPr>
          <w:rFonts w:ascii="Times New Roman" w:cs="Times New Roman" w:eastAsia="Times New Roman" w:hAnsi="Times New Roman"/>
          <w:b/>
          <w:bCs/>
          <w:i w:val="false"/>
          <w:iCs w:val="false"/>
          <w:color w:val="000000"/>
          <w:sz w:val="28"/>
          <w:szCs w:val="28"/>
        </w:rPr>
        <w:t xml:space="preserve">BONAFIDE CERTIFICATE</w:t>
      </w:r>
    </w:p>
    <w:p>
      <w:pPr>
        <w:spacing w:after="200" w:before="120" w:line="350"/>
        <w:jc w:val="both"/>
      </w:pPr>
      <w:r>
        <w:rPr>
          <w:rFonts w:ascii="Times New Roman" w:cs="Times New Roman" w:eastAsia="Times New Roman" w:hAnsi="Times New Roman"/>
          <w:sz w:val="28"/>
          <w:szCs w:val="28"/>
        </w:rPr>
        <w:t xml:space="preserve">Certified that the Mini Project report on </w:t>
      </w:r>
      <w:r>
        <w:rPr>
          <w:rFonts w:ascii="Times New Roman" w:cs="Times New Roman" w:eastAsia="Times New Roman" w:hAnsi="Times New Roman"/>
          <w:b/>
          <w:bCs/>
          <w:sz w:val="28"/>
          <w:szCs w:val="28"/>
        </w:rPr>
        <w:t xml:space="preserve">"CONFMAN – A CONFERENCE MANAGEMENT SYSTEM"</w:t>
      </w:r>
      <w:r>
        <w:rPr>
          <w:rFonts w:ascii="Times New Roman" w:cs="Times New Roman" w:eastAsia="Times New Roman" w:hAnsi="Times New Roman"/>
          <w:sz w:val="28"/>
          <w:szCs w:val="28"/>
        </w:rPr>
        <w:t xml:space="preserve"> is the bonafide work of </w:t>
      </w:r>
      <w:r>
        <w:rPr>
          <w:rFonts w:ascii="Times New Roman" w:cs="Times New Roman" w:eastAsia="Times New Roman" w:hAnsi="Times New Roman"/>
          <w:b/>
          <w:bCs/>
          <w:sz w:val="28"/>
          <w:szCs w:val="28"/>
        </w:rPr>
        <w:t xml:space="preserve">[STUDENT NAME 1] ([REG. NUMBER 1]), [STUDENT NAME 2] ([REG. NUMBER 2]), [STUDENT NAME 3] ([REG. NUMBER 3])</w:t>
      </w:r>
      <w:r>
        <w:rPr>
          <w:rFonts w:ascii="Times New Roman" w:cs="Times New Roman" w:eastAsia="Times New Roman" w:hAnsi="Times New Roman"/>
          <w:sz w:val="28"/>
          <w:szCs w:val="28"/>
        </w:rPr>
        <w:t xml:space="preserve"> who carried out the project work under my supervision.</w:t>
      </w:r>
    </w:p>
    <w:p>
      <w:pPr>
        <w:spacing w:after="80" w:before="280"/>
      </w:pPr>
      <w:r>
        <w:rPr>
          <w:rFonts w:ascii="Times New Roman" w:cs="Times New Roman" w:eastAsia="Times New Roman" w:hAnsi="Times New Roman"/>
          <w:b/>
          <w:bCs/>
          <w:sz w:val="28"/>
          <w:szCs w:val="28"/>
        </w:rPr>
        <w:t xml:space="preserve">SIGNATURE						SIGNATURE</w:t>
      </w:r>
    </w:p>
    <w:p>
      <w:pPr>
        <w:spacing w:after="40" w:before="160"/>
      </w:pPr>
      <w:r>
        <w:rPr>
          <w:rFonts w:ascii="Times New Roman" w:cs="Times New Roman" w:eastAsia="Times New Roman" w:hAnsi="Times New Roman"/>
          <w:b/>
          <w:bCs/>
          <w:sz w:val="28"/>
          <w:szCs w:val="28"/>
        </w:rPr>
        <w:t xml:space="preserve">[COORDINATOR NAME],					Ms. Sherril Sophie Maria Vincent</w:t>
      </w:r>
    </w:p>
    <w:p>
      <w:pPr>
        <w:spacing w:after="40" w:before="40"/>
      </w:pPr>
      <w:r>
        <w:rPr>
          <w:rFonts w:ascii="Times New Roman" w:cs="Times New Roman" w:eastAsia="Times New Roman" w:hAnsi="Times New Roman"/>
          <w:sz w:val="28"/>
          <w:szCs w:val="28"/>
        </w:rPr>
        <w:t xml:space="preserve">B.E., M.E.						B.E., M.E., Ph.D.</w:t>
      </w:r>
    </w:p>
    <w:p>
      <w:pPr>
        <w:spacing w:after="40" w:before="40"/>
      </w:pPr>
      <w:r>
        <w:rPr>
          <w:rFonts w:ascii="Times New Roman" w:cs="Times New Roman" w:eastAsia="Times New Roman" w:hAnsi="Times New Roman"/>
          <w:sz w:val="28"/>
          <w:szCs w:val="28"/>
        </w:rPr>
        <w:t xml:space="preserve">Project Coordinator					Head of the Department</w:t>
      </w:r>
    </w:p>
    <w:p>
      <w:pPr>
        <w:spacing w:after="40" w:before="80"/>
      </w:pPr>
      <w:r>
        <w:rPr>
          <w:rFonts w:ascii="Times New Roman" w:cs="Times New Roman" w:eastAsia="Times New Roman" w:hAnsi="Times New Roman"/>
          <w:sz w:val="28"/>
          <w:szCs w:val="28"/>
        </w:rPr>
        <w:t xml:space="preserve">Department of Information Technology		Department of Information Technology</w:t>
      </w:r>
    </w:p>
    <w:p>
      <w:pPr>
        <w:spacing w:after="40" w:before="40"/>
      </w:pPr>
      <w:r>
        <w:rPr>
          <w:rFonts w:ascii="Times New Roman" w:cs="Times New Roman" w:eastAsia="Times New Roman" w:hAnsi="Times New Roman"/>
          <w:sz w:val="28"/>
          <w:szCs w:val="28"/>
        </w:rPr>
        <w:t xml:space="preserve">Loyola-ICAM College of Engineering		Loyola-ICAM College of Engineering</w:t>
      </w:r>
    </w:p>
    <w:p>
      <w:pPr>
        <w:spacing w:after="40" w:before="40"/>
      </w:pPr>
      <w:r>
        <w:rPr>
          <w:rFonts w:ascii="Times New Roman" w:cs="Times New Roman" w:eastAsia="Times New Roman" w:hAnsi="Times New Roman"/>
          <w:sz w:val="28"/>
          <w:szCs w:val="28"/>
        </w:rPr>
        <w:t xml:space="preserve">and Technology					and Technology</w:t>
      </w:r>
    </w:p>
    <w:p>
      <w:pPr>
        <w:spacing w:after="40" w:before="40"/>
      </w:pPr>
      <w:r>
        <w:rPr>
          <w:rFonts w:ascii="Times New Roman" w:cs="Times New Roman" w:eastAsia="Times New Roman" w:hAnsi="Times New Roman"/>
          <w:sz w:val="28"/>
          <w:szCs w:val="28"/>
        </w:rPr>
        <w:t xml:space="preserve">Nungambakkam, Chennai-34			Nungambakkam, Chennai-34</w:t>
      </w:r>
    </w:p>
    <w:p>
      <w:r>
        <w:br w:type="page"/>
      </w:r>
    </w:p>
    <w:p>
      <w:pPr>
        <w:spacing w:after="200" w:before="0"/>
        <w:jc w:val="center"/>
      </w:pPr>
      <w:r>
        <w:rPr>
          <w:rFonts w:ascii="Times New Roman" w:cs="Times New Roman" w:eastAsia="Times New Roman" w:hAnsi="Times New Roman"/>
          <w:b/>
          <w:bCs/>
          <w:i w:val="false"/>
          <w:iCs w:val="false"/>
          <w:color w:val="000000"/>
          <w:sz w:val="28"/>
          <w:szCs w:val="28"/>
        </w:rPr>
        <w:t xml:space="preserve">ACKNOWLEDGEMENT</w:t>
      </w:r>
    </w:p>
    <w:p>
      <w:pPr>
        <w:spacing w:after="100" w:before="80" w:line="276"/>
        <w:jc w:val="both"/>
      </w:pPr>
      <w:r>
        <w:rPr>
          <w:rFonts w:ascii="Times New Roman" w:cs="Times New Roman" w:eastAsia="Times New Roman" w:hAnsi="Times New Roman"/>
          <w:color w:val="000000"/>
          <w:sz w:val="22"/>
          <w:szCs w:val="22"/>
        </w:rPr>
        <w:t xml:space="preserve">First of all, we thank The Lord Almighty for showering His blessings upon us, enabling us to complete this project successfully.</w:t>
      </w:r>
    </w:p>
    <w:p>
      <w:pPr>
        <w:spacing w:after="100" w:before="60" w:line="276"/>
        <w:jc w:val="both"/>
      </w:pPr>
      <w:r>
        <w:rPr>
          <w:rFonts w:ascii="Times New Roman" w:cs="Times New Roman" w:eastAsia="Times New Roman" w:hAnsi="Times New Roman"/>
          <w:color w:val="000000"/>
          <w:sz w:val="22"/>
          <w:szCs w:val="22"/>
        </w:rPr>
        <w:t xml:space="preserve">We express our sincere gratitude to our beloved and respected Director, Rev. Dr. Justine SJ. We wish to acknowledge with thanks to our college Dean of Students, Rev. Dr. Albert William SJ, for his support and encouragement throughout this endeavour.</w:t>
      </w:r>
    </w:p>
    <w:p>
      <w:pPr>
        <w:spacing w:after="100" w:before="60" w:line="276"/>
        <w:jc w:val="both"/>
      </w:pPr>
      <w:r>
        <w:rPr>
          <w:rFonts w:ascii="Times New Roman" w:cs="Times New Roman" w:eastAsia="Times New Roman" w:hAnsi="Times New Roman"/>
          <w:color w:val="000000"/>
          <w:sz w:val="22"/>
          <w:szCs w:val="22"/>
        </w:rPr>
        <w:t xml:space="preserve">We extend our sincere gratitude to Dr. A. Baskar, Principal, for his motivation and support towards this project.</w:t>
      </w:r>
    </w:p>
    <w:p>
      <w:pPr>
        <w:spacing w:after="100" w:before="60" w:line="276"/>
        <w:jc w:val="both"/>
      </w:pPr>
      <w:r>
        <w:rPr>
          <w:rFonts w:ascii="Times New Roman" w:cs="Times New Roman" w:eastAsia="Times New Roman" w:hAnsi="Times New Roman"/>
          <w:color w:val="000000"/>
          <w:sz w:val="22"/>
          <w:szCs w:val="22"/>
        </w:rPr>
        <w:t xml:space="preserve">We express our sincere gratitude to the Head of the Department of Information Technology, Ms. Sherril Sophie Maria Vincent, for her constant support, motivation, encouragement and for being a source of inspiration throughout this project and during the course of this semester.</w:t>
      </w:r>
    </w:p>
    <w:p>
      <w:pPr>
        <w:spacing w:after="100" w:before="60" w:line="276"/>
        <w:jc w:val="both"/>
      </w:pPr>
      <w:r>
        <w:rPr>
          <w:rFonts w:ascii="Times New Roman" w:cs="Times New Roman" w:eastAsia="Times New Roman" w:hAnsi="Times New Roman"/>
          <w:color w:val="000000"/>
          <w:sz w:val="22"/>
          <w:szCs w:val="22"/>
        </w:rPr>
        <w:t xml:space="preserve">Our sincere thanks to our Project Coordinator [COORDINATOR NAME] for her valuable guidance in shaping this project.</w:t>
      </w:r>
    </w:p>
    <w:p>
      <w:pPr>
        <w:spacing w:after="200" w:before="60" w:line="276"/>
        <w:jc w:val="both"/>
      </w:pPr>
      <w:r>
        <w:rPr>
          <w:rFonts w:ascii="Times New Roman" w:cs="Times New Roman" w:eastAsia="Times New Roman" w:hAnsi="Times New Roman"/>
          <w:color w:val="000000"/>
          <w:sz w:val="22"/>
          <w:szCs w:val="22"/>
        </w:rPr>
        <w:t xml:space="preserve">We also take this opportunity to thank all the Faculty and Non-teaching staff members of the Department of Information Technology for their constant support. Finally, we thank each and every one who helped us to complete this project.</w:t>
      </w:r>
    </w:p>
    <w:p>
      <w:pPr>
        <w:spacing w:after="40" w:before="200"/>
      </w:pPr>
      <w:r>
        <w:rPr>
          <w:rFonts w:ascii="Times New Roman" w:cs="Times New Roman" w:eastAsia="Times New Roman" w:hAnsi="Times New Roman"/>
          <w:b/>
          <w:bCs/>
          <w:sz w:val="22"/>
          <w:szCs w:val="22"/>
        </w:rPr>
        <w:t xml:space="preserve">[STUDENT NAME 1]</w:t>
      </w:r>
    </w:p>
    <w:p>
      <w:pPr>
        <w:spacing w:after="40" w:before="40"/>
      </w:pPr>
      <w:r>
        <w:rPr>
          <w:rFonts w:ascii="Times New Roman" w:cs="Times New Roman" w:eastAsia="Times New Roman" w:hAnsi="Times New Roman"/>
          <w:b/>
          <w:bCs/>
          <w:sz w:val="22"/>
          <w:szCs w:val="22"/>
        </w:rPr>
        <w:t xml:space="preserve">[STUDENT NAME 2]</w:t>
      </w:r>
    </w:p>
    <w:p>
      <w:pPr>
        <w:spacing w:after="0" w:before="40"/>
      </w:pPr>
      <w:r>
        <w:rPr>
          <w:rFonts w:ascii="Times New Roman" w:cs="Times New Roman" w:eastAsia="Times New Roman" w:hAnsi="Times New Roman"/>
          <w:b/>
          <w:bCs/>
          <w:sz w:val="22"/>
          <w:szCs w:val="22"/>
        </w:rPr>
        <w:t xml:space="preserve">[STUDENT NAME 3]</w:t>
      </w:r>
    </w:p>
    <w:p>
      <w:r>
        <w:br w:type="page"/>
      </w:r>
    </w:p>
    <w:p>
      <w:pPr>
        <w:spacing w:after="200" w:before="0"/>
        <w:jc w:val="center"/>
      </w:pPr>
      <w:r>
        <w:rPr>
          <w:rFonts w:ascii="Times New Roman" w:cs="Times New Roman" w:eastAsia="Times New Roman" w:hAnsi="Times New Roman"/>
          <w:b/>
          <w:bCs/>
          <w:i w:val="false"/>
          <w:iCs w:val="false"/>
          <w:color w:val="000000"/>
          <w:sz w:val="28"/>
          <w:szCs w:val="28"/>
        </w:rPr>
        <w:t xml:space="preserve">ABSTRACT</w:t>
      </w:r>
    </w:p>
    <w:p>
      <w:pPr>
        <w:spacing w:after="100" w:before="80" w:line="276"/>
        <w:jc w:val="both"/>
      </w:pPr>
      <w:r>
        <w:rPr>
          <w:rFonts w:ascii="Times New Roman" w:cs="Times New Roman" w:eastAsia="Times New Roman" w:hAnsi="Times New Roman"/>
          <w:color w:val="000000"/>
          <w:sz w:val="22"/>
          <w:szCs w:val="22"/>
        </w:rPr>
        <w:t xml:space="preserve">The administration of academic peer-reviewed conferences requires coordinated execution across multiple interdependent operational phases: manuscript ingestion, conflict-free reviewer assignment, double-blind peer evaluation, editorial decision-making, fee collection and session scheduling. Legacy conference management systems frequently suffer from usability friction, convoluted interfaces, monolithic architectures and excessive runtime overhead that complicates localised deployment in institutional environments.</w:t>
      </w:r>
    </w:p>
    <w:p>
      <w:pPr>
        <w:spacing w:after="100" w:before="60" w:line="276"/>
        <w:jc w:val="both"/>
      </w:pPr>
      <w:r>
        <w:rPr>
          <w:rFonts w:ascii="Times New Roman" w:cs="Times New Roman" w:eastAsia="Times New Roman" w:hAnsi="Times New Roman"/>
          <w:color w:val="000000"/>
          <w:sz w:val="22"/>
          <w:szCs w:val="22"/>
        </w:rPr>
        <w:t xml:space="preserve">This project presents ConfMan, an end-to-end, lightweight, yet functionally comprehensive Conference Management System implemented using Python 3.10+, Flask 3.0+ and SQLite3. The system is engineered around a modular three-tier architecture that decouples web presentation and routing from core domain rules and relational data access. ConfMan implements fine-grained Role-Based Access Control across five distinct user personas: Administrator, Program Chair, Reviewer, Author and Attendee.</w:t>
      </w:r>
    </w:p>
    <w:p>
      <w:pPr>
        <w:spacing w:after="100" w:before="60" w:line="276"/>
        <w:jc w:val="both"/>
      </w:pPr>
      <w:r>
        <w:rPr>
          <w:rFonts w:ascii="Times New Roman" w:cs="Times New Roman" w:eastAsia="Times New Roman" w:hAnsi="Times New Roman"/>
          <w:color w:val="000000"/>
          <w:sz w:val="22"/>
          <w:szCs w:val="22"/>
        </w:rPr>
        <w:t xml:space="preserve">Core technical capabilities include an automated reviewer assignment engine driven by keyword and track expertise matching with reviewer workload balancing; an automated editorial decision support system based on score thresholds; strict enforcement of double-blind review constraints and conflict-of-interest prevention; a conference registration engine with dynamic early-bird discount calculation; a payment processing workflow with Luhn algorithm validation and mock gateway interaction; and a conference scheduling module with automated room clash and timeslot collision detection.</w:t>
      </w:r>
    </w:p>
    <w:p>
      <w:pPr>
        <w:spacing w:after="100" w:before="60" w:line="276"/>
        <w:jc w:val="both"/>
      </w:pPr>
      <w:r>
        <w:rPr>
          <w:rFonts w:ascii="Times New Roman" w:cs="Times New Roman" w:eastAsia="Times New Roman" w:hAnsi="Times New Roman"/>
          <w:color w:val="000000"/>
          <w:sz w:val="22"/>
          <w:szCs w:val="22"/>
        </w:rPr>
        <w:t xml:space="preserve">The system is validated through an extensive test suite comprising 67 unit and integration tests executing across two test modules, achieving a complete pass rate and verifying business invariants including state transitions, authorisation boundaries and numerical calculations. The repository incorporates a realistic historical demo data generator simulating 3 conferences, 25 users, 30 scholarly papers and 14 payments over a 75-day chronological continuum. The resulting system demonstrates that enterprise-grade scholarly conference management workflows can be realised with zero external runtime dependencies beyond the Flask framework.</w:t>
      </w:r>
    </w:p>
    <w:p>
      <w:r>
        <w:br w:type="page"/>
      </w:r>
    </w:p>
    <w:p>
      <w:pPr>
        <w:spacing w:after="200" w:before="0"/>
        <w:jc w:val="center"/>
      </w:pPr>
      <w:r>
        <w:rPr>
          <w:rFonts w:ascii="Times New Roman" w:cs="Times New Roman" w:eastAsia="Times New Roman" w:hAnsi="Times New Roman"/>
          <w:b/>
          <w:bCs/>
          <w:i w:val="false"/>
          <w:iCs w:val="false"/>
          <w:color w:val="000000"/>
          <w:sz w:val="28"/>
          <w:szCs w:val="28"/>
        </w:rPr>
        <w:t xml:space="preserve">TABLE OF CONTENTS</w:t>
      </w:r>
    </w:p>
    <w:tbl>
      <w:tblPr>
        <w:tblW w:type="pct" w:w="100%"/>
        <w:tblBorders>
          <w:top w:val="single" w:color="000000" w:sz="4"/>
          <w:left w:val="single" w:color="000000" w:sz="4"/>
          <w:bottom w:val="single" w:color="000000" w:sz="4"/>
          <w:right w:val="single" w:color="000000" w:sz="4"/>
          <w:insideH w:val="single" w:color="000000" w:sz="2"/>
          <w:insideV w:val="single" w:color="000000" w:sz="2"/>
        </w:tblBorders>
        <w:tblLayout w:type="fixed"/>
      </w:tblPr>
      <w:tblGrid>
        <w:gridCol w:w="100"/>
        <w:gridCol w:w="100"/>
        <w:gridCol w:w="100"/>
      </w:tblGrid>
      <w:tr>
        <w:trPr>
          <w:tblHeader/>
        </w:trPr>
        <w:tc>
          <w:tcPr>
            <w:tcW w:type="pct" w:w="012"/>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CHAPTER NO.</w:t>
            </w:r>
          </w:p>
        </w:tc>
        <w:tc>
          <w:tcPr>
            <w:tcW w:type="pct" w:w="070"/>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TITLE</w:t>
            </w:r>
          </w:p>
        </w:tc>
        <w:tc>
          <w:tcPr>
            <w:tcW w:type="pct" w:w="01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PAGE NO.</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ABSTRACT</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iv</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LIST OF FIGURES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vii</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LIST OF TABLES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viii</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LIST OF ABBREVIATIONS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ix</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INTRODUCTION</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1.1</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Introduction</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1.2</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Problem Statement</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1.3</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Objectives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1.4</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Scope</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REQUIREMENTS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3</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2.1</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Functional Requirements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3</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2.2</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Non-Functional Requirements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4</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2.3</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Hardware Requirements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5</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2.4</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Software Requirements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5</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3</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ANALYSIS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6</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3.1</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Existing System</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6</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3.2</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Proposed System</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6</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3.3</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Bull Diagram</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7</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3.4</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Octopus Diagram</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8</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4</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SYSTEM DESIGN</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9</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4.1</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System Architecture</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9</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4.2</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Data Flow Diagram</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9</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4.3</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Use Case Diagram</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10</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4.4</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Component Diagram</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11</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4.5</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Sequence Diagram</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12</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4.6</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Activity Diagram</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12</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4.7</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Database Entity Relationship Diagram</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13</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5</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MODULE DESCRIPTION</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14</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5.1</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User and Authentication Module</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14</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5.2</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Conference and Track Management Module</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14</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5.3</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Manuscript Ingestion Module</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15</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5.4</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Reviewer Assignment Module</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15</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5.5</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Peer Review and Editorial Decision Module</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15</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5.6</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Registration and Fee Calculation Module</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16</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5.7</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Payment Processing Module</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16</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5.8</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Session Scheduling Module</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16</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5.9</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Analytics and Insights Module</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17</w:t>
            </w:r>
          </w:p>
        </w:tc>
      </w:tr>
    </w:tbl>
    <w:p>
      <w:r>
        <w:br w:type="page"/>
      </w:r>
    </w:p>
    <w:p>
      <w:pPr>
        <w:spacing w:after="200" w:before="0"/>
        <w:jc w:val="center"/>
      </w:pPr>
      <w:r>
        <w:rPr>
          <w:rFonts w:ascii="Times New Roman" w:cs="Times New Roman" w:eastAsia="Times New Roman" w:hAnsi="Times New Roman"/>
          <w:b/>
          <w:bCs/>
          <w:i w:val="false"/>
          <w:iCs w:val="false"/>
          <w:color w:val="000000"/>
          <w:sz w:val="28"/>
          <w:szCs w:val="28"/>
        </w:rPr>
        <w:t xml:space="preserve">TABLE OF CONTENTS (continued)</w:t>
      </w:r>
    </w:p>
    <w:tbl>
      <w:tblPr>
        <w:tblW w:type="pct" w:w="100%"/>
        <w:tblBorders>
          <w:top w:val="single" w:color="000000" w:sz="4"/>
          <w:left w:val="single" w:color="000000" w:sz="4"/>
          <w:bottom w:val="single" w:color="000000" w:sz="4"/>
          <w:right w:val="single" w:color="000000" w:sz="4"/>
          <w:insideH w:val="single" w:color="000000" w:sz="2"/>
          <w:insideV w:val="single" w:color="000000" w:sz="2"/>
        </w:tblBorders>
        <w:tblLayout w:type="fixed"/>
      </w:tblPr>
      <w:tblGrid>
        <w:gridCol w:w="100"/>
        <w:gridCol w:w="100"/>
        <w:gridCol w:w="100"/>
      </w:tblGrid>
      <w:tr>
        <w:trPr>
          <w:tblHeader/>
        </w:trPr>
        <w:tc>
          <w:tcPr>
            <w:tcW w:type="pct" w:w="012"/>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CHAPTER NO.</w:t>
            </w:r>
          </w:p>
        </w:tc>
        <w:tc>
          <w:tcPr>
            <w:tcW w:type="pct" w:w="070"/>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TITLE</w:t>
            </w:r>
          </w:p>
        </w:tc>
        <w:tc>
          <w:tcPr>
            <w:tcW w:type="pct" w:w="01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PAGE NO.</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6</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IMPLEMENTATION</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18</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6.1</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Application Factory and Architecture</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18</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6.2</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Business Logic Layer</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18</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6.3</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Frontend Implementation</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19</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6.4</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Database Schema and Access Patterns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20</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6.5</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Security Implementation</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20</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6.6</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Deployment</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21</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7</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TESTING AND VERIFICATION</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22</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7.1</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Unit Testing</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22</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7.2</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Functional Testing</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23</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7.3</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Integration Testing</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24</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7.4</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Security Testing</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24</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8</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CONCLUSION AND FUTURE ENHANCEMENTS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25</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8.1</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Conclusion</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25</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8.2</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Limitations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25</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8.3</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Future Enhancements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26</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9</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REFERENCES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27</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10</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APPENDIX</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28</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Project Structure</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28</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B.</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Important Commands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28</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Demo User Credentials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29</w:t>
            </w:r>
          </w:p>
        </w:tc>
      </w:tr>
      <w:tr>
        <w:tc>
          <w:tcPr>
            <w:tcW w:type="pct" w:w="01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Screenshots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29</w:t>
            </w:r>
          </w:p>
        </w:tc>
      </w:tr>
    </w:tbl>
    <w:p>
      <w:r>
        <w:br w:type="page"/>
      </w:r>
    </w:p>
    <w:p>
      <w:pPr>
        <w:spacing w:after="200" w:before="0"/>
        <w:jc w:val="center"/>
      </w:pPr>
      <w:r>
        <w:rPr>
          <w:rFonts w:ascii="Times New Roman" w:cs="Times New Roman" w:eastAsia="Times New Roman" w:hAnsi="Times New Roman"/>
          <w:b/>
          <w:bCs/>
          <w:i w:val="false"/>
          <w:iCs w:val="false"/>
          <w:color w:val="000000"/>
          <w:sz w:val="28"/>
          <w:szCs w:val="28"/>
        </w:rPr>
        <w:t xml:space="preserve">LIST OF FIGURES</w:t>
      </w:r>
    </w:p>
    <w:tbl>
      <w:tblPr>
        <w:tblW w:type="pct" w:w="100%"/>
        <w:tblBorders>
          <w:top w:val="single" w:color="000000" w:sz="4"/>
          <w:left w:val="single" w:color="000000" w:sz="4"/>
          <w:bottom w:val="single" w:color="000000" w:sz="4"/>
          <w:right w:val="single" w:color="000000" w:sz="4"/>
          <w:insideH w:val="single" w:color="000000" w:sz="2"/>
          <w:insideV w:val="single" w:color="000000" w:sz="2"/>
        </w:tblBorders>
        <w:tblLayout w:type="fixed"/>
      </w:tblPr>
      <w:tblGrid>
        <w:gridCol w:w="100"/>
        <w:gridCol w:w="100"/>
        <w:gridCol w:w="100"/>
      </w:tblGrid>
      <w:tr>
        <w:trPr>
          <w:tblHeader/>
        </w:trPr>
        <w:tc>
          <w:tcPr>
            <w:tcW w:type="pct" w:w="015"/>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Figure No.</w:t>
            </w:r>
          </w:p>
        </w:tc>
        <w:tc>
          <w:tcPr>
            <w:tcW w:type="pct" w:w="070"/>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Title</w:t>
            </w:r>
          </w:p>
        </w:tc>
        <w:tc>
          <w:tcPr>
            <w:tcW w:type="pct" w:w="015"/>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Page No.</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3.1</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Bull Diagram</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7</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3.2</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Octopus Diagram</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8</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4.1</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System Architecture</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9</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4.2</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Data Flow Diagram (Level 0)</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10</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4.3</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Use Case Diagram</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11</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4.4</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Component Diagram</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11</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4.5</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Sequence Diagram</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12</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4.6</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Activity Diagram – Paper Lifecycle</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13</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4.7</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Entity Relationship Diagram</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13</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6.1</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Conference Lifecycle Workflow</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21</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D.1</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Dashboard – Home Page and Login Screen</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29</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D.2</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Chair Dashboard – KPI Cards and Submission Queue</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29</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D.3</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Paper Detail View with Review Panel</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30</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D.4</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Payment Checkout and Registration Confirmation</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30</w:t>
            </w:r>
          </w:p>
        </w:tc>
      </w:tr>
    </w:tbl>
    <w:p>
      <w:r>
        <w:br w:type="page"/>
      </w:r>
    </w:p>
    <w:p>
      <w:pPr>
        <w:spacing w:after="200" w:before="0"/>
        <w:jc w:val="center"/>
      </w:pPr>
      <w:r>
        <w:rPr>
          <w:rFonts w:ascii="Times New Roman" w:cs="Times New Roman" w:eastAsia="Times New Roman" w:hAnsi="Times New Roman"/>
          <w:b/>
          <w:bCs/>
          <w:i w:val="false"/>
          <w:iCs w:val="false"/>
          <w:color w:val="000000"/>
          <w:sz w:val="28"/>
          <w:szCs w:val="28"/>
        </w:rPr>
        <w:t xml:space="preserve">LIST OF TABLES</w:t>
      </w:r>
    </w:p>
    <w:tbl>
      <w:tblPr>
        <w:tblW w:type="pct" w:w="100%"/>
        <w:tblBorders>
          <w:top w:val="single" w:color="000000" w:sz="4"/>
          <w:left w:val="single" w:color="000000" w:sz="4"/>
          <w:bottom w:val="single" w:color="000000" w:sz="4"/>
          <w:right w:val="single" w:color="000000" w:sz="4"/>
          <w:insideH w:val="single" w:color="000000" w:sz="2"/>
          <w:insideV w:val="single" w:color="000000" w:sz="2"/>
        </w:tblBorders>
        <w:tblLayout w:type="fixed"/>
      </w:tblPr>
      <w:tblGrid>
        <w:gridCol w:w="100"/>
        <w:gridCol w:w="100"/>
        <w:gridCol w:w="100"/>
      </w:tblGrid>
      <w:tr>
        <w:trPr>
          <w:tblHeader/>
        </w:trPr>
        <w:tc>
          <w:tcPr>
            <w:tcW w:type="pct" w:w="015"/>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Table No.</w:t>
            </w:r>
          </w:p>
        </w:tc>
        <w:tc>
          <w:tcPr>
            <w:tcW w:type="pct" w:w="070"/>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Title</w:t>
            </w:r>
          </w:p>
        </w:tc>
        <w:tc>
          <w:tcPr>
            <w:tcW w:type="pct" w:w="015"/>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Page No.</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2.1</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Tools and Technologies Used</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5</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3.1</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Comparison of Existing and Proposed Systems</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6</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5.1</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Major Project Modules</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14</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6.1</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HTTP API Endpoints</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20</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7.1</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Automated Test Cases (Representative Sample)</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22</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7.2</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Manual Functional Verification Checklist</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23</w:t>
            </w:r>
          </w:p>
        </w:tc>
      </w:tr>
      <w:tr>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8.1</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Implementation Status Summary</w:t>
            </w:r>
          </w:p>
        </w:tc>
        <w:tc>
          <w:tcPr>
            <w:tcW w:type="pct" w:w="01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25</w:t>
            </w:r>
          </w:p>
        </w:tc>
      </w:tr>
    </w:tbl>
    <w:p>
      <w:r>
        <w:br w:type="page"/>
      </w:r>
    </w:p>
    <w:p>
      <w:pPr>
        <w:spacing w:after="200" w:before="0"/>
        <w:jc w:val="center"/>
      </w:pPr>
      <w:r>
        <w:rPr>
          <w:rFonts w:ascii="Times New Roman" w:cs="Times New Roman" w:eastAsia="Times New Roman" w:hAnsi="Times New Roman"/>
          <w:b/>
          <w:bCs/>
          <w:i w:val="false"/>
          <w:iCs w:val="false"/>
          <w:color w:val="000000"/>
          <w:sz w:val="28"/>
          <w:szCs w:val="28"/>
        </w:rPr>
        <w:t xml:space="preserve">LIST OF ABBREVIATIONS</w:t>
      </w:r>
    </w:p>
    <w:tbl>
      <w:tblPr>
        <w:tblW w:type="pct" w:w="100%"/>
        <w:tblBorders>
          <w:top w:val="single" w:color="000000" w:sz="4"/>
          <w:left w:val="single" w:color="000000" w:sz="4"/>
          <w:bottom w:val="single" w:color="000000" w:sz="4"/>
          <w:right w:val="single" w:color="000000" w:sz="4"/>
          <w:insideH w:val="single" w:color="000000" w:sz="2"/>
          <w:insideV w:val="single" w:color="000000" w:sz="2"/>
        </w:tblBorders>
        <w:tblLayout w:type="fixed"/>
      </w:tblPr>
      <w:tblGrid>
        <w:gridCol w:w="100"/>
        <w:gridCol w:w="100"/>
        <w:gridCol w:w="100"/>
      </w:tblGrid>
      <w:tr>
        <w:trPr>
          <w:tblHeader/>
        </w:trPr>
        <w:tc>
          <w:tcPr>
            <w:tcW w:type="pct" w:w="010"/>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S. No.</w:t>
            </w:r>
          </w:p>
        </w:tc>
        <w:tc>
          <w:tcPr>
            <w:tcW w:type="pct" w:w="025"/>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Abbreviation</w:t>
            </w:r>
          </w:p>
        </w:tc>
        <w:tc>
          <w:tcPr>
            <w:tcW w:type="pct" w:w="065"/>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Expansion</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w:t>
            </w:r>
          </w:p>
        </w:tc>
        <w:tc>
          <w:tcPr>
            <w:tcW w:type="pct" w:w="02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API</w:t>
            </w:r>
          </w:p>
        </w:tc>
        <w:tc>
          <w:tcPr>
            <w:tcW w:type="pct" w:w="06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Application Programming Interface</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w:t>
            </w:r>
          </w:p>
        </w:tc>
        <w:tc>
          <w:tcPr>
            <w:tcW w:type="pct" w:w="02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ACID</w:t>
            </w:r>
          </w:p>
        </w:tc>
        <w:tc>
          <w:tcPr>
            <w:tcW w:type="pct" w:w="06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Atomicity, Consistency, Isolation, Durability</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3</w:t>
            </w:r>
          </w:p>
        </w:tc>
        <w:tc>
          <w:tcPr>
            <w:tcW w:type="pct" w:w="02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CFP</w:t>
            </w:r>
          </w:p>
        </w:tc>
        <w:tc>
          <w:tcPr>
            <w:tcW w:type="pct" w:w="06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Call for Papers</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4</w:t>
            </w:r>
          </w:p>
        </w:tc>
        <w:tc>
          <w:tcPr>
            <w:tcW w:type="pct" w:w="02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COI</w:t>
            </w:r>
          </w:p>
        </w:tc>
        <w:tc>
          <w:tcPr>
            <w:tcW w:type="pct" w:w="06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Conflict of Interest</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5</w:t>
            </w:r>
          </w:p>
        </w:tc>
        <w:tc>
          <w:tcPr>
            <w:tcW w:type="pct" w:w="02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CSRF</w:t>
            </w:r>
          </w:p>
        </w:tc>
        <w:tc>
          <w:tcPr>
            <w:tcW w:type="pct" w:w="06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Cross-Site Request Forgery</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6</w:t>
            </w:r>
          </w:p>
        </w:tc>
        <w:tc>
          <w:tcPr>
            <w:tcW w:type="pct" w:w="02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CSS</w:t>
            </w:r>
          </w:p>
        </w:tc>
        <w:tc>
          <w:tcPr>
            <w:tcW w:type="pct" w:w="06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Cascading Style Sheets</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7</w:t>
            </w:r>
          </w:p>
        </w:tc>
        <w:tc>
          <w:tcPr>
            <w:tcW w:type="pct" w:w="02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CSV</w:t>
            </w:r>
          </w:p>
        </w:tc>
        <w:tc>
          <w:tcPr>
            <w:tcW w:type="pct" w:w="06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Comma-Separated Values</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8</w:t>
            </w:r>
          </w:p>
        </w:tc>
        <w:tc>
          <w:tcPr>
            <w:tcW w:type="pct" w:w="02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DDL</w:t>
            </w:r>
          </w:p>
        </w:tc>
        <w:tc>
          <w:tcPr>
            <w:tcW w:type="pct" w:w="06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Data Definition Language</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9</w:t>
            </w:r>
          </w:p>
        </w:tc>
        <w:tc>
          <w:tcPr>
            <w:tcW w:type="pct" w:w="02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FK</w:t>
            </w:r>
          </w:p>
        </w:tc>
        <w:tc>
          <w:tcPr>
            <w:tcW w:type="pct" w:w="06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Foreign Key</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10</w:t>
            </w:r>
          </w:p>
        </w:tc>
        <w:tc>
          <w:tcPr>
            <w:tcW w:type="pct" w:w="02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HTML</w:t>
            </w:r>
          </w:p>
        </w:tc>
        <w:tc>
          <w:tcPr>
            <w:tcW w:type="pct" w:w="06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HyperText Markup Language</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11</w:t>
            </w:r>
          </w:p>
        </w:tc>
        <w:tc>
          <w:tcPr>
            <w:tcW w:type="pct" w:w="02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HTTP</w:t>
            </w:r>
          </w:p>
        </w:tc>
        <w:tc>
          <w:tcPr>
            <w:tcW w:type="pct" w:w="06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HyperText Transfer Protocol</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12</w:t>
            </w:r>
          </w:p>
        </w:tc>
        <w:tc>
          <w:tcPr>
            <w:tcW w:type="pct" w:w="02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INR</w:t>
            </w:r>
          </w:p>
        </w:tc>
        <w:tc>
          <w:tcPr>
            <w:tcW w:type="pct" w:w="06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Indian National Rupee</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13</w:t>
            </w:r>
          </w:p>
        </w:tc>
        <w:tc>
          <w:tcPr>
            <w:tcW w:type="pct" w:w="02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PAN</w:t>
            </w:r>
          </w:p>
        </w:tc>
        <w:tc>
          <w:tcPr>
            <w:tcW w:type="pct" w:w="06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Primary Account Number</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14</w:t>
            </w:r>
          </w:p>
        </w:tc>
        <w:tc>
          <w:tcPr>
            <w:tcW w:type="pct" w:w="02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PK</w:t>
            </w:r>
          </w:p>
        </w:tc>
        <w:tc>
          <w:tcPr>
            <w:tcW w:type="pct" w:w="06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Primary Key</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15</w:t>
            </w:r>
          </w:p>
        </w:tc>
        <w:tc>
          <w:tcPr>
            <w:tcW w:type="pct" w:w="02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RBAC</w:t>
            </w:r>
          </w:p>
        </w:tc>
        <w:tc>
          <w:tcPr>
            <w:tcW w:type="pct" w:w="06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Role-Based Access Control</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16</w:t>
            </w:r>
          </w:p>
        </w:tc>
        <w:tc>
          <w:tcPr>
            <w:tcW w:type="pct" w:w="02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REST</w:t>
            </w:r>
          </w:p>
        </w:tc>
        <w:tc>
          <w:tcPr>
            <w:tcW w:type="pct" w:w="06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Representational State Transfer</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17</w:t>
            </w:r>
          </w:p>
        </w:tc>
        <w:tc>
          <w:tcPr>
            <w:tcW w:type="pct" w:w="02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SQL</w:t>
            </w:r>
          </w:p>
        </w:tc>
        <w:tc>
          <w:tcPr>
            <w:tcW w:type="pct" w:w="06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Structured Query Language</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18</w:t>
            </w:r>
          </w:p>
        </w:tc>
        <w:tc>
          <w:tcPr>
            <w:tcW w:type="pct" w:w="02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SVG</w:t>
            </w:r>
          </w:p>
        </w:tc>
        <w:tc>
          <w:tcPr>
            <w:tcW w:type="pct" w:w="06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Scalable Vector Graphics</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19</w:t>
            </w:r>
          </w:p>
        </w:tc>
        <w:tc>
          <w:tcPr>
            <w:tcW w:type="pct" w:w="02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UUID</w:t>
            </w:r>
          </w:p>
        </w:tc>
        <w:tc>
          <w:tcPr>
            <w:tcW w:type="pct" w:w="06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Universally Unique Identifier</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20</w:t>
            </w:r>
          </w:p>
        </w:tc>
        <w:tc>
          <w:tcPr>
            <w:tcW w:type="pct" w:w="02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WSGI</w:t>
            </w:r>
          </w:p>
        </w:tc>
        <w:tc>
          <w:tcPr>
            <w:tcW w:type="pct" w:w="065"/>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Web Server Gateway Interface</w:t>
            </w:r>
          </w:p>
        </w:tc>
      </w:tr>
    </w:tbl>
    <w:p>
      <w:pPr>
        <w:sectPr>
          <w:footerReference w:type="default" r:id="rId7"/>
          <w:pgSz w:w="12240" w:h="15840" w:orient="portrait"/>
          <w:pgMar w:top="1224" w:right="1152" w:bottom="1152" w:left="1440" w:header="708" w:footer="648" w:gutter="0"/>
          <w:pgNumType w:start="1" w:fmt="lowerRoman"/>
          <w:docGrid w:linePitch="360"/>
        </w:sectPr>
      </w:pPr>
    </w:p>
    <w:p>
      <w:pPr>
        <w:spacing w:after="240" w:before="0"/>
        <w:jc w:val="center"/>
      </w:pPr>
      <w:r>
        <w:rPr>
          <w:rFonts w:ascii="Times New Roman" w:cs="Times New Roman" w:eastAsia="Times New Roman" w:hAnsi="Times New Roman"/>
          <w:b/>
          <w:bCs/>
          <w:color w:val="000000"/>
          <w:sz w:val="28"/>
          <w:szCs w:val="28"/>
        </w:rPr>
        <w:t xml:space="preserve">CHAPTER 1: INTRODUCTION</w:t>
      </w:r>
    </w:p>
    <w:p>
      <w:pPr>
        <w:spacing w:after="100" w:before="200"/>
        <w:jc w:val="left"/>
      </w:pPr>
      <w:r>
        <w:rPr>
          <w:rFonts w:ascii="Times New Roman" w:cs="Times New Roman" w:eastAsia="Times New Roman" w:hAnsi="Times New Roman"/>
          <w:b/>
          <w:bCs/>
          <w:color w:val="000000"/>
          <w:sz w:val="24"/>
          <w:szCs w:val="24"/>
        </w:rPr>
        <w:t xml:space="preserve">1.1 INTRODUCTION</w:t>
      </w:r>
    </w:p>
    <w:p>
      <w:pPr>
        <w:spacing w:after="80" w:before="60" w:line="276"/>
        <w:jc w:val="both"/>
      </w:pPr>
      <w:r>
        <w:rPr>
          <w:rFonts w:ascii="Times New Roman" w:cs="Times New Roman" w:eastAsia="Times New Roman" w:hAnsi="Times New Roman"/>
          <w:color w:val="000000"/>
          <w:sz w:val="22"/>
          <w:szCs w:val="22"/>
        </w:rPr>
        <w:t xml:space="preserve">Academic conferences constitute the primary dissemination channel for rapidly advancing scientific disciplines, particularly in computer science and engineering. Organising a contemporary conference entails managing complex, non-linear workflows: configuring tracks, accepting scholarly submissions, maintaining double-blind peer review integrity, resolving reviewer–author conflicts of interest (COI), orchestrating reviewer bidding and assignment, computing aggregate review scores, rendering editorial decisions, processing tiered registrations with early-bird discounts, verifying payment transactions and compiling accepted papers into multi-session presentation programmes without room or timeslot collisions.</w:t>
      </w:r>
    </w:p>
    <w:p>
      <w:pPr>
        <w:spacing w:after="80" w:before="60" w:line="276"/>
        <w:jc w:val="both"/>
      </w:pPr>
      <w:r>
        <w:rPr>
          <w:rFonts w:ascii="Times New Roman" w:cs="Times New Roman" w:eastAsia="Times New Roman" w:hAnsi="Times New Roman"/>
          <w:color w:val="000000"/>
          <w:sz w:val="22"/>
          <w:szCs w:val="22"/>
        </w:rPr>
        <w:t xml:space="preserve">ConfMan is a fully realised, self-contained, multi-role conference management web application engineered to address these operational requirements without the operational weight, licensing friction or hosting complexity of legacy enterprise platforms. The system is implemented using Python 3.10+, Flask 3.0+ and SQLite3, adhering strictly to the separation of concerns principle. ConfMan encapsulates all business logic within a framework-agnostic service layer (cms_app/services.py), leverages analytical read models for real-time dashboards (cms_app/insights.py), provides role-based user interfaces and utilises SQLite3 with ACID transactions and schema-level relational constraints.</w:t>
      </w:r>
    </w:p>
    <w:p>
      <w:pPr>
        <w:spacing w:after="80" w:before="60" w:line="276"/>
        <w:jc w:val="both"/>
      </w:pPr>
      <w:r>
        <w:rPr>
          <w:rFonts w:ascii="Times New Roman" w:cs="Times New Roman" w:eastAsia="Times New Roman" w:hAnsi="Times New Roman"/>
          <w:color w:val="000000"/>
          <w:sz w:val="22"/>
          <w:szCs w:val="22"/>
        </w:rPr>
        <w:t xml:space="preserve">The system natively supports five distinct actors with strictly enforced Role-Based Access Control: System Administrator, Program Committee Chair, Reviewer, Author and Conference Attendee. Together, these roles cover the complete academic conference lifecycle from call-for-papers through manuscript review, editorial decision, registration and payment, to final session scheduling and programme publication.</w:t>
      </w:r>
    </w:p>
    <w:p>
      <w:pPr>
        <w:spacing w:after="100" w:before="200"/>
        <w:jc w:val="left"/>
      </w:pPr>
      <w:r>
        <w:rPr>
          <w:rFonts w:ascii="Times New Roman" w:cs="Times New Roman" w:eastAsia="Times New Roman" w:hAnsi="Times New Roman"/>
          <w:b/>
          <w:bCs/>
          <w:color w:val="000000"/>
          <w:sz w:val="24"/>
          <w:szCs w:val="24"/>
        </w:rPr>
        <w:t xml:space="preserve">1.2 PROBLEM STATEMENT</w:t>
      </w:r>
    </w:p>
    <w:p>
      <w:pPr>
        <w:spacing w:after="80" w:before="60" w:line="276"/>
        <w:jc w:val="both"/>
      </w:pPr>
      <w:r>
        <w:rPr>
          <w:rFonts w:ascii="Times New Roman" w:cs="Times New Roman" w:eastAsia="Times New Roman" w:hAnsi="Times New Roman"/>
          <w:color w:val="000000"/>
          <w:sz w:val="22"/>
          <w:szCs w:val="22"/>
        </w:rPr>
        <w:t xml:space="preserve">Traditional academic conference coordination workflows are characterised by administrative fragmentation, manual communication bottlenecks and inadequate automated validation. The principal challenges include:</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Workload Imbalance. </w:t>
      </w:r>
      <w:r>
        <w:rPr>
          <w:rFonts w:ascii="Times New Roman" w:cs="Times New Roman" w:eastAsia="Times New Roman" w:hAnsi="Times New Roman"/>
          <w:color w:val="000000"/>
          <w:sz w:val="22"/>
          <w:szCs w:val="22"/>
        </w:rPr>
        <w:t xml:space="preserve">Manual reviewer assignment without real-time visibility into workloads leads to reviewer burnout, missed deadlines and low evaluation quality.</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Conflict of Interest Vulnerabilities. </w:t>
      </w:r>
      <w:r>
        <w:rPr>
          <w:rFonts w:ascii="Times New Roman" w:cs="Times New Roman" w:eastAsia="Times New Roman" w:hAnsi="Times New Roman"/>
          <w:color w:val="000000"/>
          <w:sz w:val="22"/>
          <w:szCs w:val="22"/>
        </w:rPr>
        <w:t xml:space="preserve">Manual or spreadsheet-based systems allow authors to be inadvertently assigned to review their own papers or those of institutional colleagues.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Double-Blind Integrity Violations. </w:t>
      </w:r>
      <w:r>
        <w:rPr>
          <w:rFonts w:ascii="Times New Roman" w:cs="Times New Roman" w:eastAsia="Times New Roman" w:hAnsi="Times New Roman"/>
          <w:color w:val="000000"/>
          <w:sz w:val="22"/>
          <w:szCs w:val="22"/>
        </w:rPr>
        <w:t xml:space="preserve">Author identities and reviewer critiques are frequently exposed prematurely in manual workflows, introducing prestige bias into scholarly evaluation.</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Complex Registration and Fee Reconciliation. </w:t>
      </w:r>
      <w:r>
        <w:rPr>
          <w:rFonts w:ascii="Times New Roman" w:cs="Times New Roman" w:eastAsia="Times New Roman" w:hAnsi="Times New Roman"/>
          <w:color w:val="000000"/>
          <w:sz w:val="22"/>
          <w:szCs w:val="22"/>
        </w:rPr>
        <w:t xml:space="preserve">Calculating early-bird versus standard fees across diverse attendee categories requires cumbersome financial reconciliation and is prone to arithmetic errors.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Scheduling and Venue Clashes. </w:t>
      </w:r>
      <w:r>
        <w:rPr>
          <w:rFonts w:ascii="Times New Roman" w:cs="Times New Roman" w:eastAsia="Times New Roman" w:hAnsi="Times New Roman"/>
          <w:color w:val="000000"/>
          <w:sz w:val="22"/>
          <w:szCs w:val="22"/>
        </w:rPr>
        <w:t xml:space="preserve">Manually organising accepted papers into rooms and timeslots frequently produces room double-booking, over-capacity allocations or scheduling papers whose authors have not registered.</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Administrative Overhead. </w:t>
      </w:r>
      <w:r>
        <w:rPr>
          <w:rFonts w:ascii="Times New Roman" w:cs="Times New Roman" w:eastAsia="Times New Roman" w:hAnsi="Times New Roman"/>
          <w:color w:val="000000"/>
          <w:sz w:val="22"/>
          <w:szCs w:val="22"/>
        </w:rPr>
        <w:t xml:space="preserve">Existing enterprise systems (EasyChair, EDAS, HotCRP) require dedicated database servers, message brokers and paid subscriptions, creating substantial hurdles for lightweight deployment in university departments.</w:t>
      </w:r>
    </w:p>
    <w:p>
      <w:pPr>
        <w:spacing w:after="100" w:before="200"/>
        <w:jc w:val="left"/>
      </w:pPr>
      <w:r>
        <w:rPr>
          <w:rFonts w:ascii="Times New Roman" w:cs="Times New Roman" w:eastAsia="Times New Roman" w:hAnsi="Times New Roman"/>
          <w:b/>
          <w:bCs/>
          <w:color w:val="000000"/>
          <w:sz w:val="24"/>
          <w:szCs w:val="24"/>
        </w:rPr>
        <w:t xml:space="preserve">1.3 OBJECTIVES</w:t>
      </w:r>
    </w:p>
    <w:p>
      <w:pPr>
        <w:spacing w:after="80" w:before="60" w:line="276"/>
        <w:jc w:val="both"/>
      </w:pPr>
      <w:r>
        <w:rPr>
          <w:rFonts w:ascii="Times New Roman" w:cs="Times New Roman" w:eastAsia="Times New Roman" w:hAnsi="Times New Roman"/>
          <w:color w:val="000000"/>
          <w:sz w:val="22"/>
          <w:szCs w:val="22"/>
        </w:rPr>
        <w:t xml:space="preserve">The main objectives of the ConfMan project are:</w:t>
      </w:r>
    </w:p>
    <w:p>
      <w:pPr>
        <w:spacing w:after="40" w:before="40" w:line="260"/>
        <w:ind w:left="720" w:hanging="360"/>
        <w:jc w:val="both"/>
      </w:pPr>
      <w:r>
        <w:rPr>
          <w:rFonts w:ascii="Times New Roman" w:cs="Times New Roman" w:eastAsia="Times New Roman" w:hAnsi="Times New Roman"/>
          <w:color w:val="000000"/>
          <w:sz w:val="22"/>
          <w:szCs w:val="22"/>
        </w:rPr>
        <w:t xml:space="preserve">1.	To develop a multi-role relational web application supporting users, conferences, tracks, papers, review assignments, reviews, decisions, registrations, payments, sessions and presentations with full foreign-key referential integrity.</w:t>
      </w:r>
    </w:p>
    <w:p>
      <w:pPr>
        <w:spacing w:after="40" w:before="40" w:line="260"/>
        <w:ind w:left="720" w:hanging="360"/>
        <w:jc w:val="both"/>
      </w:pPr>
      <w:r>
        <w:rPr>
          <w:rFonts w:ascii="Times New Roman" w:cs="Times New Roman" w:eastAsia="Times New Roman" w:hAnsi="Times New Roman"/>
          <w:color w:val="000000"/>
          <w:sz w:val="22"/>
          <w:szCs w:val="22"/>
        </w:rPr>
        <w:t xml:space="preserve">2.	To enforce Role-Based Access Control using declarative decorators and session verification, preventing unauthorised privilege escalation.</w:t>
      </w:r>
    </w:p>
    <w:p>
      <w:pPr>
        <w:spacing w:after="40" w:before="40" w:line="260"/>
        <w:ind w:left="720" w:hanging="360"/>
        <w:jc w:val="both"/>
      </w:pPr>
      <w:r>
        <w:rPr>
          <w:rFonts w:ascii="Times New Roman" w:cs="Times New Roman" w:eastAsia="Times New Roman" w:hAnsi="Times New Roman"/>
          <w:color w:val="000000"/>
          <w:sz w:val="22"/>
          <w:szCs w:val="22"/>
        </w:rPr>
        <w:t xml:space="preserve">3.	To implement both manual reviewer selection and a greedy automated assignment algorithm that ranks candidates based on keyword and track expertise overlap while enforcing capacity limits and COI prevention.</w:t>
      </w:r>
    </w:p>
    <w:p>
      <w:pPr>
        <w:spacing w:after="40" w:before="40" w:line="260"/>
        <w:ind w:left="720" w:hanging="360"/>
        <w:jc w:val="both"/>
      </w:pPr>
      <w:r>
        <w:rPr>
          <w:rFonts w:ascii="Times New Roman" w:cs="Times New Roman" w:eastAsia="Times New Roman" w:hAnsi="Times New Roman"/>
          <w:color w:val="000000"/>
          <w:sz w:val="22"/>
          <w:szCs w:val="22"/>
        </w:rPr>
        <w:t xml:space="preserve">4.	To guarantee double-blind review integrity by preventing reviewers from accessing author names and affiliations, and restricting authors from viewing critique details before an official editorial decision is recorded.</w:t>
      </w:r>
    </w:p>
    <w:p>
      <w:pPr>
        <w:spacing w:after="40" w:before="40" w:line="260"/>
        <w:ind w:left="720" w:hanging="360"/>
        <w:jc w:val="both"/>
      </w:pPr>
      <w:r>
        <w:rPr>
          <w:rFonts w:ascii="Times New Roman" w:cs="Times New Roman" w:eastAsia="Times New Roman" w:hAnsi="Times New Roman"/>
          <w:color w:val="000000"/>
          <w:sz w:val="22"/>
          <w:szCs w:val="22"/>
        </w:rPr>
        <w:t xml:space="preserve">5.	To provide algorithmic editorial decision guidance by computing composite average scores and suggesting acceptance, rejection or revision based on empirical score thresholds.</w:t>
      </w:r>
    </w:p>
    <w:p>
      <w:pPr>
        <w:spacing w:after="40" w:before="40" w:line="260"/>
        <w:ind w:left="720" w:hanging="360"/>
        <w:jc w:val="both"/>
      </w:pPr>
      <w:r>
        <w:rPr>
          <w:rFonts w:ascii="Times New Roman" w:cs="Times New Roman" w:eastAsia="Times New Roman" w:hAnsi="Times New Roman"/>
          <w:color w:val="000000"/>
          <w:sz w:val="22"/>
          <w:szCs w:val="22"/>
        </w:rPr>
        <w:t xml:space="preserve">6.	To implement a tiered registration engine with automatic early-bird discount calculation (20% reduction on or before the early-bird deadline).</w:t>
      </w:r>
    </w:p>
    <w:p>
      <w:pPr>
        <w:spacing w:after="40" w:before="40" w:line="260"/>
        <w:ind w:left="720" w:hanging="360"/>
        <w:jc w:val="both"/>
      </w:pPr>
      <w:r>
        <w:rPr>
          <w:rFonts w:ascii="Times New Roman" w:cs="Times New Roman" w:eastAsia="Times New Roman" w:hAnsi="Times New Roman"/>
          <w:color w:val="000000"/>
          <w:sz w:val="22"/>
          <w:szCs w:val="22"/>
        </w:rPr>
        <w:t xml:space="preserve">7.	To simulate secure payment processing with Luhn mod-10 credit card validation, transaction reference generation and zero retention of sensitive card numbers.</w:t>
      </w:r>
    </w:p>
    <w:p>
      <w:pPr>
        <w:spacing w:after="40" w:before="40" w:line="260"/>
        <w:ind w:left="720" w:hanging="360"/>
        <w:jc w:val="both"/>
      </w:pPr>
      <w:r>
        <w:rPr>
          <w:rFonts w:ascii="Times New Roman" w:cs="Times New Roman" w:eastAsia="Times New Roman" w:hAnsi="Times New Roman"/>
          <w:color w:val="000000"/>
          <w:sz w:val="22"/>
          <w:szCs w:val="22"/>
        </w:rPr>
        <w:t xml:space="preserve">8.	To enable clash-free session scheduling with room double-booking detection and mandatory author registration verification before paper scheduling.</w:t>
      </w:r>
    </w:p>
    <w:p>
      <w:pPr>
        <w:spacing w:after="40" w:before="40" w:line="260"/>
        <w:ind w:left="720" w:hanging="360"/>
        <w:jc w:val="both"/>
      </w:pPr>
      <w:r>
        <w:rPr>
          <w:rFonts w:ascii="Times New Roman" w:cs="Times New Roman" w:eastAsia="Times New Roman" w:hAnsi="Times New Roman"/>
          <w:color w:val="000000"/>
          <w:sz w:val="22"/>
          <w:szCs w:val="22"/>
        </w:rPr>
        <w:t xml:space="preserve">9.	To deliver role-specific analytical dashboards with real-time KPI metrics, SVG sparklines and weekly submission time-series charts.</w:t>
      </w:r>
    </w:p>
    <w:p>
      <w:pPr>
        <w:spacing w:after="40" w:before="40" w:line="260"/>
        <w:ind w:left="720" w:hanging="360"/>
        <w:jc w:val="both"/>
      </w:pPr>
      <w:r>
        <w:rPr>
          <w:rFonts w:ascii="Times New Roman" w:cs="Times New Roman" w:eastAsia="Times New Roman" w:hAnsi="Times New Roman"/>
          <w:color w:val="000000"/>
          <w:sz w:val="22"/>
          <w:szCs w:val="22"/>
        </w:rPr>
        <w:t xml:space="preserve">10.	To validate all core business logic through an automated test suite achieving a 100% pass rate across 67 unit and integration test cases.</w:t>
      </w:r>
    </w:p>
    <w:p>
      <w:pPr>
        <w:spacing w:after="100" w:before="200"/>
        <w:jc w:val="left"/>
      </w:pPr>
      <w:r>
        <w:rPr>
          <w:rFonts w:ascii="Times New Roman" w:cs="Times New Roman" w:eastAsia="Times New Roman" w:hAnsi="Times New Roman"/>
          <w:b/>
          <w:bCs/>
          <w:color w:val="000000"/>
          <w:sz w:val="24"/>
          <w:szCs w:val="24"/>
        </w:rPr>
        <w:t xml:space="preserve">1.4 SCOPE</w:t>
      </w:r>
    </w:p>
    <w:p>
      <w:pPr>
        <w:spacing w:after="80" w:before="60" w:line="276"/>
        <w:jc w:val="both"/>
      </w:pPr>
      <w:r>
        <w:rPr>
          <w:rFonts w:ascii="Times New Roman" w:cs="Times New Roman" w:eastAsia="Times New Roman" w:hAnsi="Times New Roman"/>
          <w:color w:val="000000"/>
          <w:sz w:val="22"/>
          <w:szCs w:val="22"/>
        </w:rPr>
        <w:t xml:space="preserve">The scope of ConfMan encompasses five distinct user interaction models. The System Administrator manages global user lifecycle events, toggles account active states, reassigns conference chairs and inspects platform-wide KPI dashboards and security audit logs. The Program Chair creates and configures conferences with submission and early-bird deadlines, defines thematic tracks, assigns reviewers manually or through the automated ranking heuristic, records editorial decisions and schedules accepted papers into sessions.</w:t>
      </w:r>
    </w:p>
    <w:p>
      <w:pPr>
        <w:spacing w:after="80" w:before="60" w:line="276"/>
        <w:jc w:val="both"/>
      </w:pPr>
      <w:r>
        <w:rPr>
          <w:rFonts w:ascii="Times New Roman" w:cs="Times New Roman" w:eastAsia="Times New Roman" w:hAnsi="Times New Roman"/>
          <w:color w:val="000000"/>
          <w:sz w:val="22"/>
          <w:szCs w:val="22"/>
        </w:rPr>
        <w:t xml:space="preserve">The Reviewer browses the pool of manuscripts requiring evaluation, self-assigns through the volunteering mechanism, submits quantitative scores (1–10) and narrative critiques in double-blind mode and tracks pending workload against the maximum quota of five concurrent reviews. The Author submits PDF manuscripts with title, abstract and keywords, monitors real-time submission status, inspects anonymous review feedback after a decision is recorded and registers for the conference. The Attendee discovers conferences, selects a registration tier, completes mock card payment and browses the accepted paper programme.</w:t>
      </w:r>
    </w:p>
    <w:p>
      <w:pPr>
        <w:spacing w:after="80" w:before="60" w:line="276"/>
        <w:jc w:val="both"/>
      </w:pPr>
      <w:r>
        <w:rPr>
          <w:rFonts w:ascii="Times New Roman" w:cs="Times New Roman" w:eastAsia="Times New Roman" w:hAnsi="Times New Roman"/>
          <w:color w:val="000000"/>
          <w:sz w:val="22"/>
          <w:szCs w:val="22"/>
        </w:rPr>
        <w:t xml:space="preserve">The system is designed as a single-node WSGI application backed by SQLite3, without external database daemons, message brokers or JavaScript build pipelines. It is intended as an educational prototype and institutional reference implementation, not as a production replacement for large-scale enterprise conference management platforms.</w:t>
      </w:r>
    </w:p>
    <w:p>
      <w:r>
        <w:br w:type="page"/>
      </w:r>
    </w:p>
    <w:p>
      <w:pPr>
        <w:spacing w:after="240" w:before="0"/>
        <w:jc w:val="center"/>
      </w:pPr>
      <w:r>
        <w:rPr>
          <w:rFonts w:ascii="Times New Roman" w:cs="Times New Roman" w:eastAsia="Times New Roman" w:hAnsi="Times New Roman"/>
          <w:b/>
          <w:bCs/>
          <w:color w:val="000000"/>
          <w:sz w:val="28"/>
          <w:szCs w:val="28"/>
        </w:rPr>
        <w:t xml:space="preserve">CHAPTER 2: REQUIREMENTS</w:t>
      </w:r>
    </w:p>
    <w:p>
      <w:pPr>
        <w:spacing w:after="100" w:before="200"/>
        <w:jc w:val="left"/>
      </w:pPr>
      <w:r>
        <w:rPr>
          <w:rFonts w:ascii="Times New Roman" w:cs="Times New Roman" w:eastAsia="Times New Roman" w:hAnsi="Times New Roman"/>
          <w:b/>
          <w:bCs/>
          <w:color w:val="000000"/>
          <w:sz w:val="24"/>
          <w:szCs w:val="24"/>
        </w:rPr>
        <w:t xml:space="preserve">2.1 FUNCTIONAL REQUIREMENTS</w:t>
      </w:r>
    </w:p>
    <w:p>
      <w:pPr>
        <w:spacing w:after="80" w:before="60" w:line="276"/>
        <w:jc w:val="both"/>
      </w:pPr>
      <w:r>
        <w:rPr>
          <w:rFonts w:ascii="Times New Roman" w:cs="Times New Roman" w:eastAsia="Times New Roman" w:hAnsi="Times New Roman"/>
          <w:color w:val="000000"/>
          <w:sz w:val="22"/>
          <w:szCs w:val="22"/>
        </w:rPr>
        <w:t xml:space="preserve">The system shall implement the following functional capabilities:</w:t>
      </w:r>
    </w:p>
    <w:p>
      <w:pPr>
        <w:spacing w:after="40" w:before="40" w:line="260"/>
        <w:ind w:left="720" w:hanging="360"/>
        <w:jc w:val="both"/>
      </w:pPr>
      <w:r>
        <w:rPr>
          <w:rFonts w:ascii="Times New Roman" w:cs="Times New Roman" w:eastAsia="Times New Roman" w:hAnsi="Times New Roman"/>
          <w:color w:val="000000"/>
          <w:sz w:val="22"/>
          <w:szCs w:val="22"/>
        </w:rPr>
        <w:t xml:space="preserve">1.	User Registration and Role Selection. The system shall allow public users to register as Author, Reviewer or Attendee. Self-registration as Chair or Admin shall be blocked. Passwords shall be at least 8 characters long and contain at least one numeric digit.</w:t>
      </w:r>
    </w:p>
    <w:p>
      <w:pPr>
        <w:spacing w:after="40" w:before="40" w:line="260"/>
        <w:ind w:left="720" w:hanging="360"/>
        <w:jc w:val="both"/>
      </w:pPr>
      <w:r>
        <w:rPr>
          <w:rFonts w:ascii="Times New Roman" w:cs="Times New Roman" w:eastAsia="Times New Roman" w:hAnsi="Times New Roman"/>
          <w:color w:val="000000"/>
          <w:sz w:val="22"/>
          <w:szCs w:val="22"/>
        </w:rPr>
        <w:t xml:space="preserve">2.	User Authentication and Session Security. The system shall authenticate users via email and PBKDF2-HMAC-SHA256 password hash comparison. Deactivated accounts shall be refused login.</w:t>
      </w:r>
    </w:p>
    <w:p>
      <w:pPr>
        <w:spacing w:after="40" w:before="40" w:line="260"/>
        <w:ind w:left="720" w:hanging="360"/>
        <w:jc w:val="both"/>
      </w:pPr>
      <w:r>
        <w:rPr>
          <w:rFonts w:ascii="Times New Roman" w:cs="Times New Roman" w:eastAsia="Times New Roman" w:hAnsi="Times New Roman"/>
          <w:color w:val="000000"/>
          <w:sz w:val="22"/>
          <w:szCs w:val="22"/>
        </w:rPr>
        <w:t xml:space="preserve">3.	Conference Creation and Configuration. Program Chairs and Admins shall create conferences with venue, dates, submission deadline and early-bird deadline, with chronological consistency enforced.</w:t>
      </w:r>
    </w:p>
    <w:p>
      <w:pPr>
        <w:spacing w:after="40" w:before="40" w:line="260"/>
        <w:ind w:left="720" w:hanging="360"/>
        <w:jc w:val="both"/>
      </w:pPr>
      <w:r>
        <w:rPr>
          <w:rFonts w:ascii="Times New Roman" w:cs="Times New Roman" w:eastAsia="Times New Roman" w:hAnsi="Times New Roman"/>
          <w:color w:val="000000"/>
          <w:sz w:val="22"/>
          <w:szCs w:val="22"/>
        </w:rPr>
        <w:t xml:space="preserve">4.	Track Management. Chairs shall add thematic tracks to their conference with uniqueness of track names enforced within each conference.</w:t>
      </w:r>
    </w:p>
    <w:p>
      <w:pPr>
        <w:spacing w:after="40" w:before="40" w:line="260"/>
        <w:ind w:left="720" w:hanging="360"/>
        <w:jc w:val="both"/>
      </w:pPr>
      <w:r>
        <w:rPr>
          <w:rFonts w:ascii="Times New Roman" w:cs="Times New Roman" w:eastAsia="Times New Roman" w:hAnsi="Times New Roman"/>
          <w:color w:val="000000"/>
          <w:sz w:val="22"/>
          <w:szCs w:val="22"/>
        </w:rPr>
        <w:t xml:space="preserve">5.	Manuscript Submission. Authors shall submit papers by selecting a conference and track, providing title (max 200 characters), abstract (min 50 characters), keywords and a PDF document. Submissions shall be refused after the submission deadline.</w:t>
      </w:r>
    </w:p>
    <w:p>
      <w:pPr>
        <w:spacing w:after="40" w:before="40" w:line="260"/>
        <w:ind w:left="720" w:hanging="360"/>
        <w:jc w:val="both"/>
      </w:pPr>
      <w:r>
        <w:rPr>
          <w:rFonts w:ascii="Times New Roman" w:cs="Times New Roman" w:eastAsia="Times New Roman" w:hAnsi="Times New Roman"/>
          <w:color w:val="000000"/>
          <w:sz w:val="22"/>
          <w:szCs w:val="22"/>
        </w:rPr>
        <w:t xml:space="preserve">6.	Manual Reviewer Assignment. Chairs shall manually assign active reviewers. COI prevention (author cannot review own paper), duplicate assignment prevention and the cap of 3 reviewers per paper and 5 pending reviews per reviewer shall be enforced.</w:t>
      </w:r>
    </w:p>
    <w:p>
      <w:pPr>
        <w:spacing w:after="40" w:before="40" w:line="260"/>
        <w:ind w:left="720" w:hanging="360"/>
        <w:jc w:val="both"/>
      </w:pPr>
      <w:r>
        <w:rPr>
          <w:rFonts w:ascii="Times New Roman" w:cs="Times New Roman" w:eastAsia="Times New Roman" w:hAnsi="Times New Roman"/>
          <w:color w:val="000000"/>
          <w:sz w:val="22"/>
          <w:szCs w:val="22"/>
        </w:rPr>
        <w:t xml:space="preserve">7.	Reviewer Volunteering. Reviewers shall browse open papers and self-assign, subject to identical COI, duplicate and capacity constraints as chair assignment.</w:t>
      </w:r>
    </w:p>
    <w:p>
      <w:pPr>
        <w:spacing w:after="40" w:before="40" w:line="260"/>
        <w:ind w:left="720" w:hanging="360"/>
        <w:jc w:val="both"/>
      </w:pPr>
      <w:r>
        <w:rPr>
          <w:rFonts w:ascii="Times New Roman" w:cs="Times New Roman" w:eastAsia="Times New Roman" w:hAnsi="Times New Roman"/>
          <w:color w:val="000000"/>
          <w:sz w:val="22"/>
          <w:szCs w:val="22"/>
        </w:rPr>
        <w:t xml:space="preserve">8.	Automated Reviewer Allocation. A greedy algorithm shall rank candidate reviewers by keyword and track expertise overlap, prioritising lower workload among equally matched candidates, and auto-assign up to 3 reviewers per paper.</w:t>
      </w:r>
    </w:p>
    <w:p>
      <w:pPr>
        <w:spacing w:after="40" w:before="40" w:line="260"/>
        <w:ind w:left="720" w:hanging="360"/>
        <w:jc w:val="both"/>
      </w:pPr>
      <w:r>
        <w:rPr>
          <w:rFonts w:ascii="Times New Roman" w:cs="Times New Roman" w:eastAsia="Times New Roman" w:hAnsi="Times New Roman"/>
          <w:color w:val="000000"/>
          <w:sz w:val="22"/>
          <w:szCs w:val="22"/>
        </w:rPr>
        <w:t xml:space="preserve">9.	Double-Blind Review Evaluation. Reviewers shall evaluate assigned submissions anonymously. Submission shall include an integer score (1–10), narrative critique (min 20 characters) and a recommendation.</w:t>
      </w:r>
    </w:p>
    <w:p>
      <w:pPr>
        <w:spacing w:after="40" w:before="40" w:line="260"/>
        <w:ind w:left="720" w:hanging="360"/>
        <w:jc w:val="both"/>
      </w:pPr>
      <w:r>
        <w:rPr>
          <w:rFonts w:ascii="Times New Roman" w:cs="Times New Roman" w:eastAsia="Times New Roman" w:hAnsi="Times New Roman"/>
          <w:color w:val="000000"/>
          <w:sz w:val="22"/>
          <w:szCs w:val="22"/>
        </w:rPr>
        <w:t xml:space="preserve">10.	Algorithmic Decision Support. The system shall calculate composite review scores and suggest an editorial decision when at least 2 reviews are complete: Accepted (average &gt;= 7.0), Revision Required (5.0–6.9) or Rejected (&lt; 5.0).</w:t>
      </w:r>
    </w:p>
    <w:p>
      <w:pPr>
        <w:spacing w:after="40" w:before="40" w:line="260"/>
        <w:ind w:left="720" w:hanging="360"/>
        <w:jc w:val="both"/>
      </w:pPr>
      <w:r>
        <w:rPr>
          <w:rFonts w:ascii="Times New Roman" w:cs="Times New Roman" w:eastAsia="Times New Roman" w:hAnsi="Times New Roman"/>
          <w:color w:val="000000"/>
          <w:sz w:val="22"/>
          <w:szCs w:val="22"/>
        </w:rPr>
        <w:t xml:space="preserve">11.	Editorial Decision Recording. Chairs shall record binding decisions with optional remarks. Decisions shall require at least 2 completed reviews.</w:t>
      </w:r>
    </w:p>
    <w:p>
      <w:pPr>
        <w:spacing w:after="40" w:before="40" w:line="260"/>
        <w:ind w:left="720" w:hanging="360"/>
        <w:jc w:val="both"/>
      </w:pPr>
      <w:r>
        <w:rPr>
          <w:rFonts w:ascii="Times New Roman" w:cs="Times New Roman" w:eastAsia="Times New Roman" w:hAnsi="Times New Roman"/>
          <w:color w:val="000000"/>
          <w:sz w:val="22"/>
          <w:szCs w:val="22"/>
        </w:rPr>
        <w:t xml:space="preserve">12.	Tiered Conference Registration. The system shall support Student (Rs 500), Academic (Rs 1,000) and Industry (Rs 2,000) tiers with an automatic 20% early-bird discount.</w:t>
      </w:r>
    </w:p>
    <w:p>
      <w:pPr>
        <w:spacing w:after="40" w:before="40" w:line="260"/>
        <w:ind w:left="720" w:hanging="360"/>
        <w:jc w:val="both"/>
      </w:pPr>
      <w:r>
        <w:rPr>
          <w:rFonts w:ascii="Times New Roman" w:cs="Times New Roman" w:eastAsia="Times New Roman" w:hAnsi="Times New Roman"/>
          <w:color w:val="000000"/>
          <w:sz w:val="22"/>
          <w:szCs w:val="22"/>
        </w:rPr>
        <w:t xml:space="preserve">13.	Payment Processing Simulation. The system shall validate credit card numbers using the Luhn mod-10 algorithm, decline numbers ending in 0002 via the mock gateway and never persist card numbers.</w:t>
      </w:r>
    </w:p>
    <w:p>
      <w:pPr>
        <w:spacing w:after="40" w:before="40" w:line="260"/>
        <w:ind w:left="720" w:hanging="360"/>
        <w:jc w:val="both"/>
      </w:pPr>
      <w:r>
        <w:rPr>
          <w:rFonts w:ascii="Times New Roman" w:cs="Times New Roman" w:eastAsia="Times New Roman" w:hAnsi="Times New Roman"/>
          <w:color w:val="000000"/>
          <w:sz w:val="22"/>
          <w:szCs w:val="22"/>
        </w:rPr>
        <w:t xml:space="preserve">14.	Clash-Free Session Scheduling. Chairs shall define sessions with room, capacity and time window. Room double-booking shall be blocked. Only accepted papers whose authors hold a confirmed, paid registration may be scheduled.</w:t>
      </w:r>
    </w:p>
    <w:p>
      <w:pPr>
        <w:spacing w:after="40" w:before="40" w:line="260"/>
        <w:ind w:left="720" w:hanging="360"/>
        <w:jc w:val="both"/>
      </w:pPr>
      <w:r>
        <w:rPr>
          <w:rFonts w:ascii="Times New Roman" w:cs="Times New Roman" w:eastAsia="Times New Roman" w:hAnsi="Times New Roman"/>
          <w:color w:val="000000"/>
          <w:sz w:val="22"/>
          <w:szCs w:val="22"/>
        </w:rPr>
        <w:t xml:space="preserve">15.	Administration and Audit Logging. Admins shall manage user accounts, roles and conference assignments, with all significant actions recorded in an immutable activity audit log.</w:t>
      </w:r>
    </w:p>
    <w:p>
      <w:pPr>
        <w:spacing w:after="100" w:before="200"/>
        <w:jc w:val="left"/>
      </w:pPr>
      <w:r>
        <w:rPr>
          <w:rFonts w:ascii="Times New Roman" w:cs="Times New Roman" w:eastAsia="Times New Roman" w:hAnsi="Times New Roman"/>
          <w:b/>
          <w:bCs/>
          <w:color w:val="000000"/>
          <w:sz w:val="24"/>
          <w:szCs w:val="24"/>
        </w:rPr>
        <w:t xml:space="preserve">2.2 NON-FUNCTIONAL REQUIREMENTS</w:t>
      </w:r>
    </w:p>
    <w:p>
      <w:pPr>
        <w:spacing w:after="100" w:before="60" w:line="276"/>
        <w:jc w:val="both"/>
      </w:pPr>
      <w:r>
        <w:rPr>
          <w:rFonts w:ascii="Times New Roman" w:cs="Times New Roman" w:eastAsia="Times New Roman" w:hAnsi="Times New Roman"/>
          <w:b/>
          <w:bCs/>
          <w:color w:val="000000"/>
          <w:sz w:val="22"/>
          <w:szCs w:val="22"/>
        </w:rPr>
        <w:t xml:space="preserve">Security. </w:t>
      </w:r>
      <w:r>
        <w:rPr>
          <w:rFonts w:ascii="Times New Roman" w:cs="Times New Roman" w:eastAsia="Times New Roman" w:hAnsi="Times New Roman"/>
          <w:b w:val="false"/>
          <w:bCs w:val="false"/>
          <w:color w:val="000000"/>
          <w:sz w:val="22"/>
          <w:szCs w:val="22"/>
        </w:rPr>
        <w:t xml:space="preserve">All passwords are stored as PBKDF2-HMAC-SHA256 hashes. All POST requests require CSRF token verification using constant-time string comparison. Reviewer and author views strictly enforce double-blind isolation. SQL injection is prevented through 100% parameterised query bindings. Card numbers are validated in memory and immediately discarded.</w:t>
      </w:r>
    </w:p>
    <w:p>
      <w:pPr>
        <w:spacing w:after="100" w:before="60" w:line="276"/>
        <w:jc w:val="both"/>
      </w:pPr>
      <w:r>
        <w:rPr>
          <w:rFonts w:ascii="Times New Roman" w:cs="Times New Roman" w:eastAsia="Times New Roman" w:hAnsi="Times New Roman"/>
          <w:b/>
          <w:bCs/>
          <w:color w:val="000000"/>
          <w:sz w:val="22"/>
          <w:szCs w:val="22"/>
        </w:rPr>
        <w:t xml:space="preserve">Reliability. </w:t>
      </w:r>
      <w:r>
        <w:rPr>
          <w:rFonts w:ascii="Times New Roman" w:cs="Times New Roman" w:eastAsia="Times New Roman" w:hAnsi="Times New Roman"/>
          <w:b w:val="false"/>
          <w:bCs w:val="false"/>
          <w:color w:val="000000"/>
          <w:sz w:val="22"/>
          <w:szCs w:val="22"/>
        </w:rPr>
        <w:t xml:space="preserve">Referential integrity is enforced through SQLite foreign keys enabled via PRAGMA foreign_keys = ON. Strict database check constraints apply to user roles, paper statuses, review scores and payment states. All mutating service routines use explicit transactions with commit and rollback on error.</w:t>
      </w:r>
    </w:p>
    <w:p>
      <w:pPr>
        <w:spacing w:after="100" w:before="60" w:line="276"/>
        <w:jc w:val="both"/>
      </w:pPr>
      <w:r>
        <w:rPr>
          <w:rFonts w:ascii="Times New Roman" w:cs="Times New Roman" w:eastAsia="Times New Roman" w:hAnsi="Times New Roman"/>
          <w:b/>
          <w:bCs/>
          <w:color w:val="000000"/>
          <w:sz w:val="22"/>
          <w:szCs w:val="22"/>
        </w:rPr>
        <w:t xml:space="preserve">Performance. </w:t>
      </w:r>
      <w:r>
        <w:rPr>
          <w:rFonts w:ascii="Times New Roman" w:cs="Times New Roman" w:eastAsia="Times New Roman" w:hAnsi="Times New Roman"/>
          <w:b w:val="false"/>
          <w:bCs w:val="false"/>
          <w:color w:val="000000"/>
          <w:sz w:val="22"/>
          <w:szCs w:val="22"/>
        </w:rPr>
        <w:t xml:space="preserve">Cold-boot startup completes in under 200 milliseconds. All 67 automated tests execute in approximately 31 seconds on standard hardware. Analytical SQL queries in insights.py complete within single-digit milliseconds against the SQLite B-tree indices.</w:t>
      </w:r>
    </w:p>
    <w:p>
      <w:pPr>
        <w:spacing w:after="100" w:before="60" w:line="276"/>
        <w:jc w:val="both"/>
      </w:pPr>
      <w:r>
        <w:rPr>
          <w:rFonts w:ascii="Times New Roman" w:cs="Times New Roman" w:eastAsia="Times New Roman" w:hAnsi="Times New Roman"/>
          <w:b/>
          <w:bCs/>
          <w:color w:val="000000"/>
          <w:sz w:val="22"/>
          <w:szCs w:val="22"/>
        </w:rPr>
        <w:t xml:space="preserve">Usability. </w:t>
      </w:r>
      <w:r>
        <w:rPr>
          <w:rFonts w:ascii="Times New Roman" w:cs="Times New Roman" w:eastAsia="Times New Roman" w:hAnsi="Times New Roman"/>
          <w:b w:val="false"/>
          <w:bCs w:val="false"/>
          <w:color w:val="000000"/>
          <w:sz w:val="22"/>
          <w:szCs w:val="22"/>
        </w:rPr>
        <w:t xml:space="preserve">The interface is fully responsive, adapting from mobile viewports to wide-screen desktops. A built-in dark and light mode toggle persists user preference in browser localStorage. Role-specific dashboards provide SVG sparklines, ring charts and colour-coded status badges.</w:t>
      </w:r>
    </w:p>
    <w:p>
      <w:pPr>
        <w:spacing w:after="100" w:before="60" w:line="276"/>
        <w:jc w:val="both"/>
      </w:pPr>
      <w:r>
        <w:rPr>
          <w:rFonts w:ascii="Times New Roman" w:cs="Times New Roman" w:eastAsia="Times New Roman" w:hAnsi="Times New Roman"/>
          <w:b/>
          <w:bCs/>
          <w:color w:val="000000"/>
          <w:sz w:val="22"/>
          <w:szCs w:val="22"/>
        </w:rPr>
        <w:t xml:space="preserve">Maintainability. </w:t>
      </w:r>
      <w:r>
        <w:rPr>
          <w:rFonts w:ascii="Times New Roman" w:cs="Times New Roman" w:eastAsia="Times New Roman" w:hAnsi="Times New Roman"/>
          <w:b w:val="false"/>
          <w:bCs w:val="false"/>
          <w:color w:val="000000"/>
          <w:sz w:val="22"/>
          <w:szCs w:val="22"/>
        </w:rPr>
        <w:t xml:space="preserve">All business rules reside in cms_app/services.py and take standard SQLite3 database connections, enabling unit testing without Flask HTTP contexts. The three-tier architecture provides distinct presentation, domain service, read model and persistence modules.</w:t>
      </w:r>
    </w:p>
    <w:p>
      <w:pPr>
        <w:spacing w:after="100" w:before="60" w:line="276"/>
        <w:jc w:val="both"/>
      </w:pPr>
      <w:r>
        <w:rPr>
          <w:rFonts w:ascii="Times New Roman" w:cs="Times New Roman" w:eastAsia="Times New Roman" w:hAnsi="Times New Roman"/>
          <w:b/>
          <w:bCs/>
          <w:color w:val="000000"/>
          <w:sz w:val="22"/>
          <w:szCs w:val="22"/>
        </w:rPr>
        <w:t xml:space="preserve">Portability. </w:t>
      </w:r>
      <w:r>
        <w:rPr>
          <w:rFonts w:ascii="Times New Roman" w:cs="Times New Roman" w:eastAsia="Times New Roman" w:hAnsi="Times New Roman"/>
          <w:b w:val="false"/>
          <w:bCs w:val="false"/>
          <w:color w:val="000000"/>
          <w:sz w:val="22"/>
          <w:szCs w:val="22"/>
        </w:rPr>
        <w:t xml:space="preserve">The application runs on Linux, macOS and Windows with Python 3.10–3.14. The sole external runtime dependency is Flask &gt;= 3.0. No external database server, cache or message broker is required.</w:t>
      </w:r>
    </w:p>
    <w:p>
      <w:pPr>
        <w:spacing w:after="100" w:before="200"/>
        <w:jc w:val="left"/>
      </w:pPr>
      <w:r>
        <w:rPr>
          <w:rFonts w:ascii="Times New Roman" w:cs="Times New Roman" w:eastAsia="Times New Roman" w:hAnsi="Times New Roman"/>
          <w:b/>
          <w:bCs/>
          <w:color w:val="000000"/>
          <w:sz w:val="24"/>
          <w:szCs w:val="24"/>
        </w:rPr>
        <w:t xml:space="preserve">2.3 HARDWARE REQUIREMENTS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Development machine: computer or laptop with minimum 4 GB RAM and 100 MB free disk space.</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Active internet connection for pip package installation (initial setup only).</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Users: any computer, tablet or smartphone with a modern web browser (Chrome, Firefox, Edge, Safari).</w:t>
      </w:r>
    </w:p>
    <w:p>
      <w:pPr>
        <w:spacing w:after="100" w:before="200"/>
        <w:jc w:val="left"/>
      </w:pPr>
      <w:r>
        <w:rPr>
          <w:rFonts w:ascii="Times New Roman" w:cs="Times New Roman" w:eastAsia="Times New Roman" w:hAnsi="Times New Roman"/>
          <w:b/>
          <w:bCs/>
          <w:color w:val="000000"/>
          <w:sz w:val="24"/>
          <w:szCs w:val="24"/>
        </w:rPr>
        <w:t xml:space="preserve">2.4 SOFTWARE REQUIREMENTS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Operating System: Linux (Ubuntu 20.04+), macOS 11+ or Windows 10/11.</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Python runtime: Python 3.10, 3.11, 3.12, 3.13 or 3.14.</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Web framework: Flask &gt;= 3.0 (installed via pip).</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Modern web browser for the user interface.</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Git and GitHub for version control.</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Visual Studio Code or equivalent development environment.</w:t>
      </w:r>
    </w:p>
    <w:p>
      <w:pPr>
        <w:spacing w:after="60" w:before="160"/>
      </w:pPr>
      <w:r>
        <w:rPr>
          <w:rFonts w:ascii="Times New Roman" w:cs="Times New Roman" w:eastAsia="Times New Roman" w:hAnsi="Times New Roman"/>
          <w:b/>
          <w:bCs/>
          <w:sz w:val="22"/>
          <w:szCs w:val="22"/>
        </w:rPr>
        <w:t xml:space="preserve">Table 2.1 – Tools and Technologies Used</w:t>
      </w:r>
    </w:p>
    <w:tbl>
      <w:tblPr>
        <w:tblW w:type="pct" w:w="100%"/>
        <w:tblBorders>
          <w:top w:val="single" w:color="000000" w:sz="4"/>
          <w:left w:val="single" w:color="000000" w:sz="4"/>
          <w:bottom w:val="single" w:color="000000" w:sz="4"/>
          <w:right w:val="single" w:color="000000" w:sz="4"/>
          <w:insideH w:val="single" w:color="000000" w:sz="2"/>
          <w:insideV w:val="single" w:color="000000" w:sz="2"/>
        </w:tblBorders>
        <w:tblLayout w:type="fixed"/>
      </w:tblPr>
      <w:tblGrid>
        <w:gridCol w:w="100"/>
        <w:gridCol w:w="100"/>
      </w:tblGrid>
      <w:tr>
        <w:trPr>
          <w:tblHeader/>
        </w:trPr>
        <w:tc>
          <w:tcPr>
            <w:tcW w:type="pct" w:w="030"/>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Technology</w:t>
            </w:r>
          </w:p>
        </w:tc>
        <w:tc>
          <w:tcPr>
            <w:tcW w:type="pct" w:w="070"/>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Role in the Project</w:t>
            </w:r>
          </w:p>
        </w:tc>
      </w:tr>
      <w:tr>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Python 3.10+</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Core application language; business rules, services and database operations.</w:t>
            </w:r>
          </w:p>
        </w:tc>
      </w:tr>
      <w:tr>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Flask 3.0+</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WSGI web framework; routing, session management, template rendering and error handling.</w:t>
            </w:r>
          </w:p>
        </w:tc>
      </w:tr>
      <w:tr>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Werkzeug 3.0+</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Password hashing (PBKDF2:SHA256), secure filename sanitisation, bundled with Flask.</w:t>
            </w:r>
          </w:p>
        </w:tc>
      </w:tr>
      <w:tr>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Jinja2 3.1+</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Server-side HTML template compilation; custom filters (dt, inr, ago, firstname).</w:t>
            </w:r>
          </w:p>
        </w:tc>
      </w:tr>
      <w:tr>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SQLite3</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Relational transactional data store with ACID semantics and foreign key enforcement.</w:t>
            </w:r>
          </w:p>
        </w:tc>
      </w:tr>
      <w:tr>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Vanilla CSS3</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Custom Teal Design System with CSS Grid, Flexbox and dark and light theme variables.</w:t>
            </w:r>
          </w:p>
        </w:tc>
      </w:tr>
      <w:tr>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Inline SVG</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Icons, KPI sparklines, ring charts and bar chart visualisations.</w:t>
            </w:r>
          </w:p>
        </w:tc>
      </w:tr>
      <w:tr>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Python unittest</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Standard library test harness for unit and integration test execution.</w:t>
            </w:r>
          </w:p>
        </w:tc>
      </w:tr>
      <w:tr>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pip</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Python package manager; single dependency (Flask &gt;= 3.0).</w:t>
            </w:r>
          </w:p>
        </w:tc>
      </w:tr>
      <w:tr>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Git / GitHub</w:t>
            </w:r>
          </w:p>
        </w:tc>
        <w:tc>
          <w:tcPr>
            <w:tcW w:type="pct" w:w="07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Version control and repository hosting.</w:t>
            </w:r>
          </w:p>
        </w:tc>
      </w:tr>
    </w:tbl>
    <w:p>
      <w:r>
        <w:br w:type="page"/>
      </w:r>
    </w:p>
    <w:p>
      <w:pPr>
        <w:spacing w:after="240" w:before="0"/>
        <w:jc w:val="center"/>
      </w:pPr>
      <w:r>
        <w:rPr>
          <w:rFonts w:ascii="Times New Roman" w:cs="Times New Roman" w:eastAsia="Times New Roman" w:hAnsi="Times New Roman"/>
          <w:b/>
          <w:bCs/>
          <w:color w:val="000000"/>
          <w:sz w:val="28"/>
          <w:szCs w:val="28"/>
        </w:rPr>
        <w:t xml:space="preserve">CHAPTER 3: ANALYSIS</w:t>
      </w:r>
    </w:p>
    <w:p>
      <w:pPr>
        <w:spacing w:after="100" w:before="200"/>
        <w:jc w:val="left"/>
      </w:pPr>
      <w:r>
        <w:rPr>
          <w:rFonts w:ascii="Times New Roman" w:cs="Times New Roman" w:eastAsia="Times New Roman" w:hAnsi="Times New Roman"/>
          <w:b/>
          <w:bCs/>
          <w:color w:val="000000"/>
          <w:sz w:val="24"/>
          <w:szCs w:val="24"/>
        </w:rPr>
        <w:t xml:space="preserve">3.1 EXISTING SYSTEM</w:t>
      </w:r>
    </w:p>
    <w:p>
      <w:pPr>
        <w:spacing w:after="80" w:before="60" w:line="276"/>
        <w:jc w:val="both"/>
      </w:pPr>
      <w:r>
        <w:rPr>
          <w:rFonts w:ascii="Times New Roman" w:cs="Times New Roman" w:eastAsia="Times New Roman" w:hAnsi="Times New Roman"/>
          <w:color w:val="000000"/>
          <w:sz w:val="22"/>
          <w:szCs w:val="22"/>
        </w:rPr>
        <w:t xml:space="preserve">Academic event management has historically relied on two models. The first is ad-hoc manual coordination: small workshops and symposia manage submissions, assignments and reviews via email attachments, shared folders such as Google Drive and spreadsheets. The second is legacy enterprise platforms: larger conferences deploy established SaaS or on-premise platforms such as EasyChair, EDAS, OpenConf or HotCRP.</w:t>
      </w:r>
    </w:p>
    <w:p>
      <w:pPr>
        <w:spacing w:after="80" w:before="60" w:line="276"/>
        <w:jc w:val="both"/>
      </w:pPr>
      <w:r>
        <w:rPr>
          <w:rFonts w:ascii="Times New Roman" w:cs="Times New Roman" w:eastAsia="Times New Roman" w:hAnsi="Times New Roman"/>
          <w:color w:val="000000"/>
          <w:sz w:val="22"/>
          <w:szCs w:val="22"/>
        </w:rPr>
        <w:t xml:space="preserve">Both approaches suffer from documented limitations: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Conflict-of-interest prevention is highly error-prone in manual systems. In legacy platforms, enforcement is rigid and often fails to adapt to track-based configurations or self-assignment volunteer models.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Reviewer workload is difficult to track in real time, leading to reviewer fatigue, missed deadlines and low evaluation quality.</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Manual workflows rely on forwarding raw PDF emails, making double-blind integrity easy to breach inadvertently.</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Legacy platforms carry dense, early-2000s web interfaces with poor mobile responsiveness, high subscription fees and mandatory external database infrastructure (MySQL or PostgreSQL).</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Financial reconciliation across student, academic and industry attendee categories requires cumbersome manual calculations or disjointed third-party payment forms.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Scheduling accepted papers manually into physical rooms and timeslots frequently produces double-booking, over-capacity allocations or papers by unregistered authors.</w:t>
      </w:r>
    </w:p>
    <w:p>
      <w:pPr>
        <w:spacing w:after="60" w:before="120"/>
        <w:jc w:val="left"/>
      </w:pPr>
      <w:r>
        <w:rPr>
          <w:rFonts w:ascii="Times New Roman" w:cs="Times New Roman" w:eastAsia="Times New Roman" w:hAnsi="Times New Roman"/>
          <w:b/>
          <w:bCs/>
          <w:color w:val="000000"/>
          <w:sz w:val="22"/>
          <w:szCs w:val="22"/>
        </w:rPr>
        <w:t xml:space="preserve">Table 3.1 – Comparison of Existing and Proposed Systems</w:t>
      </w:r>
    </w:p>
    <w:tbl>
      <w:tblPr>
        <w:tblW w:type="pct" w:w="100%"/>
        <w:tblBorders>
          <w:top w:val="single" w:color="000000" w:sz="4"/>
          <w:left w:val="single" w:color="000000" w:sz="4"/>
          <w:bottom w:val="single" w:color="000000" w:sz="4"/>
          <w:right w:val="single" w:color="000000" w:sz="4"/>
          <w:insideH w:val="single" w:color="000000" w:sz="2"/>
          <w:insideV w:val="single" w:color="000000" w:sz="2"/>
        </w:tblBorders>
        <w:tblLayout w:type="fixed"/>
      </w:tblPr>
      <w:tblGrid>
        <w:gridCol w:w="100"/>
        <w:gridCol w:w="100"/>
        <w:gridCol w:w="100"/>
      </w:tblGrid>
      <w:tr>
        <w:trPr>
          <w:tblHeader/>
        </w:trPr>
        <w:tc>
          <w:tcPr>
            <w:tcW w:type="pct" w:w="024"/>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Feature</w:t>
            </w:r>
          </w:p>
        </w:tc>
        <w:tc>
          <w:tcPr>
            <w:tcW w:type="pct" w:w="03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Manual / Spreadsheet Systems</w:t>
            </w:r>
          </w:p>
        </w:tc>
        <w:tc>
          <w:tcPr>
            <w:tcW w:type="pct" w:w="03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ConfMan (Proposed System)</w:t>
            </w:r>
          </w:p>
        </w:tc>
      </w:tr>
      <w:tr>
        <w:tc>
          <w:tcPr>
            <w:tcW w:type="pct" w:w="024"/>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COI Prevention</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Error-prone; relies on human memory.</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Automated; reviewer_id != author_id enforced in service layer.</w:t>
            </w:r>
          </w:p>
        </w:tc>
      </w:tr>
      <w:tr>
        <w:tc>
          <w:tcPr>
            <w:tcW w:type="pct" w:w="024"/>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Reviewer Load Balancing</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Difficult to track in real time.</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Real-time workload metrics; max 5 pending reviews per reviewer.</w:t>
            </w:r>
          </w:p>
        </w:tc>
      </w:tr>
      <w:tr>
        <w:tc>
          <w:tcPr>
            <w:tcW w:type="pct" w:w="024"/>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Double-Blind Integrity</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Easily breached when forwarding emails.</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Enforced at template and routing level; author identity stripped.</w:t>
            </w:r>
          </w:p>
        </w:tc>
      </w:tr>
      <w:tr>
        <w:tc>
          <w:tcPr>
            <w:tcW w:type="pct" w:w="024"/>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User Interface</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Email threads, spreadsheets and file drives.</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Responsive web dashboard with role-specific views and dark mode.</w:t>
            </w:r>
          </w:p>
        </w:tc>
      </w:tr>
      <w:tr>
        <w:tc>
          <w:tcPr>
            <w:tcW w:type="pct" w:w="024"/>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Deployment Complexity</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No system needed.</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pip install Flask; zero external database or cache services.</w:t>
            </w:r>
          </w:p>
        </w:tc>
      </w:tr>
      <w:tr>
        <w:tc>
          <w:tcPr>
            <w:tcW w:type="pct" w:w="024"/>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Payment Processing</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Manual bank transfers or disjointed forms.</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Luhn-validated mock payment gateway with tiered fee engine.</w:t>
            </w:r>
          </w:p>
        </w:tc>
      </w:tr>
      <w:tr>
        <w:tc>
          <w:tcPr>
            <w:tcW w:type="pct" w:w="024"/>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Session Scheduling</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Manual; prone to room clashes.</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Automated clash detection; registration prerequisite enforced.</w:t>
            </w:r>
          </w:p>
        </w:tc>
      </w:tr>
      <w:tr>
        <w:tc>
          <w:tcPr>
            <w:tcW w:type="pct" w:w="024"/>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Analytics</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Not available.</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Real-time KPI cards, SVG sparklines and score histograms.</w:t>
            </w:r>
          </w:p>
        </w:tc>
      </w:tr>
    </w:tbl>
    <w:p>
      <w:pPr>
        <w:spacing w:after="100" w:before="200"/>
        <w:jc w:val="left"/>
      </w:pPr>
      <w:r>
        <w:rPr>
          <w:rFonts w:ascii="Times New Roman" w:cs="Times New Roman" w:eastAsia="Times New Roman" w:hAnsi="Times New Roman"/>
          <w:b/>
          <w:bCs/>
          <w:color w:val="000000"/>
          <w:sz w:val="24"/>
          <w:szCs w:val="24"/>
        </w:rPr>
        <w:t xml:space="preserve">3.2 PROPOSED SYSTEM</w:t>
      </w:r>
    </w:p>
    <w:p>
      <w:pPr>
        <w:spacing w:after="80" w:before="60" w:line="276"/>
        <w:jc w:val="both"/>
      </w:pPr>
      <w:r>
        <w:rPr>
          <w:rFonts w:ascii="Times New Roman" w:cs="Times New Roman" w:eastAsia="Times New Roman" w:hAnsi="Times New Roman"/>
          <w:color w:val="000000"/>
          <w:sz w:val="22"/>
          <w:szCs w:val="22"/>
        </w:rPr>
        <w:t xml:space="preserve">ConfMan resolves the documented limitations through a streamlined, architecturally decoupled web platform built from first principles. The system introduces a strict three-tier layered design that isolates all business rules in cms_app/services.py, taking raw SQLite3 database connections and raising structured ServiceError exceptions. This ensures 100% testability of business logic independent of HTTP request contexts.</w:t>
      </w:r>
    </w:p>
    <w:p>
      <w:pPr>
        <w:spacing w:after="80" w:before="60" w:line="276"/>
        <w:jc w:val="both"/>
      </w:pPr>
      <w:r>
        <w:rPr>
          <w:rFonts w:ascii="Times New Roman" w:cs="Times New Roman" w:eastAsia="Times New Roman" w:hAnsi="Times New Roman"/>
          <w:color w:val="000000"/>
          <w:sz w:val="22"/>
          <w:szCs w:val="22"/>
        </w:rPr>
        <w:t xml:space="preserve">A dedicated read-model engine (cms_app/insights.py) encapsulates complex dashboard metrics, time-series bucketing and analytics pipelines, preserving clean separation between transactional write operations and analytical read operations. The integrated lifecycle automation coordinates all phases — submission, double-blind review, editorial scoring thresholds, category-tiered payment and room-clash-free scheduling — through shared relational invariants enforced at the database layer.</w:t>
      </w:r>
    </w:p>
    <w:p>
      <w:pPr>
        <w:spacing w:after="80" w:before="60" w:line="276"/>
        <w:jc w:val="both"/>
      </w:pPr>
      <w:r>
        <w:rPr>
          <w:rFonts w:ascii="Times New Roman" w:cs="Times New Roman" w:eastAsia="Times New Roman" w:hAnsi="Times New Roman"/>
          <w:color w:val="000000"/>
          <w:sz w:val="22"/>
          <w:szCs w:val="22"/>
        </w:rPr>
        <w:t xml:space="preserve">The intended users are academic departments and research institutions seeking a lightweight, open-source reference implementation for conference management. The system is deployable with a standard Python installation and a single pip install command, with zero external database configuration, message queues or asset compilation pipelines required.</w:t>
      </w:r>
    </w:p>
    <w:p>
      <w:pPr>
        <w:spacing w:after="100" w:before="200"/>
        <w:jc w:val="left"/>
      </w:pPr>
      <w:r>
        <w:rPr>
          <w:rFonts w:ascii="Times New Roman" w:cs="Times New Roman" w:eastAsia="Times New Roman" w:hAnsi="Times New Roman"/>
          <w:b/>
          <w:bCs/>
          <w:color w:val="000000"/>
          <w:sz w:val="24"/>
          <w:szCs w:val="24"/>
        </w:rPr>
        <w:t xml:space="preserve">3.3 BULL DIAGRAM</w:t>
      </w:r>
    </w:p>
    <w:p>
      <w:pPr>
        <w:spacing w:after="80" w:before="60" w:line="276"/>
        <w:jc w:val="both"/>
      </w:pPr>
      <w:r>
        <w:rPr>
          <w:rFonts w:ascii="Times New Roman" w:cs="Times New Roman" w:eastAsia="Times New Roman" w:hAnsi="Times New Roman"/>
          <w:color w:val="000000"/>
          <w:sz w:val="22"/>
          <w:szCs w:val="22"/>
        </w:rPr>
        <w:t xml:space="preserve">The Bull Diagram represents the central problem of manual, fragmented academic conference coordination, together with its root causes and downstream effects.</w:t>
      </w:r>
    </w:p>
    <w:p>
      <w:pPr>
        <w:spacing w:after="80" w:before="60" w:line="276"/>
        <w:jc w:val="both"/>
      </w:pPr>
      <w:r>
        <w:rPr>
          <w:rFonts w:ascii="Times New Roman" w:cs="Times New Roman" w:eastAsia="Times New Roman" w:hAnsi="Times New Roman"/>
          <w:b/>
          <w:bCs/>
          <w:color w:val="000000"/>
          <w:sz w:val="22"/>
          <w:szCs w:val="22"/>
        </w:rPr>
        <w:t xml:space="preserve">Central Problem: </w:t>
      </w:r>
      <w:r>
        <w:rPr>
          <w:rFonts w:ascii="Times New Roman" w:cs="Times New Roman" w:eastAsia="Times New Roman" w:hAnsi="Times New Roman"/>
          <w:b w:val="false"/>
          <w:bCs w:val="false"/>
          <w:color w:val="000000"/>
          <w:sz w:val="22"/>
          <w:szCs w:val="22"/>
        </w:rPr>
        <w:t xml:space="preserve">Manual, fragmented and error-prone academic conference coordination workflows.</w:t>
      </w:r>
    </w:p>
    <w:p>
      <w:pPr>
        <w:spacing w:after="40" w:before="80" w:line="276"/>
        <w:jc w:val="both"/>
      </w:pPr>
      <w:r>
        <w:rPr>
          <w:rFonts w:ascii="Times New Roman" w:cs="Times New Roman" w:eastAsia="Times New Roman" w:hAnsi="Times New Roman"/>
          <w:b/>
          <w:bCs/>
          <w:color w:val="000000"/>
          <w:sz w:val="22"/>
          <w:szCs w:val="22"/>
        </w:rPr>
        <w:t xml:space="preserve">Major Causes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Reviewer assignment performed manually without real-time workload visibility.</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Conflict-of-interest screening reliant on human memory and cross-referencing.</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No automated double-blind enforcement mechanism in spreadsheet-based systems.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Tiered fee calculation and early-bird discounts computed manually.</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Room and timeslot scheduling done via spreadsheets without clash detection.</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Heavy external infrastructure requirements for legacy enterprise platforms.</w:t>
      </w:r>
    </w:p>
    <w:p>
      <w:pPr>
        <w:spacing w:after="40" w:before="80" w:line="276"/>
        <w:jc w:val="both"/>
      </w:pPr>
      <w:r>
        <w:rPr>
          <w:rFonts w:ascii="Times New Roman" w:cs="Times New Roman" w:eastAsia="Times New Roman" w:hAnsi="Times New Roman"/>
          <w:b/>
          <w:bCs/>
          <w:color w:val="000000"/>
          <w:sz w:val="22"/>
          <w:szCs w:val="22"/>
        </w:rPr>
        <w:t xml:space="preserve">Effects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Reviewer overload, fatigue and missed review deadlines.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Ethical breaches from inadvertent author self-review assignments.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Premature author de-anonymisation and evaluation bias.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Financial reconciliation discrepancies and registration errors.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Room double-booking and scheduling of unregistered authors.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High subscription fees and maintenance overhead for legacy systems.</w:t>
      </w:r>
    </w:p>
    <w:p>
      <w:pPr>
        <w:spacing w:after="60" w:before="100"/>
        <w:jc w:val="center"/>
      </w:pPr>
      <w:r>
        <w:drawing>
          <wp:inline distT="0" distB="0" distL="0" distR="0">
            <wp:extent cx="32004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00400" cy="3200400"/>
                    </a:xfrm>
                    <a:prstGeom prst="rect">
                      <a:avLst/>
                    </a:prstGeom>
                  </pic:spPr>
                </pic:pic>
              </a:graphicData>
            </a:graphic>
          </wp:inline>
        </w:drawing>
      </w:r>
    </w:p>
    <w:p>
      <w:pPr>
        <w:spacing w:after="120" w:before="60"/>
        <w:jc w:val="center"/>
      </w:pPr>
      <w:r>
        <w:rPr>
          <w:rFonts w:ascii="Times New Roman" w:cs="Times New Roman" w:eastAsia="Times New Roman" w:hAnsi="Times New Roman"/>
          <w:i/>
          <w:iCs/>
          <w:color w:val="000000"/>
          <w:sz w:val="18"/>
          <w:szCs w:val="18"/>
        </w:rPr>
        <w:t xml:space="preserve">Figure 3.1 – Bull Diagram</w:t>
      </w:r>
    </w:p>
    <w:p>
      <w:pPr>
        <w:spacing w:after="100" w:before="200"/>
        <w:jc w:val="left"/>
      </w:pPr>
      <w:r>
        <w:rPr>
          <w:rFonts w:ascii="Times New Roman" w:cs="Times New Roman" w:eastAsia="Times New Roman" w:hAnsi="Times New Roman"/>
          <w:b/>
          <w:bCs/>
          <w:color w:val="000000"/>
          <w:sz w:val="24"/>
          <w:szCs w:val="24"/>
        </w:rPr>
        <w:t xml:space="preserve">3.4 OCTOPUS DIAGRAM</w:t>
      </w:r>
    </w:p>
    <w:p>
      <w:pPr>
        <w:spacing w:after="80" w:before="60" w:line="276"/>
        <w:jc w:val="both"/>
      </w:pPr>
      <w:r>
        <w:rPr>
          <w:rFonts w:ascii="Times New Roman" w:cs="Times New Roman" w:eastAsia="Times New Roman" w:hAnsi="Times New Roman"/>
          <w:color w:val="000000"/>
          <w:sz w:val="22"/>
          <w:szCs w:val="22"/>
        </w:rPr>
        <w:t xml:space="preserve">The central system is ConfMan – A Conference Management System. The major components connected to it are:</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User Authentication and Role-Based Access Control</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Conference and Track Management Module</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Manuscript Submission Engine</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Reviewer Assignment Heuristic (Manual, Auto-Assign and Volunteering)</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Double-Blind Peer Review and Editorial Decision Engine</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Registration and Fee Calculation Module</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Payment Processing and Mock Gateway</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Session Scheduling and Programme Module</w:t>
      </w:r>
    </w:p>
    <w:p>
      <w:pPr>
        <w:spacing w:after="60" w:before="100"/>
        <w:jc w:val="center"/>
      </w:pPr>
      <w:r>
        <w:drawing>
          <wp:inline distT="0" distB="0" distL="0" distR="0">
            <wp:extent cx="50292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3838575"/>
                    </a:xfrm>
                    <a:prstGeom prst="rect">
                      <a:avLst/>
                    </a:prstGeom>
                  </pic:spPr>
                </pic:pic>
              </a:graphicData>
            </a:graphic>
          </wp:inline>
        </w:drawing>
      </w:r>
    </w:p>
    <w:p>
      <w:pPr>
        <w:spacing w:after="120" w:before="60"/>
        <w:jc w:val="center"/>
      </w:pPr>
      <w:r>
        <w:rPr>
          <w:rFonts w:ascii="Times New Roman" w:cs="Times New Roman" w:eastAsia="Times New Roman" w:hAnsi="Times New Roman"/>
          <w:i/>
          <w:iCs/>
          <w:color w:val="000000"/>
          <w:sz w:val="18"/>
          <w:szCs w:val="18"/>
        </w:rPr>
        <w:t xml:space="preserve">Figure 3.2 – Octopus Diagram</w:t>
      </w:r>
    </w:p>
    <w:p>
      <w:r>
        <w:br w:type="page"/>
      </w:r>
    </w:p>
    <w:p>
      <w:pPr>
        <w:spacing w:after="240" w:before="0"/>
        <w:jc w:val="center"/>
      </w:pPr>
      <w:r>
        <w:rPr>
          <w:rFonts w:ascii="Times New Roman" w:cs="Times New Roman" w:eastAsia="Times New Roman" w:hAnsi="Times New Roman"/>
          <w:b/>
          <w:bCs/>
          <w:color w:val="000000"/>
          <w:sz w:val="28"/>
          <w:szCs w:val="28"/>
        </w:rPr>
        <w:t xml:space="preserve">CHAPTER 4: SYSTEM DESIGN</w:t>
      </w:r>
    </w:p>
    <w:p>
      <w:pPr>
        <w:spacing w:after="100" w:before="200"/>
        <w:jc w:val="left"/>
      </w:pPr>
      <w:r>
        <w:rPr>
          <w:rFonts w:ascii="Times New Roman" w:cs="Times New Roman" w:eastAsia="Times New Roman" w:hAnsi="Times New Roman"/>
          <w:b/>
          <w:bCs/>
          <w:color w:val="000000"/>
          <w:sz w:val="24"/>
          <w:szCs w:val="24"/>
        </w:rPr>
        <w:t xml:space="preserve">4.1 SYSTEM ARCHITECTURE</w:t>
      </w:r>
    </w:p>
    <w:p>
      <w:pPr>
        <w:spacing w:after="80" w:before="60" w:line="276"/>
        <w:jc w:val="both"/>
      </w:pPr>
      <w:r>
        <w:rPr>
          <w:rFonts w:ascii="Times New Roman" w:cs="Times New Roman" w:eastAsia="Times New Roman" w:hAnsi="Times New Roman"/>
          <w:color w:val="000000"/>
          <w:sz w:val="22"/>
          <w:szCs w:val="22"/>
        </w:rPr>
        <w:t xml:space="preserve">ConfMan is architected as a modular three-tier monolithic application. Unlike sprawling microservice architectures that introduce network latency and distributed transaction complexity, ConfMan adopts in-process architectural separation that delivers high reliability with minimal operational overhead.</w:t>
      </w:r>
    </w:p>
    <w:p>
      <w:pPr>
        <w:spacing w:after="80" w:before="60" w:line="276"/>
        <w:jc w:val="both"/>
      </w:pPr>
      <w:r>
        <w:rPr>
          <w:rFonts w:ascii="Times New Roman" w:cs="Times New Roman" w:eastAsia="Times New Roman" w:hAnsi="Times New Roman"/>
          <w:color w:val="000000"/>
          <w:sz w:val="22"/>
          <w:szCs w:val="22"/>
        </w:rPr>
        <w:t xml:space="preserve">The Presentation Tier consists of the Flask WSGI application factory (cms_app/__init__.py), which handles 26 HTTP route controllers, security pre-filters through before_request hooks, CSRF token verification using secrets.compare_digest, and role-based access decorators (@login_required and @role_required). Jinja2 templates and a custom Teal Design System stylesheet render the role-specific user interfaces. The Business Logic Tier houses cms_app/services.py for transactional domain operations and cms_app/insights.py for read-model analytics. The Data Access Tier manages thread-local SQLite3 connections through cms_app/db.py, enforcing PRAGMA foreign_keys = ON and providing the schema initialiser. All manuscript PDF files are stored on the local filesystem at instance/uploads/.</w:t>
      </w:r>
    </w:p>
    <w:p>
      <w:pPr>
        <w:spacing w:after="60" w:before="100"/>
        <w:jc w:val="center"/>
      </w:pPr>
      <w:r>
        <w:drawing>
          <wp:inline distT="0" distB="0" distL="0" distR="0">
            <wp:extent cx="53054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3838575"/>
                    </a:xfrm>
                    <a:prstGeom prst="rect">
                      <a:avLst/>
                    </a:prstGeom>
                  </pic:spPr>
                </pic:pic>
              </a:graphicData>
            </a:graphic>
          </wp:inline>
        </w:drawing>
      </w:r>
    </w:p>
    <w:p>
      <w:pPr>
        <w:spacing w:after="120" w:before="60"/>
        <w:jc w:val="center"/>
      </w:pPr>
      <w:r>
        <w:rPr>
          <w:rFonts w:ascii="Times New Roman" w:cs="Times New Roman" w:eastAsia="Times New Roman" w:hAnsi="Times New Roman"/>
          <w:i/>
          <w:iCs/>
          <w:color w:val="000000"/>
          <w:sz w:val="18"/>
          <w:szCs w:val="18"/>
        </w:rPr>
        <w:t xml:space="preserve">Figure 4.1 – System Architecture</w:t>
      </w:r>
    </w:p>
    <w:p>
      <w:pPr>
        <w:spacing w:after="100" w:before="200"/>
        <w:jc w:val="left"/>
      </w:pPr>
      <w:r>
        <w:rPr>
          <w:rFonts w:ascii="Times New Roman" w:cs="Times New Roman" w:eastAsia="Times New Roman" w:hAnsi="Times New Roman"/>
          <w:b/>
          <w:bCs/>
          <w:color w:val="000000"/>
          <w:sz w:val="24"/>
          <w:szCs w:val="24"/>
        </w:rPr>
        <w:t xml:space="preserve">4.2 DATA FLOW DIAGRAM</w:t>
      </w:r>
    </w:p>
    <w:p>
      <w:pPr>
        <w:spacing w:after="80" w:before="60" w:line="276"/>
        <w:jc w:val="both"/>
      </w:pPr>
      <w:r>
        <w:rPr>
          <w:rFonts w:ascii="Times New Roman" w:cs="Times New Roman" w:eastAsia="Times New Roman" w:hAnsi="Times New Roman"/>
          <w:b/>
          <w:bCs/>
          <w:color w:val="000000"/>
          <w:sz w:val="22"/>
          <w:szCs w:val="22"/>
        </w:rPr>
        <w:t xml:space="preserve">Level 0 DFD</w:t>
      </w:r>
    </w:p>
    <w:p>
      <w:pPr>
        <w:spacing w:after="80" w:before="60" w:line="276"/>
        <w:jc w:val="both"/>
      </w:pPr>
      <w:r>
        <w:rPr>
          <w:rFonts w:ascii="Times New Roman" w:cs="Times New Roman" w:eastAsia="Times New Roman" w:hAnsi="Times New Roman"/>
          <w:color w:val="000000"/>
          <w:sz w:val="22"/>
          <w:szCs w:val="22"/>
        </w:rPr>
        <w:t xml:space="preserve">The user provides a user identity, conference selections and manuscript files to the ConfMan system, and receives role-specific dashboards, review feedback, payment receipts and conference schedules. The system reads from and writes to the SQLite3 database (user records, conference data, papers, assignments, reviews, decisions, registrations, payments, sessions and audit logs) and the local file system (PDF manuscripts). External entities are the five user roles (Administrator, Chair, Reviewer, Author and Attendee). Data stores are D1 – SQLite3 Database (instance/cms.sqlite) and D2 – File Storage (instance/uploads/).</w:t>
      </w:r>
    </w:p>
    <w:p>
      <w:pPr>
        <w:spacing w:after="60" w:before="100"/>
        <w:jc w:val="center"/>
      </w:pPr>
      <w:r>
        <w:drawing>
          <wp:inline distT="0" distB="0" distL="0" distR="0">
            <wp:extent cx="53054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3838575"/>
                    </a:xfrm>
                    <a:prstGeom prst="rect">
                      <a:avLst/>
                    </a:prstGeom>
                  </pic:spPr>
                </pic:pic>
              </a:graphicData>
            </a:graphic>
          </wp:inline>
        </w:drawing>
      </w:r>
    </w:p>
    <w:p>
      <w:pPr>
        <w:spacing w:after="120" w:before="60"/>
        <w:jc w:val="center"/>
      </w:pPr>
      <w:r>
        <w:rPr>
          <w:rFonts w:ascii="Times New Roman" w:cs="Times New Roman" w:eastAsia="Times New Roman" w:hAnsi="Times New Roman"/>
          <w:i/>
          <w:iCs/>
          <w:color w:val="000000"/>
          <w:sz w:val="18"/>
          <w:szCs w:val="18"/>
        </w:rPr>
        <w:t xml:space="preserve">Figure 4.2 – Data Flow Diagram</w:t>
      </w:r>
    </w:p>
    <w:p>
      <w:pPr>
        <w:spacing w:after="100" w:before="200"/>
        <w:jc w:val="left"/>
      </w:pPr>
      <w:r>
        <w:rPr>
          <w:rFonts w:ascii="Times New Roman" w:cs="Times New Roman" w:eastAsia="Times New Roman" w:hAnsi="Times New Roman"/>
          <w:b/>
          <w:bCs/>
          <w:color w:val="000000"/>
          <w:sz w:val="24"/>
          <w:szCs w:val="24"/>
        </w:rPr>
        <w:t xml:space="preserve">4.3 USE CASE DIAGRAM</w:t>
      </w:r>
    </w:p>
    <w:p>
      <w:pPr>
        <w:spacing w:after="80" w:before="60" w:line="276"/>
        <w:jc w:val="both"/>
      </w:pPr>
      <w:r>
        <w:rPr>
          <w:rFonts w:ascii="Times New Roman" w:cs="Times New Roman" w:eastAsia="Times New Roman" w:hAnsi="Times New Roman"/>
          <w:b/>
          <w:bCs/>
          <w:color w:val="000000"/>
          <w:sz w:val="22"/>
          <w:szCs w:val="22"/>
        </w:rPr>
        <w:t xml:space="preserve">Actors: </w:t>
      </w:r>
      <w:r>
        <w:rPr>
          <w:rFonts w:ascii="Times New Roman" w:cs="Times New Roman" w:eastAsia="Times New Roman" w:hAnsi="Times New Roman"/>
          <w:b w:val="false"/>
          <w:bCs w:val="false"/>
          <w:color w:val="000000"/>
          <w:sz w:val="22"/>
          <w:szCs w:val="22"/>
        </w:rPr>
        <w:t xml:space="preserve">Administrator, Program Chair, Reviewer, Author and Attendee.</w:t>
      </w:r>
    </w:p>
    <w:p>
      <w:pPr>
        <w:spacing w:after="40" w:before="80" w:line="276"/>
        <w:jc w:val="both"/>
      </w:pPr>
      <w:r>
        <w:rPr>
          <w:rFonts w:ascii="Times New Roman" w:cs="Times New Roman" w:eastAsia="Times New Roman" w:hAnsi="Times New Roman"/>
          <w:b/>
          <w:bCs/>
          <w:color w:val="000000"/>
          <w:sz w:val="22"/>
          <w:szCs w:val="22"/>
        </w:rPr>
        <w:t xml:space="preserve">Use Cases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Register or log in to the system.</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Create conference with tracks and configure scheduling parameters (Chair or Admin).</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Submit a manuscript with PDF upload and metadata (Author).</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Assign or auto-assign reviewers using the expertise heuristic (Chair or Admin).</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Submit a double-blind peer review with score and narrative critique (Reviewer).</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Record an editorial decision after at least 2 reviews are completed (Chair).</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Register for a conference and complete a mock card payment (Author or Attendee).</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Create sessions and schedule accepted papers into presentation slots (Chair).</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Browse the public conference programme and view analytics (Attendee or Chair).</w:t>
      </w:r>
    </w:p>
    <w:p>
      <w:pPr>
        <w:spacing w:after="60" w:before="100"/>
        <w:jc w:val="center"/>
      </w:pPr>
      <w:r>
        <w:drawing>
          <wp:inline distT="0" distB="0" distL="0" distR="0">
            <wp:extent cx="5305425"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4114800"/>
                    </a:xfrm>
                    <a:prstGeom prst="rect">
                      <a:avLst/>
                    </a:prstGeom>
                  </pic:spPr>
                </pic:pic>
              </a:graphicData>
            </a:graphic>
          </wp:inline>
        </w:drawing>
      </w:r>
    </w:p>
    <w:p>
      <w:pPr>
        <w:spacing w:after="120" w:before="60"/>
        <w:jc w:val="center"/>
      </w:pPr>
      <w:r>
        <w:rPr>
          <w:rFonts w:ascii="Times New Roman" w:cs="Times New Roman" w:eastAsia="Times New Roman" w:hAnsi="Times New Roman"/>
          <w:i/>
          <w:iCs/>
          <w:color w:val="000000"/>
          <w:sz w:val="18"/>
          <w:szCs w:val="18"/>
        </w:rPr>
        <w:t xml:space="preserve">Figure 4.3 – Use Case Diagram</w:t>
      </w:r>
    </w:p>
    <w:p>
      <w:pPr>
        <w:spacing w:after="100" w:before="200"/>
        <w:jc w:val="left"/>
      </w:pPr>
      <w:r>
        <w:rPr>
          <w:rFonts w:ascii="Times New Roman" w:cs="Times New Roman" w:eastAsia="Times New Roman" w:hAnsi="Times New Roman"/>
          <w:b/>
          <w:bCs/>
          <w:color w:val="000000"/>
          <w:sz w:val="24"/>
          <w:szCs w:val="24"/>
        </w:rPr>
        <w:t xml:space="preserve">4.4 COMPONENT DIAGRAM</w:t>
      </w:r>
    </w:p>
    <w:p>
      <w:pPr>
        <w:spacing w:after="80" w:before="60" w:line="276"/>
        <w:jc w:val="both"/>
      </w:pPr>
      <w:r>
        <w:rPr>
          <w:rFonts w:ascii="Times New Roman" w:cs="Times New Roman" w:eastAsia="Times New Roman" w:hAnsi="Times New Roman"/>
          <w:color w:val="000000"/>
          <w:sz w:val="22"/>
          <w:szCs w:val="22"/>
        </w:rPr>
        <w:t xml:space="preserve">The major components of ConfMan and their connections are illustrated in Figure 4.4. The Web Browser communicates with the Flask Route Controllers over HTTP, which in turn delegate to services.py for transactional operations and insights.py for analytical read models. Both service modules interact with the SQLite3 database through the Connection Manager (db.py) backed by schema.sql. Manuscript PDF files are read and written to the File Storage component. Jinja2 templates and the CSS stylesheet consume data from the route controllers to render the user interface. The automated test suite (tests/) directly calls the service functions against in-memory SQLite3 instances.</w:t>
      </w:r>
    </w:p>
    <w:p>
      <w:pPr>
        <w:spacing w:after="60" w:before="100"/>
        <w:jc w:val="center"/>
      </w:pPr>
      <w:r>
        <w:drawing>
          <wp:inline distT="0" distB="0" distL="0" distR="0">
            <wp:extent cx="53054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3838575"/>
                    </a:xfrm>
                    <a:prstGeom prst="rect">
                      <a:avLst/>
                    </a:prstGeom>
                  </pic:spPr>
                </pic:pic>
              </a:graphicData>
            </a:graphic>
          </wp:inline>
        </w:drawing>
      </w:r>
    </w:p>
    <w:p>
      <w:pPr>
        <w:spacing w:after="120" w:before="60"/>
        <w:jc w:val="center"/>
      </w:pPr>
      <w:r>
        <w:rPr>
          <w:rFonts w:ascii="Times New Roman" w:cs="Times New Roman" w:eastAsia="Times New Roman" w:hAnsi="Times New Roman"/>
          <w:i/>
          <w:iCs/>
          <w:color w:val="000000"/>
          <w:sz w:val="18"/>
          <w:szCs w:val="18"/>
        </w:rPr>
        <w:t xml:space="preserve">Figure 4.4 – Component Diagram</w:t>
      </w:r>
    </w:p>
    <w:p>
      <w:pPr>
        <w:spacing w:after="100" w:before="200"/>
        <w:jc w:val="left"/>
      </w:pPr>
      <w:r>
        <w:rPr>
          <w:rFonts w:ascii="Times New Roman" w:cs="Times New Roman" w:eastAsia="Times New Roman" w:hAnsi="Times New Roman"/>
          <w:b/>
          <w:bCs/>
          <w:color w:val="000000"/>
          <w:sz w:val="24"/>
          <w:szCs w:val="24"/>
        </w:rPr>
        <w:t xml:space="preserve">4.5 SEQUENCE DIAGRAM</w:t>
      </w:r>
    </w:p>
    <w:p>
      <w:pPr>
        <w:spacing w:after="80" w:before="60" w:line="276"/>
        <w:jc w:val="both"/>
      </w:pPr>
      <w:r>
        <w:rPr>
          <w:rFonts w:ascii="Times New Roman" w:cs="Times New Roman" w:eastAsia="Times New Roman" w:hAnsi="Times New Roman"/>
          <w:color w:val="000000"/>
          <w:sz w:val="22"/>
          <w:szCs w:val="22"/>
        </w:rPr>
        <w:t xml:space="preserve">The sequence diagram in Figure 4.5 traces the end-to-end manuscript submission workflow. The Author submits a POST request to /conferences/{id}/submit containing the manuscript title, abstract, keywords and PDF file. The Flask Route Controller validates the CSRF token and author role, then delegates to services.submit_paper(). The service validates the submission deadline and track assignment, inserts the paper record with status Submitted, dispatches notifications to both the author and conference chair, commits the transaction and returns the new paper_id. The controller saves the uploaded PDF to instance/uploads/ and redirects the browser to the paper detail page.</w:t>
      </w:r>
    </w:p>
    <w:p>
      <w:pPr>
        <w:spacing w:after="60" w:before="100"/>
        <w:jc w:val="center"/>
      </w:pPr>
      <w:r>
        <w:drawing>
          <wp:inline distT="0" distB="0" distL="0" distR="0">
            <wp:extent cx="530542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4572000"/>
                    </a:xfrm>
                    <a:prstGeom prst="rect">
                      <a:avLst/>
                    </a:prstGeom>
                  </pic:spPr>
                </pic:pic>
              </a:graphicData>
            </a:graphic>
          </wp:inline>
        </w:drawing>
      </w:r>
    </w:p>
    <w:p>
      <w:pPr>
        <w:spacing w:after="120" w:before="60"/>
        <w:jc w:val="center"/>
      </w:pPr>
      <w:r>
        <w:rPr>
          <w:rFonts w:ascii="Times New Roman" w:cs="Times New Roman" w:eastAsia="Times New Roman" w:hAnsi="Times New Roman"/>
          <w:i/>
          <w:iCs/>
          <w:color w:val="000000"/>
          <w:sz w:val="18"/>
          <w:szCs w:val="18"/>
        </w:rPr>
        <w:t xml:space="preserve">Figure 4.5 – Sequence Diagram</w:t>
      </w:r>
    </w:p>
    <w:p>
      <w:pPr>
        <w:spacing w:after="100" w:before="200"/>
        <w:jc w:val="left"/>
      </w:pPr>
      <w:r>
        <w:rPr>
          <w:rFonts w:ascii="Times New Roman" w:cs="Times New Roman" w:eastAsia="Times New Roman" w:hAnsi="Times New Roman"/>
          <w:b/>
          <w:bCs/>
          <w:color w:val="000000"/>
          <w:sz w:val="24"/>
          <w:szCs w:val="24"/>
        </w:rPr>
        <w:t xml:space="preserve">4.6 ACTIVITY DIAGRAM</w:t>
      </w:r>
    </w:p>
    <w:p>
      <w:pPr>
        <w:spacing w:after="80" w:before="60" w:line="276"/>
        <w:jc w:val="both"/>
      </w:pPr>
      <w:r>
        <w:rPr>
          <w:rFonts w:ascii="Times New Roman" w:cs="Times New Roman" w:eastAsia="Times New Roman" w:hAnsi="Times New Roman"/>
          <w:color w:val="000000"/>
          <w:sz w:val="22"/>
          <w:szCs w:val="22"/>
        </w:rPr>
        <w:t xml:space="preserve">The activity diagram in Figure 4.6 illustrates the paper lifecycle from initial submission through final session scheduling. There are four key decision points in the flow: whether the submission deadline has elapsed; whether all assigned reviews have been completed; whether the chair records Accepted, Rejected or Revision Required; and whether the author holds a confirmed, paid registration (the mandatory prerequisite for paper scheduling into a session slot).</w:t>
      </w:r>
    </w:p>
    <w:p>
      <w:pPr>
        <w:spacing w:after="60" w:before="100"/>
        <w:jc w:val="center"/>
      </w:pPr>
      <w:r>
        <w:drawing>
          <wp:inline distT="0" distB="0" distL="0" distR="0">
            <wp:extent cx="29241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24175" cy="5667375"/>
                    </a:xfrm>
                    <a:prstGeom prst="rect">
                      <a:avLst/>
                    </a:prstGeom>
                  </pic:spPr>
                </pic:pic>
              </a:graphicData>
            </a:graphic>
          </wp:inline>
        </w:drawing>
      </w:r>
    </w:p>
    <w:p>
      <w:pPr>
        <w:spacing w:after="120" w:before="60"/>
        <w:jc w:val="center"/>
      </w:pPr>
      <w:r>
        <w:rPr>
          <w:rFonts w:ascii="Times New Roman" w:cs="Times New Roman" w:eastAsia="Times New Roman" w:hAnsi="Times New Roman"/>
          <w:i/>
          <w:iCs/>
          <w:color w:val="000000"/>
          <w:sz w:val="18"/>
          <w:szCs w:val="18"/>
        </w:rPr>
        <w:t xml:space="preserve">Figure 4.6 – Activity Diagram – Paper Lifecycle</w:t>
      </w:r>
    </w:p>
    <w:p>
      <w:pPr>
        <w:spacing w:after="100" w:before="200"/>
        <w:jc w:val="left"/>
      </w:pPr>
      <w:r>
        <w:rPr>
          <w:rFonts w:ascii="Times New Roman" w:cs="Times New Roman" w:eastAsia="Times New Roman" w:hAnsi="Times New Roman"/>
          <w:b/>
          <w:bCs/>
          <w:color w:val="000000"/>
          <w:sz w:val="24"/>
          <w:szCs w:val="24"/>
        </w:rPr>
        <w:t xml:space="preserve">4.7 DATABASE ENTITY RELATIONSHIP DIAGRAM</w:t>
      </w:r>
    </w:p>
    <w:p>
      <w:pPr>
        <w:spacing w:after="80" w:before="60" w:line="276"/>
        <w:jc w:val="both"/>
      </w:pPr>
      <w:r>
        <w:rPr>
          <w:rFonts w:ascii="Times New Roman" w:cs="Times New Roman" w:eastAsia="Times New Roman" w:hAnsi="Times New Roman"/>
          <w:color w:val="000000"/>
          <w:sz w:val="22"/>
          <w:szCs w:val="22"/>
        </w:rPr>
        <w:t xml:space="preserve">ConfMan uses a SQLite3 relational database (instance/cms.sqlite) comprising 13 tables with strict column constraints, primary key auto-increment, unique composite indices and domain check constraints. The core entities are users, conferences, tracks, papers, review_assignments, reviews, decisions, registrations, payments, sessions, presentations, notifications and activity. Foreign key cascades are enforced for all referencing relationships. The ERD in Figure 4.7 illustrates the key tables and their relationships.</w:t>
      </w:r>
    </w:p>
    <w:p>
      <w:pPr>
        <w:spacing w:after="80" w:before="60" w:line="276"/>
        <w:jc w:val="both"/>
      </w:pPr>
      <w:r>
        <w:rPr>
          <w:rFonts w:ascii="Times New Roman" w:cs="Times New Roman" w:eastAsia="Times New Roman" w:hAnsi="Times New Roman"/>
          <w:color w:val="000000"/>
          <w:sz w:val="22"/>
          <w:szCs w:val="22"/>
        </w:rPr>
        <w:t xml:space="preserve">The users table is the central anchor: a user can chair a conference, author papers, hold review assignments and register for conferences. The papers table links a conference, a track and an author, progressing through statuses of Submitted, Under Review, Reviewed, Accepted or Rejected, and finally Scheduled. Each paper can have up to three review_assignments, each yielding one review record. An accepted paper may have exactly one presentation record linking it to a session.</w:t>
      </w:r>
    </w:p>
    <w:p>
      <w:pPr>
        <w:spacing w:after="60" w:before="100"/>
        <w:jc w:val="center"/>
      </w:pPr>
      <w:r>
        <w:drawing>
          <wp:inline distT="0" distB="0" distL="0" distR="0">
            <wp:extent cx="54864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4114800"/>
                    </a:xfrm>
                    <a:prstGeom prst="rect">
                      <a:avLst/>
                    </a:prstGeom>
                  </pic:spPr>
                </pic:pic>
              </a:graphicData>
            </a:graphic>
          </wp:inline>
        </w:drawing>
      </w:r>
    </w:p>
    <w:p>
      <w:pPr>
        <w:spacing w:after="120" w:before="60"/>
        <w:jc w:val="center"/>
      </w:pPr>
      <w:r>
        <w:rPr>
          <w:rFonts w:ascii="Times New Roman" w:cs="Times New Roman" w:eastAsia="Times New Roman" w:hAnsi="Times New Roman"/>
          <w:i/>
          <w:iCs/>
          <w:color w:val="000000"/>
          <w:sz w:val="18"/>
          <w:szCs w:val="18"/>
        </w:rPr>
        <w:t xml:space="preserve">Figure 4.7 – Entity Relationship Diagram</w:t>
      </w:r>
    </w:p>
    <w:p>
      <w:r>
        <w:br w:type="page"/>
      </w:r>
    </w:p>
    <w:p>
      <w:pPr>
        <w:spacing w:after="240" w:before="0"/>
        <w:jc w:val="center"/>
      </w:pPr>
      <w:r>
        <w:rPr>
          <w:rFonts w:ascii="Times New Roman" w:cs="Times New Roman" w:eastAsia="Times New Roman" w:hAnsi="Times New Roman"/>
          <w:b/>
          <w:bCs/>
          <w:color w:val="000000"/>
          <w:sz w:val="28"/>
          <w:szCs w:val="28"/>
        </w:rPr>
        <w:t xml:space="preserve">CHAPTER 5: MODULE DESCRIPTION</w:t>
      </w:r>
    </w:p>
    <w:p>
      <w:pPr>
        <w:spacing w:after="80" w:before="60" w:line="276"/>
        <w:jc w:val="both"/>
      </w:pPr>
      <w:r>
        <w:rPr>
          <w:rFonts w:ascii="Times New Roman" w:cs="Times New Roman" w:eastAsia="Times New Roman" w:hAnsi="Times New Roman"/>
          <w:color w:val="000000"/>
          <w:sz w:val="22"/>
          <w:szCs w:val="22"/>
        </w:rPr>
        <w:t xml:space="preserve">ConfMan is structured into nine distinct functional modules. Each module has a clearly defined responsibility, and together they provide the complete conference management lifecycle.</w:t>
      </w:r>
    </w:p>
    <w:p>
      <w:pPr>
        <w:spacing w:after="60" w:before="120"/>
        <w:jc w:val="left"/>
      </w:pPr>
      <w:r>
        <w:rPr>
          <w:rFonts w:ascii="Times New Roman" w:cs="Times New Roman" w:eastAsia="Times New Roman" w:hAnsi="Times New Roman"/>
          <w:b/>
          <w:bCs/>
          <w:color w:val="000000"/>
          <w:sz w:val="22"/>
          <w:szCs w:val="22"/>
        </w:rPr>
        <w:t xml:space="preserve">Table 5.1 – Major Project Modules</w:t>
      </w:r>
    </w:p>
    <w:tbl>
      <w:tblPr>
        <w:tblW w:type="pct" w:w="100%"/>
        <w:tblBorders>
          <w:top w:val="single" w:color="000000" w:sz="4"/>
          <w:left w:val="single" w:color="000000" w:sz="4"/>
          <w:bottom w:val="single" w:color="000000" w:sz="4"/>
          <w:right w:val="single" w:color="000000" w:sz="4"/>
          <w:insideH w:val="single" w:color="000000" w:sz="2"/>
          <w:insideV w:val="single" w:color="000000" w:sz="2"/>
        </w:tblBorders>
        <w:tblLayout w:type="fixed"/>
      </w:tblPr>
      <w:tblGrid>
        <w:gridCol w:w="100"/>
        <w:gridCol w:w="100"/>
        <w:gridCol w:w="100"/>
      </w:tblGrid>
      <w:tr>
        <w:trPr>
          <w:tblHeader/>
        </w:trPr>
        <w:tc>
          <w:tcPr>
            <w:tcW w:type="pct" w:w="020"/>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Module</w:t>
            </w:r>
          </w:p>
        </w:tc>
        <w:tc>
          <w:tcPr>
            <w:tcW w:type="pct" w:w="022"/>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Primary File</w:t>
            </w:r>
          </w:p>
        </w:tc>
        <w:tc>
          <w:tcPr>
            <w:tcW w:type="pct" w:w="05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Responsibility</w:t>
            </w:r>
          </w:p>
        </w:tc>
      </w:tr>
      <w:tr>
        <w:tc>
          <w:tcPr>
            <w:tcW w:type="pct" w:w="02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User &amp; Authentication</w:t>
            </w:r>
          </w:p>
        </w:tc>
        <w:tc>
          <w:tcPr>
            <w:tcW w:type="pct" w:w="02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services.py L101–135</w:t>
            </w:r>
          </w:p>
        </w:tc>
        <w:tc>
          <w:tcPr>
            <w:tcW w:type="pct" w:w="05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User registration, PBKDF2 hashing, login and session management.</w:t>
            </w:r>
          </w:p>
        </w:tc>
      </w:tr>
      <w:tr>
        <w:tc>
          <w:tcPr>
            <w:tcW w:type="pct" w:w="02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Conference &amp; Tracks</w:t>
            </w:r>
          </w:p>
        </w:tc>
        <w:tc>
          <w:tcPr>
            <w:tcW w:type="pct" w:w="02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services.py L138–182</w:t>
            </w:r>
          </w:p>
        </w:tc>
        <w:tc>
          <w:tcPr>
            <w:tcW w:type="pct" w:w="05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Conference creation, date validation, track management and CSV export.</w:t>
            </w:r>
          </w:p>
        </w:tc>
      </w:tr>
      <w:tr>
        <w:tc>
          <w:tcPr>
            <w:tcW w:type="pct" w:w="02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Manuscript Ingestion</w:t>
            </w:r>
          </w:p>
        </w:tc>
        <w:tc>
          <w:tcPr>
            <w:tcW w:type="pct" w:w="02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services.py L185–217</w:t>
            </w:r>
          </w:p>
        </w:tc>
        <w:tc>
          <w:tcPr>
            <w:tcW w:type="pct" w:w="05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PDF submission, deadline validation, metadata indexing and file storage.</w:t>
            </w:r>
          </w:p>
        </w:tc>
      </w:tr>
      <w:tr>
        <w:tc>
          <w:tcPr>
            <w:tcW w:type="pct" w:w="02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Reviewer Assignment</w:t>
            </w:r>
          </w:p>
        </w:tc>
        <w:tc>
          <w:tcPr>
            <w:tcW w:type="pct" w:w="02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services.py L220–348</w:t>
            </w:r>
          </w:p>
        </w:tc>
        <w:tc>
          <w:tcPr>
            <w:tcW w:type="pct" w:w="05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Manual, auto-assign and volunteer allocation with COI and workload checks.</w:t>
            </w:r>
          </w:p>
        </w:tc>
      </w:tr>
      <w:tr>
        <w:tc>
          <w:tcPr>
            <w:tcW w:type="pct" w:w="02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Peer Review &amp; Decision</w:t>
            </w:r>
          </w:p>
        </w:tc>
        <w:tc>
          <w:tcPr>
            <w:tcW w:type="pct" w:w="02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services.py L350–426</w:t>
            </w:r>
          </w:p>
        </w:tc>
        <w:tc>
          <w:tcPr>
            <w:tcW w:type="pct" w:w="05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Blind review submission, score aggregation and editorial decision recording.</w:t>
            </w:r>
          </w:p>
        </w:tc>
      </w:tr>
      <w:tr>
        <w:tc>
          <w:tcPr>
            <w:tcW w:type="pct" w:w="02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Registration &amp; Fee</w:t>
            </w:r>
          </w:p>
        </w:tc>
        <w:tc>
          <w:tcPr>
            <w:tcW w:type="pct" w:w="02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services.py L428–455</w:t>
            </w:r>
          </w:p>
        </w:tc>
        <w:tc>
          <w:tcPr>
            <w:tcW w:type="pct" w:w="05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Tiered fee engine with early-bird discount and duplicate registration prevention.</w:t>
            </w:r>
          </w:p>
        </w:tc>
      </w:tr>
      <w:tr>
        <w:tc>
          <w:tcPr>
            <w:tcW w:type="pct" w:w="02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Payment Processing</w:t>
            </w:r>
          </w:p>
        </w:tc>
        <w:tc>
          <w:tcPr>
            <w:tcW w:type="pct" w:w="02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services.py L457–500</w:t>
            </w:r>
          </w:p>
        </w:tc>
        <w:tc>
          <w:tcPr>
            <w:tcW w:type="pct" w:w="05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Luhn validation, mock gateway, transaction reference and card zero-retention.</w:t>
            </w:r>
          </w:p>
        </w:tc>
      </w:tr>
      <w:tr>
        <w:tc>
          <w:tcPr>
            <w:tcW w:type="pct" w:w="02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Session Scheduling</w:t>
            </w:r>
          </w:p>
        </w:tc>
        <w:tc>
          <w:tcPr>
            <w:tcW w:type="pct" w:w="02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services.py L502–578</w:t>
            </w:r>
          </w:p>
        </w:tc>
        <w:tc>
          <w:tcPr>
            <w:tcW w:type="pct" w:w="05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Room clash detection, capacity checks and paid-author prerequisite enforcement.</w:t>
            </w:r>
          </w:p>
        </w:tc>
      </w:tr>
      <w:tr>
        <w:tc>
          <w:tcPr>
            <w:tcW w:type="pct" w:w="02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Analytics &amp; Insights</w:t>
            </w:r>
          </w:p>
        </w:tc>
        <w:tc>
          <w:tcPr>
            <w:tcW w:type="pct" w:w="02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insights.py L1–219</w:t>
            </w:r>
          </w:p>
        </w:tc>
        <w:tc>
          <w:tcPr>
            <w:tcW w:type="pct" w:w="05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KPI aggregations, weekly time-series, reviewer workload and score histograms.</w:t>
            </w:r>
          </w:p>
        </w:tc>
      </w:tr>
      <w:tr>
        <w:tc>
          <w:tcPr>
            <w:tcW w:type="pct" w:w="02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Presentation Routing</w:t>
            </w:r>
          </w:p>
        </w:tc>
        <w:tc>
          <w:tcPr>
            <w:tcW w:type="pct" w:w="02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__init__.py L1–928</w:t>
            </w:r>
          </w:p>
        </w:tc>
        <w:tc>
          <w:tcPr>
            <w:tcW w:type="pct" w:w="05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Flask routes, CSRF guard, role decorators and Jinja2 context processors.</w:t>
            </w:r>
          </w:p>
        </w:tc>
      </w:tr>
      <w:tr>
        <w:tc>
          <w:tcPr>
            <w:tcW w:type="pct" w:w="02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Tests</w:t>
            </w:r>
          </w:p>
        </w:tc>
        <w:tc>
          <w:tcPr>
            <w:tcW w:type="pct" w:w="02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tests/</w:t>
            </w:r>
          </w:p>
        </w:tc>
        <w:tc>
          <w:tcPr>
            <w:tcW w:type="pct" w:w="05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67 automated unit and integration test cases achieving 100% pass rate.</w:t>
            </w:r>
          </w:p>
        </w:tc>
      </w:tr>
    </w:tbl>
    <w:p>
      <w:pPr>
        <w:spacing w:after="100" w:before="200"/>
        <w:jc w:val="left"/>
      </w:pPr>
      <w:r>
        <w:rPr>
          <w:rFonts w:ascii="Times New Roman" w:cs="Times New Roman" w:eastAsia="Times New Roman" w:hAnsi="Times New Roman"/>
          <w:b/>
          <w:bCs/>
          <w:color w:val="000000"/>
          <w:sz w:val="24"/>
          <w:szCs w:val="24"/>
        </w:rPr>
        <w:t xml:space="preserve">5.1 USER AND AUTHENTICATION MODULE</w:t>
      </w:r>
    </w:p>
    <w:p>
      <w:pPr>
        <w:spacing w:after="80" w:before="60" w:line="276"/>
        <w:jc w:val="both"/>
      </w:pPr>
      <w:r>
        <w:rPr>
          <w:rFonts w:ascii="Times New Roman" w:cs="Times New Roman" w:eastAsia="Times New Roman" w:hAnsi="Times New Roman"/>
          <w:color w:val="000000"/>
          <w:sz w:val="22"/>
          <w:szCs w:val="22"/>
        </w:rPr>
        <w:t xml:space="preserve">The User and Authentication Module is the entry point for every interaction. It accepts a user's name, email, password and role, normalises the email to lowercase and validates password complexity (minimum 8 characters, at least one numeric digit). Passwords are stored as Werkzeug PBKDF2-HMAC-SHA256 hashes. Self-registration is restricted to the Author, Reviewer and Attendee roles; Chair and Admin accounts must be created by an existing Administrator. During login, the module verifies the hash and checks the is_active flag, refusing deactivated accounts with a descriptive error.</w:t>
      </w:r>
    </w:p>
    <w:p>
      <w:pPr>
        <w:spacing w:after="100" w:before="200"/>
        <w:jc w:val="left"/>
      </w:pPr>
      <w:r>
        <w:rPr>
          <w:rFonts w:ascii="Times New Roman" w:cs="Times New Roman" w:eastAsia="Times New Roman" w:hAnsi="Times New Roman"/>
          <w:b/>
          <w:bCs/>
          <w:color w:val="000000"/>
          <w:sz w:val="24"/>
          <w:szCs w:val="24"/>
        </w:rPr>
        <w:t xml:space="preserve">5.2 CONFERENCE AND TRACK MANAGEMENT MODULE</w:t>
      </w:r>
    </w:p>
    <w:p>
      <w:pPr>
        <w:spacing w:after="80" w:before="60" w:line="276"/>
        <w:jc w:val="both"/>
      </w:pPr>
      <w:r>
        <w:rPr>
          <w:rFonts w:ascii="Times New Roman" w:cs="Times New Roman" w:eastAsia="Times New Roman" w:hAnsi="Times New Roman"/>
          <w:color w:val="000000"/>
          <w:sz w:val="22"/>
          <w:szCs w:val="22"/>
        </w:rPr>
        <w:t xml:space="preserve">This module enables Program Chairs and Administrators to create conference editions with venue, start and end dates, submission deadline and early-bird deadline. The service enforces chronological consistency: end_date &gt;= start_date, submission_deadline &lt; start_date and early_bird_deadline &lt;= start_date. Tracks are added as thematic areas within a conference; the schema enforces UNIQUE (conf_id, name) to prevent duplicate track names within the same conference. The module also provides get_program for public timetable rendering and export_papers for RFC 4180 compliant CSV export of paper metadata.</w:t>
      </w:r>
    </w:p>
    <w:p>
      <w:pPr>
        <w:spacing w:after="100" w:before="200"/>
        <w:jc w:val="left"/>
      </w:pPr>
      <w:r>
        <w:rPr>
          <w:rFonts w:ascii="Times New Roman" w:cs="Times New Roman" w:eastAsia="Times New Roman" w:hAnsi="Times New Roman"/>
          <w:b/>
          <w:bCs/>
          <w:color w:val="000000"/>
          <w:sz w:val="24"/>
          <w:szCs w:val="24"/>
        </w:rPr>
        <w:t xml:space="preserve">5.3 MANUSCRIPT INGESTION MODULE</w:t>
      </w:r>
    </w:p>
    <w:p>
      <w:pPr>
        <w:spacing w:after="80" w:before="60" w:line="276"/>
        <w:jc w:val="both"/>
      </w:pPr>
      <w:r>
        <w:rPr>
          <w:rFonts w:ascii="Times New Roman" w:cs="Times New Roman" w:eastAsia="Times New Roman" w:hAnsi="Times New Roman"/>
          <w:color w:val="000000"/>
          <w:sz w:val="22"/>
          <w:szCs w:val="22"/>
        </w:rPr>
        <w:t xml:space="preserve">The Manuscript Ingestion Module processes author paper submissions. It validates that the submission deadline has not elapsed, that the specified track belongs to the target conference, that the title does not exceed 200 characters, that the abstract contains at least 50 characters and that the uploaded file has a .pdf extension. On success, it inserts a paper record with status Submitted, dispatches in-app notifications to both the submitting author and the conference chair, logs the event in the activity table and commits the transaction. The uploaded PDF is saved to instance/uploads/ using a UUID-based filename pattern to prevent collision and directory traversal attacks.</w:t>
      </w:r>
    </w:p>
    <w:p>
      <w:pPr>
        <w:spacing w:after="100" w:before="200"/>
        <w:jc w:val="left"/>
      </w:pPr>
      <w:r>
        <w:rPr>
          <w:rFonts w:ascii="Times New Roman" w:cs="Times New Roman" w:eastAsia="Times New Roman" w:hAnsi="Times New Roman"/>
          <w:b/>
          <w:bCs/>
          <w:color w:val="000000"/>
          <w:sz w:val="24"/>
          <w:szCs w:val="24"/>
        </w:rPr>
        <w:t xml:space="preserve">5.4 REVIEWER ASSIGNMENT MODULE</w:t>
      </w:r>
    </w:p>
    <w:p>
      <w:pPr>
        <w:spacing w:after="80" w:before="60" w:line="276"/>
        <w:jc w:val="both"/>
      </w:pPr>
      <w:r>
        <w:rPr>
          <w:rFonts w:ascii="Times New Roman" w:cs="Times New Roman" w:eastAsia="Times New Roman" w:hAnsi="Times New Roman"/>
          <w:color w:val="000000"/>
          <w:sz w:val="22"/>
          <w:szCs w:val="22"/>
        </w:rPr>
        <w:t xml:space="preserve">The Reviewer Assignment Module provides three allocation pathways. The manual pathway allows the chair to select a specific reviewer for a paper. The automated pathway implements a greedy ranked algorithm that tokenises paper keywords, track name and title into term sets, computes keyword overlap with each candidate reviewer's expertise field and ranks candidates by descending overlap, then ascending pending workload. The volunteering pathway allows reviewers to self-assign from a curated open papers pool. All three pathways enforce identical invariants: the reviewer must not be the paper's author (COI prevention), cannot already be assigned to the same paper, cannot hold more than 5 pending reviews and the paper cannot have more than 3 reviewers. Assigning the first reviewer transitions the paper status to Under Review.</w:t>
      </w:r>
    </w:p>
    <w:p>
      <w:pPr>
        <w:spacing w:after="100" w:before="200"/>
        <w:jc w:val="left"/>
      </w:pPr>
      <w:r>
        <w:rPr>
          <w:rFonts w:ascii="Times New Roman" w:cs="Times New Roman" w:eastAsia="Times New Roman" w:hAnsi="Times New Roman"/>
          <w:b/>
          <w:bCs/>
          <w:color w:val="000000"/>
          <w:sz w:val="24"/>
          <w:szCs w:val="24"/>
        </w:rPr>
        <w:t xml:space="preserve">5.5 PEER REVIEW AND EDITORIAL DECISION MODULE</w:t>
      </w:r>
    </w:p>
    <w:p>
      <w:pPr>
        <w:spacing w:after="80" w:before="60" w:line="276"/>
        <w:jc w:val="both"/>
      </w:pPr>
      <w:r>
        <w:rPr>
          <w:rFonts w:ascii="Times New Roman" w:cs="Times New Roman" w:eastAsia="Times New Roman" w:hAnsi="Times New Roman"/>
          <w:color w:val="000000"/>
          <w:sz w:val="22"/>
          <w:szCs w:val="22"/>
        </w:rPr>
        <w:t xml:space="preserve">Reviewers submit evaluations consisting of an integer score (1–10), a narrative critique (minimum 20 characters) and a categorical recommendation. Author identity is stripped from all reviewer-facing views; reviewer identities and critiques are hidden from authors until a decision is recorded. When all pending review assignments for a paper are completed, the paper status automatically transitions to Reviewed. The decision support function calculates the arithmetic mean of completed review scores and maps it to a suggested decision: Accepted if the average is 7.0 or above, Revision Required if between 5.0 and 6.9 and Rejected if below 5.0. The chair records a binding decision after at least 2 reviews are present, with the system dispatching an author notification containing the decision remarks.</w:t>
      </w:r>
    </w:p>
    <w:p>
      <w:pPr>
        <w:spacing w:after="100" w:before="200"/>
        <w:jc w:val="left"/>
      </w:pPr>
      <w:r>
        <w:rPr>
          <w:rFonts w:ascii="Times New Roman" w:cs="Times New Roman" w:eastAsia="Times New Roman" w:hAnsi="Times New Roman"/>
          <w:b/>
          <w:bCs/>
          <w:color w:val="000000"/>
          <w:sz w:val="24"/>
          <w:szCs w:val="24"/>
        </w:rPr>
        <w:t xml:space="preserve">5.6 REGISTRATION AND FEE CALCULATION MODULE</w:t>
      </w:r>
    </w:p>
    <w:p>
      <w:pPr>
        <w:spacing w:after="80" w:before="60" w:line="276"/>
        <w:jc w:val="both"/>
      </w:pPr>
      <w:r>
        <w:rPr>
          <w:rFonts w:ascii="Times New Roman" w:cs="Times New Roman" w:eastAsia="Times New Roman" w:hAnsi="Times New Roman"/>
          <w:color w:val="000000"/>
          <w:sz w:val="22"/>
          <w:szCs w:val="22"/>
        </w:rPr>
        <w:t xml:space="preserve">This module manages conference attendee registrations and fee determination. Three registration tiers are supported: Student (Rs 500), Academic (Rs 1,000) and Industry (Rs 2,000). If the registration date falls on or before the conference early_bird_deadline, a 20% discount is applied automatically (fee *= 0.80). Duplicate registrations for the same user and conference are blocked by a UNIQUE (conf_id, user_id) database constraint. Each registration begins in Pending Payment status and transitions to Confirmed after a successful payment.</w:t>
      </w:r>
    </w:p>
    <w:p>
      <w:pPr>
        <w:spacing w:after="100" w:before="200"/>
        <w:jc w:val="left"/>
      </w:pPr>
      <w:r>
        <w:rPr>
          <w:rFonts w:ascii="Times New Roman" w:cs="Times New Roman" w:eastAsia="Times New Roman" w:hAnsi="Times New Roman"/>
          <w:b/>
          <w:bCs/>
          <w:color w:val="000000"/>
          <w:sz w:val="24"/>
          <w:szCs w:val="24"/>
        </w:rPr>
        <w:t xml:space="preserve">5.7 PAYMENT PROCESSING MODULE</w:t>
      </w:r>
    </w:p>
    <w:p>
      <w:pPr>
        <w:spacing w:after="80" w:before="60" w:line="276"/>
        <w:jc w:val="both"/>
      </w:pPr>
      <w:r>
        <w:rPr>
          <w:rFonts w:ascii="Times New Roman" w:cs="Times New Roman" w:eastAsia="Times New Roman" w:hAnsi="Times New Roman"/>
          <w:color w:val="000000"/>
          <w:sz w:val="22"/>
          <w:szCs w:val="22"/>
        </w:rPr>
        <w:t xml:space="preserve">The Payment Processing Module validates credit card instruments and simulates gateway interaction. Card numbers must consist of 13 to 19 digits and pass the Luhn mod-10 checksum algorithm. The mock gateway declines any card whose digits end with 0002; all other valid cards receive a cryptographically pseudo-random transaction reference in the format TXN-{10 hex chars}. Critically, card numbers are never stored in the database or written to any log file, consistent with PCI-DSS compliance simulation. Only the transaction reference, timestamp, fee amount and outcome status are persisted in the payments table.</w:t>
      </w:r>
    </w:p>
    <w:p>
      <w:pPr>
        <w:spacing w:after="100" w:before="200"/>
        <w:jc w:val="left"/>
      </w:pPr>
      <w:r>
        <w:rPr>
          <w:rFonts w:ascii="Times New Roman" w:cs="Times New Roman" w:eastAsia="Times New Roman" w:hAnsi="Times New Roman"/>
          <w:b/>
          <w:bCs/>
          <w:color w:val="000000"/>
          <w:sz w:val="24"/>
          <w:szCs w:val="24"/>
        </w:rPr>
        <w:t xml:space="preserve">5.8 SESSION SCHEDULING MODULE</w:t>
      </w:r>
    </w:p>
    <w:p>
      <w:pPr>
        <w:spacing w:after="80" w:before="60" w:line="276"/>
        <w:jc w:val="both"/>
      </w:pPr>
      <w:r>
        <w:rPr>
          <w:rFonts w:ascii="Times New Roman" w:cs="Times New Roman" w:eastAsia="Times New Roman" w:hAnsi="Times New Roman"/>
          <w:color w:val="000000"/>
          <w:sz w:val="22"/>
          <w:szCs w:val="22"/>
        </w:rPr>
        <w:t xml:space="preserve">The Session Scheduling Module enables chairs to define conference presentation sessions with room designators, timeslots and seating capacity. Before creating a session, the module queries existing sessions for the same conference and room to detect temporal overlap using the interval condition: existing.start_time &lt; new_end_time AND existing.end_time &gt; new_start_time. Overlapping sessions are rejected. When scheduling an accepted paper into a session, the module verifies that the paper status is Accepted, that the session has not reached capacity, that the paper has not already been scheduled and that the paper's primary author holds a confirmed, paid registration. On success, a presentations record is inserted and the paper status advances to Scheduled.</w:t>
      </w:r>
    </w:p>
    <w:p>
      <w:pPr>
        <w:spacing w:after="100" w:before="200"/>
        <w:jc w:val="left"/>
      </w:pPr>
      <w:r>
        <w:rPr>
          <w:rFonts w:ascii="Times New Roman" w:cs="Times New Roman" w:eastAsia="Times New Roman" w:hAnsi="Times New Roman"/>
          <w:b/>
          <w:bCs/>
          <w:color w:val="000000"/>
          <w:sz w:val="24"/>
          <w:szCs w:val="24"/>
        </w:rPr>
        <w:t xml:space="preserve">5.9 ANALYTICS AND INSIGHTS MODULE</w:t>
      </w:r>
    </w:p>
    <w:p>
      <w:pPr>
        <w:spacing w:after="80" w:before="60" w:line="276"/>
        <w:jc w:val="both"/>
      </w:pPr>
      <w:r>
        <w:rPr>
          <w:rFonts w:ascii="Times New Roman" w:cs="Times New Roman" w:eastAsia="Times New Roman" w:hAnsi="Times New Roman"/>
          <w:color w:val="000000"/>
          <w:sz w:val="22"/>
          <w:szCs w:val="22"/>
        </w:rPr>
        <w:t xml:space="preserve">The Analytics and Insights Module (cms_app/insights.py) serves read-only analytical queries separated entirely from transactional write logic. Functions include manager_kpis for computing total submissions, acceptance percentages and review completion rates; admin_kpis for platform-wide user growth and revenue metrics; weekly_series for 8-week submission velocity bucketing used in SVG bar charts; reviewer_workload for pending and completed review counts per reviewer; open_papers for constructing the reviewer volunteering pool; and score_histogram for review score distribution charts. All aggregations execute directly in SQLite3 in single-digit milliseconds.</w:t>
      </w:r>
    </w:p>
    <w:p>
      <w:r>
        <w:br w:type="page"/>
      </w:r>
    </w:p>
    <w:p>
      <w:pPr>
        <w:spacing w:after="240" w:before="0"/>
        <w:jc w:val="center"/>
      </w:pPr>
      <w:r>
        <w:rPr>
          <w:rFonts w:ascii="Times New Roman" w:cs="Times New Roman" w:eastAsia="Times New Roman" w:hAnsi="Times New Roman"/>
          <w:b/>
          <w:bCs/>
          <w:color w:val="000000"/>
          <w:sz w:val="28"/>
          <w:szCs w:val="28"/>
        </w:rPr>
        <w:t xml:space="preserve">CHAPTER 6: IMPLEMENTATION</w:t>
      </w:r>
    </w:p>
    <w:p>
      <w:pPr>
        <w:spacing w:after="100" w:before="200"/>
        <w:jc w:val="left"/>
      </w:pPr>
      <w:r>
        <w:rPr>
          <w:rFonts w:ascii="Times New Roman" w:cs="Times New Roman" w:eastAsia="Times New Roman" w:hAnsi="Times New Roman"/>
          <w:b/>
          <w:bCs/>
          <w:color w:val="000000"/>
          <w:sz w:val="24"/>
          <w:szCs w:val="24"/>
        </w:rPr>
        <w:t xml:space="preserve">6.1 APPLICATION ARCHITECTURE AND FACTORY PATTERN</w:t>
      </w:r>
    </w:p>
    <w:p>
      <w:pPr>
        <w:spacing w:after="80" w:before="60" w:line="276"/>
        <w:jc w:val="both"/>
      </w:pPr>
      <w:r>
        <w:rPr>
          <w:rFonts w:ascii="Times New Roman" w:cs="Times New Roman" w:eastAsia="Times New Roman" w:hAnsi="Times New Roman"/>
          <w:color w:val="000000"/>
          <w:sz w:val="22"/>
          <w:szCs w:val="22"/>
        </w:rPr>
        <w:t xml:space="preserve">The entire application is assembled by the create_app() factory function in cms_app/__init__.py. The factory accepts an optional test_config dictionary, enabling the test harness to substitute an in-memory SQLite database and disable CSRF enforcement. Key configuration parameters include SECRET_KEY (read from the CMS_SECRET environment variable), DATABASE (path to instance/cms.sqlite), UPLOAD_FOLDER (path to instance/uploads/), MAX_CONTENT_LENGTH (10 MB ceiling for PDF uploads) and AUTO_SEED (automatically loads demo data into an empty database at startup). The factory registers the database teardown hook, custom Jinja2 filters and all route handlers before returning the configured application instance.</w:t>
      </w:r>
    </w:p>
    <w:p>
      <w:pPr>
        <w:spacing w:after="80" w:before="60" w:line="276"/>
        <w:jc w:val="both"/>
      </w:pPr>
      <w:r>
        <w:rPr>
          <w:rFonts w:ascii="Times New Roman" w:cs="Times New Roman" w:eastAsia="Times New Roman" w:hAnsi="Times New Roman"/>
          <w:color w:val="000000"/>
          <w:sz w:val="22"/>
          <w:szCs w:val="22"/>
        </w:rPr>
        <w:t xml:space="preserve">The security pre-filter attached via @app.before_request intercepts every incoming request. It reads session['user_id'], queries the active user record, attaches it to Flask's context proxy as g.user and, for POST requests, extracts the form field _csrf and compares it to session['_csrf'] using secrets.compare_digest. Mismatches return HTTP 400 immediately. The route-level decorators @login_required and @role_required enforce authentication and authorisation, returning HTTP 302 or HTTP 403 respectively when checks fail.</w:t>
      </w:r>
    </w:p>
    <w:p>
      <w:pPr>
        <w:spacing w:after="100" w:before="200"/>
        <w:jc w:val="left"/>
      </w:pPr>
      <w:r>
        <w:rPr>
          <w:rFonts w:ascii="Times New Roman" w:cs="Times New Roman" w:eastAsia="Times New Roman" w:hAnsi="Times New Roman"/>
          <w:b/>
          <w:bCs/>
          <w:color w:val="000000"/>
          <w:sz w:val="24"/>
          <w:szCs w:val="24"/>
        </w:rPr>
        <w:t xml:space="preserve">6.2 BUSINESS LOGIC LAYER</w:t>
      </w:r>
    </w:p>
    <w:p>
      <w:pPr>
        <w:spacing w:after="80" w:before="60" w:line="276"/>
        <w:jc w:val="both"/>
      </w:pPr>
      <w:r>
        <w:rPr>
          <w:rFonts w:ascii="Times New Roman" w:cs="Times New Roman" w:eastAsia="Times New Roman" w:hAnsi="Times New Roman"/>
          <w:color w:val="000000"/>
          <w:sz w:val="22"/>
          <w:szCs w:val="22"/>
        </w:rPr>
        <w:t xml:space="preserve">The business logic layer is implemented entirely in cms_app/services.py. Every service function accepts a standard sqlite3.Connection as its first argument and raises a ServiceError exception (a subclass of ValueError) on rule violations. This design ensures that the services have zero imports from Flask, Werkzeug or Jinja2, making them independently testable with in-memory SQLite instances.</w:t>
      </w:r>
    </w:p>
    <w:p>
      <w:pPr>
        <w:spacing w:after="80" w:before="60" w:line="276"/>
        <w:jc w:val="both"/>
      </w:pPr>
      <w:r>
        <w:rPr>
          <w:rFonts w:ascii="Times New Roman" w:cs="Times New Roman" w:eastAsia="Times New Roman" w:hAnsi="Times New Roman"/>
          <w:color w:val="000000"/>
          <w:sz w:val="22"/>
          <w:szCs w:val="22"/>
        </w:rPr>
        <w:t xml:space="preserve">The reviewer ranking heuristic is particularly noteworthy. A terms() helper tokenises text by splitting on non-alphanumeric characters and converting tokens to lowercase, discarding terms of 2 characters or fewer. The wanted set is computed from the paper's keywords, track name and title. For each eligible candidate reviewer, the intersection cardinality |wanted ∩ reviewer_expertise_terms| provides the match_score. Candidates are sorted by (is_full ASC, match DESC, load ASC, name ASC), ensuring that reviewers under quota with the highest domain overlap and lowest current workload are assigned first.</w:t>
      </w:r>
    </w:p>
    <w:p>
      <w:pPr>
        <w:spacing w:after="80" w:before="60" w:line="276"/>
        <w:jc w:val="both"/>
      </w:pPr>
      <w:r>
        <w:rPr>
          <w:rFonts w:ascii="Times New Roman" w:cs="Times New Roman" w:eastAsia="Times New Roman" w:hAnsi="Times New Roman"/>
          <w:color w:val="000000"/>
          <w:sz w:val="22"/>
          <w:szCs w:val="22"/>
        </w:rPr>
        <w:t xml:space="preserve">The Luhn mod-10 checksum implementation traverses the card number digits in reverse order, doubling every second digit (subtracting 9 if the doubled value exceeds 9) and summing all values. A valid card number produces a total that is divisible by 10. Card number validation uses a strict ASCII regular expression (re.fullmatch(r'[0-9]{13,19}', card)) rather than str.isdigit(), preventing Unicode digit characters from bypassing the check.</w:t>
      </w:r>
    </w:p>
    <w:p>
      <w:pPr>
        <w:spacing w:after="60" w:before="120"/>
        <w:jc w:val="left"/>
      </w:pPr>
      <w:r>
        <w:rPr>
          <w:rFonts w:ascii="Times New Roman" w:cs="Times New Roman" w:eastAsia="Times New Roman" w:hAnsi="Times New Roman"/>
          <w:b/>
          <w:bCs/>
          <w:color w:val="000000"/>
          <w:sz w:val="22"/>
          <w:szCs w:val="22"/>
        </w:rPr>
        <w:t xml:space="preserve">Table 6.1 – HTTP API Endpoints</w:t>
      </w:r>
    </w:p>
    <w:tbl>
      <w:tblPr>
        <w:tblW w:type="pct" w:w="100%"/>
        <w:tblBorders>
          <w:top w:val="single" w:color="000000" w:sz="4"/>
          <w:left w:val="single" w:color="000000" w:sz="4"/>
          <w:bottom w:val="single" w:color="000000" w:sz="4"/>
          <w:right w:val="single" w:color="000000" w:sz="4"/>
          <w:insideH w:val="single" w:color="000000" w:sz="2"/>
          <w:insideV w:val="single" w:color="000000" w:sz="2"/>
        </w:tblBorders>
        <w:tblLayout w:type="fixed"/>
      </w:tblPr>
      <w:tblGrid>
        <w:gridCol w:w="100"/>
        <w:gridCol w:w="100"/>
        <w:gridCol w:w="100"/>
        <w:gridCol w:w="100"/>
      </w:tblGrid>
      <w:tr>
        <w:trPr>
          <w:tblHeader/>
        </w:trPr>
        <w:tc>
          <w:tcPr>
            <w:tcW w:type="pct" w:w="010"/>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Method</w:t>
            </w:r>
          </w:p>
        </w:tc>
        <w:tc>
          <w:tcPr>
            <w:tcW w:type="pct" w:w="030"/>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Route</w:t>
            </w:r>
          </w:p>
        </w:tc>
        <w:tc>
          <w:tcPr>
            <w:tcW w:type="pct" w:w="01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Access</w:t>
            </w:r>
          </w:p>
        </w:tc>
        <w:tc>
          <w:tcPr>
            <w:tcW w:type="pct" w:w="042"/>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Description</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GET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Public</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Landing page with platform statistics and conference listing.</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GET/POST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/register</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Public</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Self-registration for Author, Reviewer or Attendee roles.</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GET/POST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/login</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Public</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User authentication and session establishment.</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POST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/logout</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Authenticated</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Session clearance and redirect to landing page.</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GET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/dashboard</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login_required</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Role-specific dashboard with KPI telemetry.</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GET/POST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/conferences/new</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chair, admin</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Conference creation with chronological validation.</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GET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/conferences/&lt;id&gt;</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Public / Mixed</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Conference detail with tracks, sessions and fee information.</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POST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/conferences/&lt;id&gt;/tracks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Chair / Admin</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Add a thematic track to the conference.</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POST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/conferences/&lt;id&gt;/sessions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Chair / Admin</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Create a session with room clash detection.</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POST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/conferences/&lt;id&gt;/auto-assign</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Chair / Admin</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Batch auto-assign reviewers to all under-reviewed papers.</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GET/POST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/conferences/&lt;id&gt;/submit</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author</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Manuscript submission with PDF upload.</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GET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/papers/&lt;id&gt;</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login_required</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Paper detail with reviews, decision tools and scheduling.</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POST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/papers/&lt;id&gt;/assign</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Chair / Admin</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Manually assign a designated reviewer.</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POST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/papers/&lt;id&gt;/volunteer</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reviewer</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Reviewer self-assignment to an open paper.</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POST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/papers/&lt;id&gt;/decision</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Chair / Admin</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Record editorial decision with algorithmic guidance.</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POST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/papers/&lt;id&gt;/schedule</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Chair / Admin</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Schedule accepted paper into a session slot.</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GET/POST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/reviews/&lt;assignment_id&gt;</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reviewer</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Double-blind review form and submission.</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GET/POST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/conferences/&lt;id&gt;/registration</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login_required</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Conference registration with tiered fee display.</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GET/POST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/registrations/&lt;id&gt;/pay</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login_required</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Mock card payment checkout with Luhn validation.</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GET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/analytics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chair, admin</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Manager analytics: KPIs, score histograms and revenue.</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GET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/admin/users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admin</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User management table with role and activation controls.</w:t>
            </w:r>
          </w:p>
        </w:tc>
      </w:tr>
      <w:tr>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GET</w:t>
            </w:r>
          </w:p>
        </w:tc>
        <w:tc>
          <w:tcPr>
            <w:tcW w:type="pct" w:w="03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/admin/activity</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admin</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Chronological system-wide audit log.</w:t>
            </w:r>
          </w:p>
        </w:tc>
      </w:tr>
    </w:tbl>
    <w:p>
      <w:pPr>
        <w:spacing w:after="100" w:before="200"/>
        <w:jc w:val="left"/>
      </w:pPr>
      <w:r>
        <w:rPr>
          <w:rFonts w:ascii="Times New Roman" w:cs="Times New Roman" w:eastAsia="Times New Roman" w:hAnsi="Times New Roman"/>
          <w:b/>
          <w:bCs/>
          <w:color w:val="000000"/>
          <w:sz w:val="24"/>
          <w:szCs w:val="24"/>
        </w:rPr>
        <w:t xml:space="preserve">6.3 FRONTEND IMPLEMENTATION</w:t>
      </w:r>
    </w:p>
    <w:p>
      <w:pPr>
        <w:spacing w:after="80" w:before="60" w:line="276"/>
        <w:jc w:val="both"/>
      </w:pPr>
      <w:r>
        <w:rPr>
          <w:rFonts w:ascii="Times New Roman" w:cs="Times New Roman" w:eastAsia="Times New Roman" w:hAnsi="Times New Roman"/>
          <w:color w:val="000000"/>
          <w:sz w:val="22"/>
          <w:szCs w:val="22"/>
        </w:rPr>
        <w:t xml:space="preserve">The user interface is implemented as a collection of Jinja2 HTML5 templates using a custom Teal Design System (cms_app/static/style.css, 362 lines). The design uses CSS custom properties (variables) for theming, CSS Grid and Flexbox for layout and inline SVG for all icons, charts and visualisations. No external CSS frameworks (Bootstrap, Tailwind), JavaScript build tools (Webpack, Vite) or CDN-hosted libraries are required.</w:t>
      </w:r>
    </w:p>
    <w:p>
      <w:pPr>
        <w:spacing w:after="80" w:before="60" w:line="276"/>
        <w:jc w:val="both"/>
      </w:pPr>
      <w:r>
        <w:rPr>
          <w:rFonts w:ascii="Times New Roman" w:cs="Times New Roman" w:eastAsia="Times New Roman" w:hAnsi="Times New Roman"/>
          <w:color w:val="000000"/>
          <w:sz w:val="22"/>
          <w:szCs w:val="22"/>
        </w:rPr>
        <w:t xml:space="preserve">The application shell (base.html) implements a two-column CSS Grid on desktop: a fixed 16.5 rem sidebar and a fluid main workspace. On viewports narrower than 900 pixels, the sidebar transitions to an off-canvas drawer toggled by a hamburger button. The built-in dark and light mode toggle modifies a data-theme attribute on the root element and persists the preference in browser localStorage. The macro library (_macros.html, 134 lines) provides reusable components including KPI cards, SVG sparkline bar charts, circular ring charts, status badge chips and SVG icon references.</w:t>
      </w:r>
    </w:p>
    <w:p>
      <w:pPr>
        <w:spacing w:after="80" w:before="60" w:line="276"/>
        <w:jc w:val="both"/>
      </w:pPr>
      <w:r>
        <w:rPr>
          <w:rFonts w:ascii="Times New Roman" w:cs="Times New Roman" w:eastAsia="Times New Roman" w:hAnsi="Times New Roman"/>
          <w:color w:val="000000"/>
          <w:sz w:val="22"/>
          <w:szCs w:val="22"/>
        </w:rPr>
        <w:t xml:space="preserve">Custom Jinja2 template filters handle data presentation: firstname() extracts the first name removing titles such as Dr. and Prof.; dt() formats ISO datetime strings; d() formats ISO dates; ago() computes relative time distances; and inr() formats currency amounts in the Indian Rupee grouping standard.</w:t>
      </w:r>
    </w:p>
    <w:p>
      <w:pPr>
        <w:spacing w:after="100" w:before="200"/>
        <w:jc w:val="left"/>
      </w:pPr>
      <w:r>
        <w:rPr>
          <w:rFonts w:ascii="Times New Roman" w:cs="Times New Roman" w:eastAsia="Times New Roman" w:hAnsi="Times New Roman"/>
          <w:b/>
          <w:bCs/>
          <w:color w:val="000000"/>
          <w:sz w:val="24"/>
          <w:szCs w:val="24"/>
        </w:rPr>
        <w:t xml:space="preserve">6.4 DATABASE SCHEMA AND ACCESS PATTERNS</w:t>
      </w:r>
    </w:p>
    <w:p>
      <w:pPr>
        <w:spacing w:after="80" w:before="60" w:line="276"/>
        <w:jc w:val="both"/>
      </w:pPr>
      <w:r>
        <w:rPr>
          <w:rFonts w:ascii="Times New Roman" w:cs="Times New Roman" w:eastAsia="Times New Roman" w:hAnsi="Times New Roman"/>
          <w:color w:val="000000"/>
          <w:sz w:val="22"/>
          <w:szCs w:val="22"/>
        </w:rPr>
        <w:t xml:space="preserve">The database schema is defined in cms_app/schema.sql (129 lines) and initialised via init_db() in cms_app/db.py. PRAGMA foreign_keys = ON is executed on every connection to activate SQLite's referential integrity enforcement. The sqlite3.Row row factory provides dictionary-like attribute access to query results. Thirteen tables are defined with check constraints on user roles, paper statuses, review scores (1–10), recommendations, registration statuses and payment statuses.</w:t>
      </w:r>
    </w:p>
    <w:p>
      <w:pPr>
        <w:spacing w:after="80" w:before="60" w:line="276"/>
        <w:jc w:val="both"/>
      </w:pPr>
      <w:r>
        <w:rPr>
          <w:rFonts w:ascii="Times New Roman" w:cs="Times New Roman" w:eastAsia="Times New Roman" w:hAnsi="Times New Roman"/>
          <w:color w:val="000000"/>
          <w:sz w:val="22"/>
          <w:szCs w:val="22"/>
        </w:rPr>
        <w:t xml:space="preserve">All database operations use 100% parameterised query bindings (? placeholders). No string concatenation, f-strings or raw SQL formatting is used for user-supplied values across services.py, insights.py and __init__.py. Thread-local connection pooling via Flask's application context (g.db) ensures that each request receives a single, consistent database connection that is properly released on teardown.</w:t>
      </w:r>
    </w:p>
    <w:p>
      <w:pPr>
        <w:spacing w:after="100" w:before="200"/>
        <w:jc w:val="left"/>
      </w:pPr>
      <w:r>
        <w:rPr>
          <w:rFonts w:ascii="Times New Roman" w:cs="Times New Roman" w:eastAsia="Times New Roman" w:hAnsi="Times New Roman"/>
          <w:b/>
          <w:bCs/>
          <w:color w:val="000000"/>
          <w:sz w:val="24"/>
          <w:szCs w:val="24"/>
        </w:rPr>
        <w:t xml:space="preserve">6.5 SECURITY IMPLEMENTATION</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Authentication. PBKDF2-HMAC-SHA256 password hashing via Werkzeug. Password complexity requires at least 8 characters and one numeric digit. Deactivated accounts are refused login.</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CSRF Protection. A cryptographically random 16-byte hex token is injected into every form via a context processor and stored in the server-side session. Every POST request is validated using secrets.compare_digest for constant-time comparison. Mismatches return HTTP 400.</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RBAC and Double-Blind Isolation. The @role_required decorator returns HTTP 403 for unauthorised roles. The paper_access() helper dynamically categorises users as chair, author, reviewer, prospect or public, stripping author metadata from reviewer views and withholding review details from authors until a decision is recorded.</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File Upload Security. Filenames are sanitised with werkzeug.utils.secure_filename. Only .pdf extensions are accepted. Files are saved with UUID-based names to a directory outside the web server's static asset root.</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Payment Security. Card numbers are validated in memory, passed to the mock gateway and immediately discarded. Only the transaction reference, timestamp and status are persisted in the payments table.</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SQL Injection Defence. 100% parameterised queries across all data access code eliminate the possibility of SQL injection via user input.</w:t>
      </w:r>
    </w:p>
    <w:p>
      <w:pPr>
        <w:spacing w:after="100" w:before="200"/>
        <w:jc w:val="left"/>
      </w:pPr>
      <w:r>
        <w:rPr>
          <w:rFonts w:ascii="Times New Roman" w:cs="Times New Roman" w:eastAsia="Times New Roman" w:hAnsi="Times New Roman"/>
          <w:b/>
          <w:bCs/>
          <w:color w:val="000000"/>
          <w:sz w:val="24"/>
          <w:szCs w:val="24"/>
        </w:rPr>
        <w:t xml:space="preserve">6.6 DEPLOYMENT</w:t>
      </w:r>
    </w:p>
    <w:p>
      <w:pPr>
        <w:spacing w:after="80" w:before="60" w:line="276"/>
        <w:jc w:val="both"/>
      </w:pPr>
      <w:r>
        <w:rPr>
          <w:rFonts w:ascii="Times New Roman" w:cs="Times New Roman" w:eastAsia="Times New Roman" w:hAnsi="Times New Roman"/>
          <w:color w:val="000000"/>
          <w:sz w:val="22"/>
          <w:szCs w:val="22"/>
        </w:rPr>
        <w:t xml:space="preserve">The application is started by executing python run.py, which instantiates create_app({"AUTO_SEED": True}) and calls app.run(port=5000). When AUTO_SEED is enabled and the database file does not yet exist, the demo data generator (demo.py) automatically populates the database with 3 conferences, 25 user accounts, 30 scholarly papers, multiple completed reviews, 10 editorial decisions, 14 registrations with payments and session schedules, providing an immediately usable demonstration environment.</w:t>
      </w:r>
    </w:p>
    <w:p>
      <w:pPr>
        <w:spacing w:after="80" w:before="60" w:line="276"/>
        <w:jc w:val="both"/>
      </w:pPr>
      <w:r>
        <w:rPr>
          <w:rFonts w:ascii="Times New Roman" w:cs="Times New Roman" w:eastAsia="Times New Roman" w:hAnsi="Times New Roman"/>
          <w:color w:val="000000"/>
          <w:sz w:val="22"/>
          <w:szCs w:val="22"/>
        </w:rPr>
        <w:t xml:space="preserve">The database can be reset at any time by executing python seed.py --reset, which removes the instance/ directory and re-seeds from scratch. The complete conference management workflow from submission to session scheduling is summarised in Figure 6.1.</w:t>
      </w:r>
    </w:p>
    <w:p>
      <w:pPr>
        <w:spacing w:after="60" w:before="100"/>
        <w:jc w:val="center"/>
      </w:pPr>
      <w:r>
        <w:drawing>
          <wp:inline distT="0" distB="0" distL="0" distR="0">
            <wp:extent cx="54864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1647825"/>
                    </a:xfrm>
                    <a:prstGeom prst="rect">
                      <a:avLst/>
                    </a:prstGeom>
                  </pic:spPr>
                </pic:pic>
              </a:graphicData>
            </a:graphic>
          </wp:inline>
        </w:drawing>
      </w:r>
    </w:p>
    <w:p>
      <w:pPr>
        <w:spacing w:after="120" w:before="60"/>
        <w:jc w:val="center"/>
      </w:pPr>
      <w:r>
        <w:rPr>
          <w:rFonts w:ascii="Times New Roman" w:cs="Times New Roman" w:eastAsia="Times New Roman" w:hAnsi="Times New Roman"/>
          <w:i/>
          <w:iCs/>
          <w:color w:val="000000"/>
          <w:sz w:val="18"/>
          <w:szCs w:val="18"/>
        </w:rPr>
        <w:t xml:space="preserve">Figure 6.1 – Conference Lifecycle Workflow</w:t>
      </w:r>
    </w:p>
    <w:p>
      <w:r>
        <w:br w:type="page"/>
      </w:r>
    </w:p>
    <w:p>
      <w:pPr>
        <w:spacing w:after="240" w:before="0"/>
        <w:jc w:val="center"/>
      </w:pPr>
      <w:r>
        <w:rPr>
          <w:rFonts w:ascii="Times New Roman" w:cs="Times New Roman" w:eastAsia="Times New Roman" w:hAnsi="Times New Roman"/>
          <w:b/>
          <w:bCs/>
          <w:color w:val="000000"/>
          <w:sz w:val="28"/>
          <w:szCs w:val="28"/>
        </w:rPr>
        <w:t xml:space="preserve">CHAPTER 7: TESTING AND VERIFICATION</w:t>
      </w:r>
    </w:p>
    <w:p>
      <w:pPr>
        <w:spacing w:after="80" w:before="60" w:line="276"/>
        <w:jc w:val="both"/>
      </w:pPr>
      <w:r>
        <w:rPr>
          <w:rFonts w:ascii="Times New Roman" w:cs="Times New Roman" w:eastAsia="Times New Roman" w:hAnsi="Times New Roman"/>
          <w:color w:val="000000"/>
          <w:sz w:val="22"/>
          <w:szCs w:val="22"/>
        </w:rPr>
        <w:t xml:space="preserve">Testing verifies that all major components of ConfMan function correctly across the full conference lifecycle. The testing strategy spans isolated service-layer unit testing against in-memory SQLite databases, web route integration testing using Flask's test client and end-to-end workflow verification. All 67 automated tests pass with zero failures, zero errors and zero skipped cases, executing in approximately 31 seconds on standard hardware.</w:t>
      </w:r>
    </w:p>
    <w:p>
      <w:pPr>
        <w:spacing w:after="100" w:before="200"/>
        <w:jc w:val="left"/>
      </w:pPr>
      <w:r>
        <w:rPr>
          <w:rFonts w:ascii="Times New Roman" w:cs="Times New Roman" w:eastAsia="Times New Roman" w:hAnsi="Times New Roman"/>
          <w:b/>
          <w:bCs/>
          <w:color w:val="000000"/>
          <w:sz w:val="24"/>
          <w:szCs w:val="24"/>
        </w:rPr>
        <w:t xml:space="preserve">7.1 UNIT TESTING</w:t>
      </w:r>
    </w:p>
    <w:p>
      <w:pPr>
        <w:spacing w:after="80" w:before="60" w:line="276"/>
        <w:jc w:val="both"/>
      </w:pPr>
      <w:r>
        <w:rPr>
          <w:rFonts w:ascii="Times New Roman" w:cs="Times New Roman" w:eastAsia="Times New Roman" w:hAnsi="Times New Roman"/>
          <w:color w:val="000000"/>
          <w:sz w:val="22"/>
          <w:szCs w:val="22"/>
        </w:rPr>
        <w:t xml:space="preserve">The backend is tested using Python's standard unittest framework in tests/test_cms.py (50 tests) and tests/test_v13.py (17 tests). Service layer functions are tested against in-memory SQLite databases (":memory:") so that no filesystem state or real database file is required. Web routes are tested using app.test_client(), which simulates HTTP requests and verifies response codes, session state and flash messages. A representative sample of the automated test cases is shown in Table 7.1.</w:t>
      </w:r>
    </w:p>
    <w:p>
      <w:pPr>
        <w:spacing w:after="60" w:before="120"/>
        <w:jc w:val="left"/>
      </w:pPr>
      <w:r>
        <w:rPr>
          <w:rFonts w:ascii="Times New Roman" w:cs="Times New Roman" w:eastAsia="Times New Roman" w:hAnsi="Times New Roman"/>
          <w:b/>
          <w:bCs/>
          <w:color w:val="000000"/>
          <w:sz w:val="22"/>
          <w:szCs w:val="22"/>
        </w:rPr>
        <w:t xml:space="preserve">Table 7.1 – Automated Test Cases (Representative Sample)</w:t>
      </w:r>
    </w:p>
    <w:tbl>
      <w:tblPr>
        <w:tblW w:type="pct" w:w="100%"/>
        <w:tblBorders>
          <w:top w:val="single" w:color="000000" w:sz="4"/>
          <w:left w:val="single" w:color="000000" w:sz="4"/>
          <w:bottom w:val="single" w:color="000000" w:sz="4"/>
          <w:right w:val="single" w:color="000000" w:sz="4"/>
          <w:insideH w:val="single" w:color="000000" w:sz="2"/>
          <w:insideV w:val="single" w:color="000000" w:sz="2"/>
        </w:tblBorders>
        <w:tblLayout w:type="fixed"/>
      </w:tblPr>
      <w:tblGrid>
        <w:gridCol w:w="100"/>
        <w:gridCol w:w="100"/>
        <w:gridCol w:w="100"/>
        <w:gridCol w:w="100"/>
      </w:tblGrid>
      <w:tr>
        <w:trPr>
          <w:tblHeader/>
        </w:trPr>
        <w:tc>
          <w:tcPr>
            <w:tcW w:type="pct" w:w="0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Test ID</w:t>
            </w:r>
          </w:p>
        </w:tc>
        <w:tc>
          <w:tcPr>
            <w:tcW w:type="pct" w:w="036"/>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Test Case</w:t>
            </w:r>
          </w:p>
        </w:tc>
        <w:tc>
          <w:tcPr>
            <w:tcW w:type="pct" w:w="03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Expected Result</w:t>
            </w:r>
          </w:p>
        </w:tc>
        <w:tc>
          <w:tcPr>
            <w:tcW w:type="pct" w:w="010"/>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Result</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UT01</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User Registration – Valid Input</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User created with PBKDF2:SHA256 hashed password.</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Pass</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UT02</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User Registration – Duplicate Email</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ServiceError: account with this email already exists.</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Pass</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UT03</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User Registration – Weak Password</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ServiceError: must be &gt;= 8 chars and contain a digit.</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Pass</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UT04</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User Authentication – Valid Credentials</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Session established; user_id set in session.</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Pass</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UT05</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Paper Submission – Valid PDF Before Deadline</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Paper record created; author and chair notified.</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Pass</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UT06</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Paper Submission – Deadline Elapsed</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ServiceError: submission deadline has passed.</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Pass</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UT07</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Reviewer Assignment – COI Prevention</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ServiceError: author cannot review own paper.</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Pass</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UT08</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Reviewer Assignment – Max 3 Reviewers</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ServiceError: reviewer limit reached for this paper.</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Pass</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UT09</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Auto-Assignment – Expertise Keyword Matching</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Reviewers ranked by term overlap; assigned in order.</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Pass</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UT10</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Review Submission – Score and Comment Valid</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Review record created; assignment marked Completed.</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Pass</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UT11</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Decision Suggestion – Average &gt;= 7.0</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Suggestion returned as Accepted.</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Pass</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UT12</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Editorial Decision – &lt; 2 Reviews Present</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ServiceError: at least 2 completed reviews required.</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Pass</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UT13</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Luhn Validation – Valid Card Number</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Card accepted; registration transitioned to Confirmed.</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Pass</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UT14</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Luhn Validation – Card Ending 0002</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Mock gateway decline; registration remains Pending.</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Pass</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UT15</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Session Scheduling – Room Clash Detected</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ServiceError: another session occupies that room and time.</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Pass</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UT16</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Session Scheduling – Author Not Registered</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ServiceError: author must complete paid registration.</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Pass</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UT17</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Admin Role Change – Self-Lock Prevention</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ServiceError: cannot remove own admin role.</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Pass</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UT18</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Unicode Digit Regression (DEF-01)</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ServiceError raised cleanly; no runtime crash.</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Pass</w:t>
            </w:r>
          </w:p>
        </w:tc>
      </w:tr>
    </w:tbl>
    <w:p>
      <w:pPr>
        <w:spacing w:after="80" w:before="60" w:line="276"/>
        <w:jc w:val="both"/>
      </w:pPr>
      <w:r>
        <w:rPr>
          <w:rFonts w:ascii="Times New Roman" w:cs="Times New Roman" w:eastAsia="Times New Roman" w:hAnsi="Times New Roman"/>
          <w:color w:val="000000"/>
          <w:sz w:val="22"/>
          <w:szCs w:val="22"/>
        </w:rPr>
        <w:t xml:space="preserve">The full test suite contains 67 test cases across 11 test classes. The deployment script supports running the suite in isolation via python -m unittest discover -s tests -v before any demonstration session.</w:t>
      </w:r>
    </w:p>
    <w:p>
      <w:pPr>
        <w:spacing w:after="100" w:before="200"/>
        <w:jc w:val="left"/>
      </w:pPr>
      <w:r>
        <w:rPr>
          <w:rFonts w:ascii="Times New Roman" w:cs="Times New Roman" w:eastAsia="Times New Roman" w:hAnsi="Times New Roman"/>
          <w:b/>
          <w:bCs/>
          <w:color w:val="000000"/>
          <w:sz w:val="24"/>
          <w:szCs w:val="24"/>
        </w:rPr>
        <w:t xml:space="preserve">7.2 FUNCTIONAL TESTING</w:t>
      </w:r>
    </w:p>
    <w:p>
      <w:pPr>
        <w:spacing w:after="80" w:before="60" w:line="276"/>
        <w:jc w:val="both"/>
      </w:pPr>
      <w:r>
        <w:rPr>
          <w:rFonts w:ascii="Times New Roman" w:cs="Times New Roman" w:eastAsia="Times New Roman" w:hAnsi="Times New Roman"/>
          <w:color w:val="000000"/>
          <w:sz w:val="22"/>
          <w:szCs w:val="22"/>
        </w:rPr>
        <w:t xml:space="preserve">User-facing features are verified through the web interface using the pre-seeded demo accounts. The checklist in Table 7.2 covers the primary functional scenarios; the Result column is to be completed during the final demonstration.</w:t>
      </w:r>
    </w:p>
    <w:p>
      <w:pPr>
        <w:spacing w:after="60" w:before="120"/>
        <w:jc w:val="left"/>
      </w:pPr>
      <w:r>
        <w:rPr>
          <w:rFonts w:ascii="Times New Roman" w:cs="Times New Roman" w:eastAsia="Times New Roman" w:hAnsi="Times New Roman"/>
          <w:b/>
          <w:bCs/>
          <w:color w:val="000000"/>
          <w:sz w:val="22"/>
          <w:szCs w:val="22"/>
        </w:rPr>
        <w:t xml:space="preserve">Table 7.2 – Manual Functional Verification Checklist</w:t>
      </w:r>
    </w:p>
    <w:tbl>
      <w:tblPr>
        <w:tblW w:type="pct" w:w="100%"/>
        <w:tblBorders>
          <w:top w:val="single" w:color="000000" w:sz="4"/>
          <w:left w:val="single" w:color="000000" w:sz="4"/>
          <w:bottom w:val="single" w:color="000000" w:sz="4"/>
          <w:right w:val="single" w:color="000000" w:sz="4"/>
          <w:insideH w:val="single" w:color="000000" w:sz="2"/>
          <w:insideV w:val="single" w:color="000000" w:sz="2"/>
        </w:tblBorders>
        <w:tblLayout w:type="fixed"/>
      </w:tblPr>
      <w:tblGrid>
        <w:gridCol w:w="100"/>
        <w:gridCol w:w="100"/>
        <w:gridCol w:w="100"/>
        <w:gridCol w:w="100"/>
      </w:tblGrid>
      <w:tr>
        <w:trPr>
          <w:tblHeader/>
        </w:trPr>
        <w:tc>
          <w:tcPr>
            <w:tcW w:type="pct" w:w="0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Test ID</w:t>
            </w:r>
          </w:p>
        </w:tc>
        <w:tc>
          <w:tcPr>
            <w:tcW w:type="pct" w:w="036"/>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Test Case</w:t>
            </w:r>
          </w:p>
        </w:tc>
        <w:tc>
          <w:tcPr>
            <w:tcW w:type="pct" w:w="03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Expected Result</w:t>
            </w:r>
          </w:p>
        </w:tc>
        <w:tc>
          <w:tcPr>
            <w:tcW w:type="pct" w:w="010"/>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Result</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FT01</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Access landing page</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Conference listing and platform statistics displayed.</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(record)</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FT02</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Register new author account</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Account created; redirect to login.</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(record)</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FT03</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Log in as chair@demo.org</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Chair dashboard with KPI cards displayed.</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(record)</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FT04</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Create a new conference</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Conference appears in listing with correct dates.</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(record)</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FT05</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Submit a manuscript as author@demo.org</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Paper record created; both author and chair notified.</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(record)</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FT06</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Auto-assign reviewers to paper</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Up to 3 reviewers assigned; notifications sent.</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(record)</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FT07</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Submit review as reviewer1@demo.org</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Review recorded; assignment marked Completed.</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(record)</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FT08</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View decision suggestion</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Average score and suggested decision displayed.</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(record)</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FT09</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Record editorial decision (Accepted)</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Paper status updates to Accepted; author notified.</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(record)</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FT10</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Register for conference (Student tier)</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Fee calculated; early-bird discount applied if eligible.</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(record)</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FT11</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Complete mock card payment</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Status transitions to Confirmed; txn reference shown.</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(record)</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FT12</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Create session and schedule paper</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Paper scheduled; slot_order assigned; status = Scheduled.</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(record)</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FT13</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Browse public programme</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Timetable with sessions, rooms and paper titles shown.</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(record)</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FT14</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View analytics dashboard</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KPI cards, sparklines and score histogram displayed.</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(record)</w:t>
            </w:r>
          </w:p>
        </w:tc>
      </w:tr>
      <w:tr>
        <w:tc>
          <w:tcPr>
            <w:tcW w:type="pct" w:w="0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FT15</w:t>
            </w:r>
          </w:p>
        </w:tc>
        <w:tc>
          <w:tcPr>
            <w:tcW w:type="pct" w:w="03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Admin deactivate user account</w:t>
            </w:r>
          </w:p>
        </w:tc>
        <w:tc>
          <w:tcPr>
            <w:tcW w:type="pct" w:w="03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Account blocked; login refused with error message.</w:t>
            </w:r>
          </w:p>
        </w:tc>
        <w:tc>
          <w:tcPr>
            <w:tcW w:type="pct" w:w="01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(record)</w:t>
            </w:r>
          </w:p>
        </w:tc>
      </w:tr>
    </w:tbl>
    <w:p>
      <w:pPr>
        <w:spacing w:after="100" w:before="200"/>
        <w:jc w:val="left"/>
      </w:pPr>
      <w:r>
        <w:rPr>
          <w:rFonts w:ascii="Times New Roman" w:cs="Times New Roman" w:eastAsia="Times New Roman" w:hAnsi="Times New Roman"/>
          <w:b/>
          <w:bCs/>
          <w:color w:val="000000"/>
          <w:sz w:val="24"/>
          <w:szCs w:val="24"/>
        </w:rPr>
        <w:t xml:space="preserve">7.3 INTEGRATION TESTING</w:t>
      </w:r>
    </w:p>
    <w:p>
      <w:pPr>
        <w:spacing w:after="80" w:before="60" w:line="276"/>
        <w:jc w:val="both"/>
      </w:pPr>
      <w:r>
        <w:rPr>
          <w:rFonts w:ascii="Times New Roman" w:cs="Times New Roman" w:eastAsia="Times New Roman" w:hAnsi="Times New Roman"/>
          <w:color w:val="000000"/>
          <w:sz w:val="22"/>
          <w:szCs w:val="22"/>
        </w:rPr>
        <w:t xml:space="preserve">Integration testing verifies communication between the major architectural tiers. The following integrations are exercised by the automated test suite and the deployed application stack:</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Presentation layer (Flask routes) with the business logic layer (services.py) for all major workflows: registration, submission, assignment, review and scheduling.</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Business logic layer with the data access layer (db.py, SQLite3) for transactional consistency, including atomic commit and rollback semantics.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Analytical read models (insights.py) with the SQLite3 database for aggregation queries used in dashboards.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Flask test client with CSRF token validation, role enforcement and session lifecycle across multi-step workflows.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End-to-end workflow integration: from user registration and paper submission through double-blind review assignment, editorial decision, fee payment and session scheduling.</w:t>
      </w:r>
    </w:p>
    <w:p>
      <w:pPr>
        <w:spacing w:after="100" w:before="200"/>
        <w:jc w:val="left"/>
      </w:pPr>
      <w:r>
        <w:rPr>
          <w:rFonts w:ascii="Times New Roman" w:cs="Times New Roman" w:eastAsia="Times New Roman" w:hAnsi="Times New Roman"/>
          <w:b/>
          <w:bCs/>
          <w:color w:val="000000"/>
          <w:sz w:val="24"/>
          <w:szCs w:val="24"/>
        </w:rPr>
        <w:t xml:space="preserve">7.4 SECURITY TESTING</w:t>
      </w:r>
    </w:p>
    <w:p>
      <w:pPr>
        <w:spacing w:after="80" w:before="60" w:line="276"/>
        <w:jc w:val="both"/>
      </w:pPr>
      <w:r>
        <w:rPr>
          <w:rFonts w:ascii="Times New Roman" w:cs="Times New Roman" w:eastAsia="Times New Roman" w:hAnsi="Times New Roman"/>
          <w:color w:val="000000"/>
          <w:sz w:val="22"/>
          <w:szCs w:val="22"/>
        </w:rPr>
        <w:t xml:space="preserve">Security testing verifies the controls built into the design. CSRF protection is confirmed by submitting POST requests without the _csrf token and verifying HTTP 400 responses. Role-based access is confirmed by attempting to access chair-only routes as a reviewer or author and verifying HTTP 403 responses. Double-blind isolation is confirmed by inspecting reviewer-facing paper views and verifying that author name and affiliation fields are absent from query results. Conflict-of-interest prevention is confirmed by attempting to assign an author to review their own paper. The Luhn validation regression test (DEF-01) confirms that Unicode superscript characters in card numbers raise a clean ServiceError rather than causing a runtime crash.</w:t>
      </w:r>
    </w:p>
    <w:p>
      <w:pPr>
        <w:spacing w:after="80" w:before="60" w:line="276"/>
        <w:jc w:val="both"/>
      </w:pPr>
      <w:r>
        <w:rPr>
          <w:rFonts w:ascii="Times New Roman" w:cs="Times New Roman" w:eastAsia="Times New Roman" w:hAnsi="Times New Roman"/>
          <w:color w:val="000000"/>
          <w:sz w:val="22"/>
          <w:szCs w:val="22"/>
        </w:rPr>
        <w:t xml:space="preserve">ConfMan is an educational prototype. Users are selected from a demo account set rather than authenticated through an identity provider, so the role separation protects data between demo profiles but does not protect against a user who modifies the X-Session header directly. Section 8.2 documents this and all other confirmed limitations.</w:t>
      </w:r>
    </w:p>
    <w:p>
      <w:r>
        <w:br w:type="page"/>
      </w:r>
    </w:p>
    <w:p>
      <w:pPr>
        <w:spacing w:after="240" w:before="0"/>
        <w:jc w:val="center"/>
      </w:pPr>
      <w:r>
        <w:rPr>
          <w:rFonts w:ascii="Times New Roman" w:cs="Times New Roman" w:eastAsia="Times New Roman" w:hAnsi="Times New Roman"/>
          <w:b/>
          <w:bCs/>
          <w:color w:val="000000"/>
          <w:sz w:val="28"/>
          <w:szCs w:val="28"/>
        </w:rPr>
        <w:t xml:space="preserve">CHAPTER 8: CONCLUSION AND FUTURE ENHANCEMENTS</w:t>
      </w:r>
    </w:p>
    <w:p>
      <w:pPr>
        <w:spacing w:after="100" w:before="200"/>
        <w:jc w:val="left"/>
      </w:pPr>
      <w:r>
        <w:rPr>
          <w:rFonts w:ascii="Times New Roman" w:cs="Times New Roman" w:eastAsia="Times New Roman" w:hAnsi="Times New Roman"/>
          <w:b/>
          <w:bCs/>
          <w:color w:val="000000"/>
          <w:sz w:val="24"/>
          <w:szCs w:val="24"/>
        </w:rPr>
        <w:t xml:space="preserve">8.1 CONCLUSION</w:t>
      </w:r>
    </w:p>
    <w:p>
      <w:pPr>
        <w:spacing w:after="80" w:before="60" w:line="276"/>
        <w:jc w:val="both"/>
      </w:pPr>
      <w:r>
        <w:rPr>
          <w:rFonts w:ascii="Times New Roman" w:cs="Times New Roman" w:eastAsia="Times New Roman" w:hAnsi="Times New Roman"/>
          <w:color w:val="000000"/>
          <w:sz w:val="22"/>
          <w:szCs w:val="22"/>
        </w:rPr>
        <w:t xml:space="preserve">ConfMan demonstrates the feasibility of building a robust, enterprise-grade academic event management platform using clean architectural principles and minimal external dependencies. By adhering to a strict three-tier layered architecture, ConfMan completely isolates business logic from presentation and database access, ensuring high testability and maintainability. The system resolves the core challenges of academic conference administration: it prevents conflicts of interest, balances reviewer workloads via heuristic auto-assignment, enforces double-blind review integrity, guides editorial decisions with statistical threshold analysis, handles tiered registrations and early-bird discounts, validates payments using the Luhn algorithm and eliminates room and time clashes during session scheduling.</w:t>
      </w:r>
    </w:p>
    <w:p>
      <w:pPr>
        <w:spacing w:after="80" w:before="60" w:line="276"/>
        <w:jc w:val="both"/>
      </w:pPr>
      <w:r>
        <w:rPr>
          <w:rFonts w:ascii="Times New Roman" w:cs="Times New Roman" w:eastAsia="Times New Roman" w:hAnsi="Times New Roman"/>
          <w:color w:val="000000"/>
          <w:sz w:val="22"/>
          <w:szCs w:val="22"/>
        </w:rPr>
        <w:t xml:space="preserve">The key capabilities and their verification status are summarised in the table below.</w:t>
      </w:r>
    </w:p>
    <w:tbl>
      <w:tblPr>
        <w:tblW w:type="pct" w:w="100%"/>
        <w:tblBorders>
          <w:top w:val="single" w:color="000000" w:sz="4"/>
          <w:left w:val="single" w:color="000000" w:sz="4"/>
          <w:bottom w:val="single" w:color="000000" w:sz="4"/>
          <w:right w:val="single" w:color="000000" w:sz="4"/>
          <w:insideH w:val="single" w:color="000000" w:sz="2"/>
          <w:insideV w:val="single" w:color="000000" w:sz="2"/>
        </w:tblBorders>
        <w:tblLayout w:type="fixed"/>
      </w:tblPr>
      <w:tblGrid>
        <w:gridCol w:w="100"/>
        <w:gridCol w:w="100"/>
        <w:gridCol w:w="100"/>
      </w:tblGrid>
      <w:tr>
        <w:trPr>
          <w:tblHeader/>
        </w:trPr>
        <w:tc>
          <w:tcPr>
            <w:tcW w:type="pct" w:w="034"/>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Functional Area</w:t>
            </w:r>
          </w:p>
        </w:tc>
        <w:tc>
          <w:tcPr>
            <w:tcW w:type="pct" w:w="01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Status</w:t>
            </w:r>
          </w:p>
        </w:tc>
        <w:tc>
          <w:tcPr>
            <w:tcW w:type="pct" w:w="048"/>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Verification Evidence</w:t>
            </w:r>
          </w:p>
        </w:tc>
      </w:tr>
      <w:tr>
        <w:tc>
          <w:tcPr>
            <w:tcW w:type="pct" w:w="034"/>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User Registration and RBAC</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Complete</w:t>
            </w:r>
          </w:p>
        </w:tc>
        <w:tc>
          <w:tcPr>
            <w:tcW w:type="pct" w:w="04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services.py L101, UserTests, RouteTests</w:t>
            </w:r>
          </w:p>
        </w:tc>
      </w:tr>
      <w:tr>
        <w:tc>
          <w:tcPr>
            <w:tcW w:type="pct" w:w="034"/>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Conference and Track Setup</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Complete</w:t>
            </w:r>
          </w:p>
        </w:tc>
        <w:tc>
          <w:tcPr>
            <w:tcW w:type="pct" w:w="04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services.py L138, ConferenceTests</w:t>
            </w:r>
          </w:p>
        </w:tc>
      </w:tr>
      <w:tr>
        <w:tc>
          <w:tcPr>
            <w:tcW w:type="pct" w:w="034"/>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Manuscript Ingestion</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Complete</w:t>
            </w:r>
          </w:p>
        </w:tc>
        <w:tc>
          <w:tcPr>
            <w:tcW w:type="pct" w:w="04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services.py L185, PaperTests</w:t>
            </w:r>
          </w:p>
        </w:tc>
      </w:tr>
      <w:tr>
        <w:tc>
          <w:tcPr>
            <w:tcW w:type="pct" w:w="034"/>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Double-Blind Review</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Complete</w:t>
            </w:r>
          </w:p>
        </w:tc>
        <w:tc>
          <w:tcPr>
            <w:tcW w:type="pct" w:w="04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__init__.py L562, ReviewTests</w:t>
            </w:r>
          </w:p>
        </w:tc>
      </w:tr>
      <w:tr>
        <w:tc>
          <w:tcPr>
            <w:tcW w:type="pct" w:w="034"/>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Reviewer Auto-Assignment</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Complete</w:t>
            </w:r>
          </w:p>
        </w:tc>
        <w:tc>
          <w:tcPr>
            <w:tcW w:type="pct" w:w="04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services.py L310, AssignmentTests</w:t>
            </w:r>
          </w:p>
        </w:tc>
      </w:tr>
      <w:tr>
        <w:tc>
          <w:tcPr>
            <w:tcW w:type="pct" w:w="034"/>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Editorial Decision Engine</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Complete</w:t>
            </w:r>
          </w:p>
        </w:tc>
        <w:tc>
          <w:tcPr>
            <w:tcW w:type="pct" w:w="04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services.py L389, DecisionTests</w:t>
            </w:r>
          </w:p>
        </w:tc>
      </w:tr>
      <w:tr>
        <w:tc>
          <w:tcPr>
            <w:tcW w:type="pct" w:w="034"/>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Registration and Fee Engine</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Complete</w:t>
            </w:r>
          </w:p>
        </w:tc>
        <w:tc>
          <w:tcPr>
            <w:tcW w:type="pct" w:w="04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services.py L428, RegistrationPaymentTests</w:t>
            </w:r>
          </w:p>
        </w:tc>
      </w:tr>
      <w:tr>
        <w:tc>
          <w:tcPr>
            <w:tcW w:type="pct" w:w="034"/>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Payment Gateway Mock</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Complete</w:t>
            </w:r>
          </w:p>
        </w:tc>
        <w:tc>
          <w:tcPr>
            <w:tcW w:type="pct" w:w="04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services.py L457, RegistrationPaymentTests</w:t>
            </w:r>
          </w:p>
        </w:tc>
      </w:tr>
      <w:tr>
        <w:tc>
          <w:tcPr>
            <w:tcW w:type="pct" w:w="034"/>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Session Scheduling</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Complete</w:t>
            </w:r>
          </w:p>
        </w:tc>
        <w:tc>
          <w:tcPr>
            <w:tcW w:type="pct" w:w="04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services.py L502, SchedulingTests</w:t>
            </w:r>
          </w:p>
        </w:tc>
      </w:tr>
      <w:tr>
        <w:tc>
          <w:tcPr>
            <w:tcW w:type="pct" w:w="034"/>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Analytical Dashboards</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Complete</w:t>
            </w:r>
          </w:p>
        </w:tc>
        <w:tc>
          <w:tcPr>
            <w:tcW w:type="pct" w:w="04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insights.py L1, DemoAndPageTests</w:t>
            </w:r>
          </w:p>
        </w:tc>
      </w:tr>
      <w:tr>
        <w:tc>
          <w:tcPr>
            <w:tcW w:type="pct" w:w="034"/>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Activity Audit Logging</w:t>
            </w:r>
          </w:p>
        </w:tc>
        <w:tc>
          <w:tcPr>
            <w:tcW w:type="pct" w:w="01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Complete</w:t>
            </w:r>
          </w:p>
        </w:tc>
        <w:tc>
          <w:tcPr>
            <w:tcW w:type="pct" w:w="048"/>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services.py L42, AdminServiceTests</w:t>
            </w:r>
          </w:p>
        </w:tc>
      </w:tr>
    </w:tbl>
    <w:p>
      <w:pPr>
        <w:spacing w:after="80" w:before="60" w:line="276"/>
        <w:jc w:val="both"/>
      </w:pPr>
      <w:r>
        <w:rPr>
          <w:rFonts w:ascii="Times New Roman" w:cs="Times New Roman" w:eastAsia="Times New Roman" w:hAnsi="Times New Roman"/>
          <w:color w:val="000000"/>
          <w:sz w:val="22"/>
          <w:szCs w:val="22"/>
        </w:rPr>
        <w:t xml:space="preserve">The project provides a clear demonstration of three-tier layered architecture, relational database design with ACID constraints, algorithmic business rules, role-based security, payment gateway simulation and comprehensive automated testing, making it appropriate for a Computer Science and Engineering mini project capstone.</w:t>
      </w:r>
    </w:p>
    <w:p>
      <w:pPr>
        <w:spacing w:after="100" w:before="200"/>
        <w:jc w:val="left"/>
      </w:pPr>
      <w:r>
        <w:rPr>
          <w:rFonts w:ascii="Times New Roman" w:cs="Times New Roman" w:eastAsia="Times New Roman" w:hAnsi="Times New Roman"/>
          <w:b/>
          <w:bCs/>
          <w:color w:val="000000"/>
          <w:sz w:val="24"/>
          <w:szCs w:val="24"/>
        </w:rPr>
        <w:t xml:space="preserve">8.2 LIMITATIONS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SQLite3 uses database-level locking for write transactions. High-concurrency write scenarios such as many authors submitting simultaneously at a submission deadline could experience lock contention.</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Uploaded PDF files are stored on the server's local filesystem. In horizontally scaled multi-server deployments, a distributed object store such as AWS S3 or a shared NFS volume would be required.</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The payment module is a functional mock that does not connect to live banking networks such as Stripe, Razorpay or PayPal.</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The notification system is strictly internal (stored in the notifications table and rendered in the web UI). Outbound SMTP email dispatch is not implemented.</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Manuscript submissions are limited to a single PDF file. Rebuttals, camera-ready bundles and supplementary datasets are not supported as separate multi-file packages.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The reviewer auto-assignment algorithm uses lexical keyword tokenisation and set intersection. It does not use dense vector embeddings and may miss semantic synonymy between related technical terms.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The fee schedule (Student: Rs 500, Academic: Rs 1,000, Industry: Rs 2,000) is defined in services.py and cannot be modified through the web interface without a code change.</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Demo accounts are authenticated by a single shared password (Demo@1234) and are not protected by a proper identity provider, making the system suitable for educational demonstration only.</w:t>
      </w:r>
    </w:p>
    <w:p>
      <w:pPr>
        <w:spacing w:after="100" w:before="200"/>
        <w:jc w:val="left"/>
      </w:pPr>
      <w:r>
        <w:rPr>
          <w:rFonts w:ascii="Times New Roman" w:cs="Times New Roman" w:eastAsia="Times New Roman" w:hAnsi="Times New Roman"/>
          <w:b/>
          <w:bCs/>
          <w:color w:val="000000"/>
          <w:sz w:val="24"/>
          <w:szCs w:val="24"/>
        </w:rPr>
        <w:t xml:space="preserve">8.3 FUTURE ENHANCEMENTS</w:t>
      </w:r>
    </w:p>
    <w:p>
      <w:pPr>
        <w:spacing w:after="40" w:before="40" w:line="260"/>
        <w:ind w:left="720" w:hanging="360"/>
        <w:jc w:val="both"/>
      </w:pPr>
      <w:r>
        <w:rPr>
          <w:rFonts w:ascii="Times New Roman" w:cs="Times New Roman" w:eastAsia="Times New Roman" w:hAnsi="Times New Roman"/>
          <w:color w:val="000000"/>
          <w:sz w:val="22"/>
          <w:szCs w:val="22"/>
        </w:rPr>
        <w:t xml:space="preserve">1.	Database abstraction to support seamless switching between SQLite3 for local deployments and PostgreSQL for large-scale enterprise deployments with connection pooling.</w:t>
      </w:r>
    </w:p>
    <w:p>
      <w:pPr>
        <w:spacing w:after="40" w:before="40" w:line="260"/>
        <w:ind w:left="720" w:hanging="360"/>
        <w:jc w:val="both"/>
      </w:pPr>
      <w:r>
        <w:rPr>
          <w:rFonts w:ascii="Times New Roman" w:cs="Times New Roman" w:eastAsia="Times New Roman" w:hAnsi="Times New Roman"/>
          <w:color w:val="000000"/>
          <w:sz w:val="22"/>
          <w:szCs w:val="22"/>
        </w:rPr>
        <w:t xml:space="preserve">2.	Cloud object storage adapter implementing a storage driver interface for AWS S3, Google Cloud Storage or MinIO using pre-signed upload URLs.</w:t>
      </w:r>
    </w:p>
    <w:p>
      <w:pPr>
        <w:spacing w:after="40" w:before="40" w:line="260"/>
        <w:ind w:left="720" w:hanging="360"/>
        <w:jc w:val="both"/>
      </w:pPr>
      <w:r>
        <w:rPr>
          <w:rFonts w:ascii="Times New Roman" w:cs="Times New Roman" w:eastAsia="Times New Roman" w:hAnsi="Times New Roman"/>
          <w:color w:val="000000"/>
          <w:sz w:val="22"/>
          <w:szCs w:val="22"/>
        </w:rPr>
        <w:t xml:space="preserve">3.	Live payment gateway integration with webhook handlers and checkout sessions for production payment providers such as Stripe Elements and Razorpay.</w:t>
      </w:r>
    </w:p>
    <w:p>
      <w:pPr>
        <w:spacing w:after="40" w:before="40" w:line="260"/>
        <w:ind w:left="720" w:hanging="360"/>
        <w:jc w:val="both"/>
      </w:pPr>
      <w:r>
        <w:rPr>
          <w:rFonts w:ascii="Times New Roman" w:cs="Times New Roman" w:eastAsia="Times New Roman" w:hAnsi="Times New Roman"/>
          <w:color w:val="000000"/>
          <w:sz w:val="22"/>
          <w:szCs w:val="22"/>
        </w:rPr>
        <w:t xml:space="preserve">4.	Asynchronous email notification pipeline using a background worker queue (Celery or RQ with Redis) for transactional SMTP emails at deadline boundaries.</w:t>
      </w:r>
    </w:p>
    <w:p>
      <w:pPr>
        <w:spacing w:after="40" w:before="40" w:line="260"/>
        <w:ind w:left="720" w:hanging="360"/>
        <w:jc w:val="both"/>
      </w:pPr>
      <w:r>
        <w:rPr>
          <w:rFonts w:ascii="Times New Roman" w:cs="Times New Roman" w:eastAsia="Times New Roman" w:hAnsi="Times New Roman"/>
          <w:color w:val="000000"/>
          <w:sz w:val="22"/>
          <w:szCs w:val="22"/>
        </w:rPr>
        <w:t xml:space="preserve">5.	Semantic embedding-based reviewer matching upgrading the current lexical heuristic to vector cosine similarity using lightweight local sentence-transformer models.</w:t>
      </w:r>
    </w:p>
    <w:p>
      <w:pPr>
        <w:spacing w:after="40" w:before="40" w:line="260"/>
        <w:ind w:left="720" w:hanging="360"/>
        <w:jc w:val="both"/>
      </w:pPr>
      <w:r>
        <w:rPr>
          <w:rFonts w:ascii="Times New Roman" w:cs="Times New Roman" w:eastAsia="Times New Roman" w:hAnsi="Times New Roman"/>
          <w:color w:val="000000"/>
          <w:sz w:val="22"/>
          <w:szCs w:val="22"/>
        </w:rPr>
        <w:t xml:space="preserve">6.	Camera-ready ingestion and multi-file bundling for accepted authors to submit final PDF packages, source files and copyright transfer agreements.</w:t>
      </w:r>
    </w:p>
    <w:p>
      <w:pPr>
        <w:spacing w:after="40" w:before="40" w:line="260"/>
        <w:ind w:left="720" w:hanging="360"/>
        <w:jc w:val="both"/>
      </w:pPr>
      <w:r>
        <w:rPr>
          <w:rFonts w:ascii="Times New Roman" w:cs="Times New Roman" w:eastAsia="Times New Roman" w:hAnsi="Times New Roman"/>
          <w:color w:val="000000"/>
          <w:sz w:val="22"/>
          <w:szCs w:val="22"/>
        </w:rPr>
        <w:t xml:space="preserve">7.	Replacement of the demo user switcher with a proper identity provider (Cognito or OAuth2) for production use with real authentication.</w:t>
      </w:r>
    </w:p>
    <w:p>
      <w:pPr>
        <w:spacing w:after="40" w:before="40" w:line="260"/>
        <w:ind w:left="720" w:hanging="360"/>
        <w:jc w:val="both"/>
      </w:pPr>
      <w:r>
        <w:rPr>
          <w:rFonts w:ascii="Times New Roman" w:cs="Times New Roman" w:eastAsia="Times New Roman" w:hAnsi="Times New Roman"/>
          <w:color w:val="000000"/>
          <w:sz w:val="22"/>
          <w:szCs w:val="22"/>
        </w:rPr>
        <w:t xml:space="preserve">8.	Per-conference customisable fee structures configurable through the chair administration interface without code modifications.</w:t>
      </w:r>
    </w:p>
    <w:p>
      <w:r>
        <w:br w:type="page"/>
      </w:r>
    </w:p>
    <w:p>
      <w:pPr>
        <w:spacing w:after="240" w:before="0"/>
        <w:jc w:val="center"/>
      </w:pPr>
      <w:r>
        <w:rPr>
          <w:rFonts w:ascii="Times New Roman" w:cs="Times New Roman" w:eastAsia="Times New Roman" w:hAnsi="Times New Roman"/>
          <w:b/>
          <w:bCs/>
          <w:color w:val="000000"/>
          <w:sz w:val="28"/>
          <w:szCs w:val="28"/>
        </w:rPr>
        <w:t xml:space="preserve">CHAPTER 9: REFERENCES</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Pallets Projects. Flask: A Python Microframework. Official Documentation, version 3.0.x, 2023. Available: https://flask.palletsprojects.com/</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Pallets Projects. Werkzeug: The Python WSGI Web Application Library. Official Documentation (Password Hashing and Utilities), 2023. Available: https://werkzeug.palletsprojects.com/</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Hipp, D. R., et al. SQLite: An In-Process Relational Database Engine. Official Documentation (Foreign Keys and Transactions), 2023. Available: https://www.sqlite.org/</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International Organization for Standardization. ISO/IEC 7812: Identification Cards – Identification of Issuers – Part 1: Numbering System. Luhn Checksum Algorithm (Mod-10), 2017.</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Shafranovich, Y. Common Format and MIME Type for Comma-Separated Values (CSV) Files. Internet Engineering Task Force (IETF), RFC 4180, 2005. Available: https://www.rfc-editor.org/rfc/rfc4180</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Snodgrass, R. Single- Versus Double-Blind Reviewing: An Analysis of the Literature. ACM SIGMOD Record, vol. 35, no. 3, pp. 8–22, 2006.</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Sandhu, R. S., Coyne, E. J., Feinstein, H. L., and Youman, C. E. Role-Based Access Control Models. IEEE Computer, vol. 29, no. 2, pp. 38–47, 1996.</w:t>
      </w:r>
    </w:p>
    <w:p>
      <w:pPr>
        <w:spacing w:after="40" w:before="40" w:line="260"/>
        <w:ind w:left="72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Martin, R. C. Clean Architecture: A Craftsman's Guide to Software Structure and Design. Prentice Hall, 2017.</w:t>
      </w:r>
    </w:p>
    <w:p>
      <w:r>
        <w:br w:type="page"/>
      </w:r>
    </w:p>
    <w:p>
      <w:pPr>
        <w:spacing w:after="240" w:before="0"/>
        <w:jc w:val="center"/>
      </w:pPr>
      <w:r>
        <w:rPr>
          <w:rFonts w:ascii="Times New Roman" w:cs="Times New Roman" w:eastAsia="Times New Roman" w:hAnsi="Times New Roman"/>
          <w:b/>
          <w:bCs/>
          <w:color w:val="000000"/>
          <w:sz w:val="28"/>
          <w:szCs w:val="28"/>
        </w:rPr>
        <w:t xml:space="preserve">CHAPTER 10: APPENDIX</w:t>
      </w:r>
    </w:p>
    <w:p>
      <w:pPr>
        <w:spacing w:after="100" w:before="200"/>
        <w:jc w:val="left"/>
      </w:pPr>
      <w:r>
        <w:rPr>
          <w:rFonts w:ascii="Times New Roman" w:cs="Times New Roman" w:eastAsia="Times New Roman" w:hAnsi="Times New Roman"/>
          <w:b/>
          <w:bCs/>
          <w:color w:val="000000"/>
          <w:sz w:val="24"/>
          <w:szCs w:val="24"/>
        </w:rPr>
        <w:t xml:space="preserve">A. PROJECT STRUCTURE</w:t>
      </w:r>
    </w:p>
    <w:p>
      <w:pPr>
        <w:shd w:fill="F5F5F5" w:color="auto" w:val="clear"/>
        <w:spacing w:after="0" w:before="0" w:line="240"/>
      </w:pPr>
      <w:r>
        <w:rPr>
          <w:rFonts w:ascii="Courier New" w:cs="Courier New" w:eastAsia="Courier New" w:hAnsi="Courier New"/>
          <w:color w:val="000000"/>
          <w:sz w:val="18"/>
          <w:szCs w:val="18"/>
        </w:rPr>
        <w:t xml:space="preserve">ConfMan/</w:t>
      </w:r>
    </w:p>
    <w:p>
      <w:pPr>
        <w:shd w:fill="F5F5F5" w:color="auto" w:val="clear"/>
        <w:spacing w:after="0" w:before="0" w:line="240"/>
      </w:pPr>
      <w:r>
        <w:rPr>
          <w:rFonts w:ascii="Courier New" w:cs="Courier New" w:eastAsia="Courier New" w:hAnsi="Courier New"/>
          <w:color w:val="000000"/>
          <w:sz w:val="18"/>
          <w:szCs w:val="18"/>
        </w:rPr>
        <w:t xml:space="preserve">├── cms_app/</w:t>
      </w:r>
    </w:p>
    <w:p>
      <w:pPr>
        <w:shd w:fill="F5F5F5" w:color="auto" w:val="clear"/>
        <w:spacing w:after="0" w:before="0" w:line="240"/>
      </w:pPr>
      <w:r>
        <w:rPr>
          <w:rFonts w:ascii="Courier New" w:cs="Courier New" w:eastAsia="Courier New" w:hAnsi="Courier New"/>
          <w:color w:val="000000"/>
          <w:sz w:val="18"/>
          <w:szCs w:val="18"/>
        </w:rPr>
        <w:t xml:space="preserve">│   ├── __init__.py        # Presentation Layer: routes, CSRF, RBAC (928 lines)</w:t>
      </w:r>
    </w:p>
    <w:p>
      <w:pPr>
        <w:shd w:fill="F5F5F5" w:color="auto" w:val="clear"/>
        <w:spacing w:after="0" w:before="0" w:line="240"/>
      </w:pPr>
      <w:r>
        <w:rPr>
          <w:rFonts w:ascii="Courier New" w:cs="Courier New" w:eastAsia="Courier New" w:hAnsi="Courier New"/>
          <w:color w:val="000000"/>
          <w:sz w:val="18"/>
          <w:szCs w:val="18"/>
        </w:rPr>
        <w:t xml:space="preserve">│   ├── services.py        # Business Logic Layer: transactional services (647 lines)</w:t>
      </w:r>
    </w:p>
    <w:p>
      <w:pPr>
        <w:shd w:fill="F5F5F5" w:color="auto" w:val="clear"/>
        <w:spacing w:after="0" w:before="0" w:line="240"/>
      </w:pPr>
      <w:r>
        <w:rPr>
          <w:rFonts w:ascii="Courier New" w:cs="Courier New" w:eastAsia="Courier New" w:hAnsi="Courier New"/>
          <w:color w:val="000000"/>
          <w:sz w:val="18"/>
          <w:szCs w:val="18"/>
        </w:rPr>
        <w:t xml:space="preserve">│   ├── insights.py        # Read-Model Layer: analytics aggregations (219 lines)</w:t>
      </w:r>
    </w:p>
    <w:p>
      <w:pPr>
        <w:shd w:fill="F5F5F5" w:color="auto" w:val="clear"/>
        <w:spacing w:after="0" w:before="0" w:line="240"/>
      </w:pPr>
      <w:r>
        <w:rPr>
          <w:rFonts w:ascii="Courier New" w:cs="Courier New" w:eastAsia="Courier New" w:hAnsi="Courier New"/>
          <w:color w:val="000000"/>
          <w:sz w:val="18"/>
          <w:szCs w:val="18"/>
        </w:rPr>
        <w:t xml:space="preserve">│   ├── db.py              # Data Access Layer: SQLite connection lifecycle (25 lines)</w:t>
      </w:r>
    </w:p>
    <w:p>
      <w:pPr>
        <w:shd w:fill="F5F5F5" w:color="auto" w:val="clear"/>
        <w:spacing w:after="0" w:before="0" w:line="240"/>
      </w:pPr>
      <w:r>
        <w:rPr>
          <w:rFonts w:ascii="Courier New" w:cs="Courier New" w:eastAsia="Courier New" w:hAnsi="Courier New"/>
          <w:color w:val="000000"/>
          <w:sz w:val="18"/>
          <w:szCs w:val="18"/>
        </w:rPr>
        <w:t xml:space="preserve">│   ├── schema.sql         # Relational Schema: 13 tables with constraints (129 lines)</w:t>
      </w:r>
    </w:p>
    <w:p>
      <w:pPr>
        <w:shd w:fill="F5F5F5" w:color="auto" w:val="clear"/>
        <w:spacing w:after="0" w:before="0" w:line="240"/>
      </w:pPr>
      <w:r>
        <w:rPr>
          <w:rFonts w:ascii="Courier New" w:cs="Courier New" w:eastAsia="Courier New" w:hAnsi="Courier New"/>
          <w:color w:val="000000"/>
          <w:sz w:val="18"/>
          <w:szCs w:val="18"/>
        </w:rPr>
        <w:t xml:space="preserve">│   ├── static/</w:t>
      </w:r>
    </w:p>
    <w:p>
      <w:pPr>
        <w:shd w:fill="F5F5F5" w:color="auto" w:val="clear"/>
        <w:spacing w:after="0" w:before="0" w:line="240"/>
      </w:pPr>
      <w:r>
        <w:rPr>
          <w:rFonts w:ascii="Courier New" w:cs="Courier New" w:eastAsia="Courier New" w:hAnsi="Courier New"/>
          <w:color w:val="000000"/>
          <w:sz w:val="18"/>
          <w:szCs w:val="18"/>
        </w:rPr>
        <w:t xml:space="preserve">│   │   └── style.css      # Custom Teal Design System, dark mode (362 lines)</w:t>
      </w:r>
    </w:p>
    <w:p>
      <w:pPr>
        <w:shd w:fill="F5F5F5" w:color="auto" w:val="clear"/>
        <w:spacing w:after="0" w:before="0" w:line="240"/>
      </w:pPr>
      <w:r>
        <w:rPr>
          <w:rFonts w:ascii="Courier New" w:cs="Courier New" w:eastAsia="Courier New" w:hAnsi="Courier New"/>
          <w:color w:val="000000"/>
          <w:sz w:val="18"/>
          <w:szCs w:val="18"/>
        </w:rPr>
        <w:t xml:space="preserve">│   └── templates/         # Jinja2 HTML templates (30 files)</w:t>
      </w:r>
    </w:p>
    <w:p>
      <w:pPr>
        <w:shd w:fill="F5F5F5" w:color="auto" w:val="clear"/>
        <w:spacing w:after="0" w:before="0" w:line="240"/>
      </w:pPr>
      <w:r>
        <w:rPr>
          <w:rFonts w:ascii="Courier New" w:cs="Courier New" w:eastAsia="Courier New" w:hAnsi="Courier New"/>
          <w:color w:val="000000"/>
          <w:sz w:val="18"/>
          <w:szCs w:val="18"/>
        </w:rPr>
        <w:t xml:space="preserve">│       ├── _macros.html   # SVG icons, KPI cards, sparklines, ring charts</w:t>
      </w:r>
    </w:p>
    <w:p>
      <w:pPr>
        <w:shd w:fill="F5F5F5" w:color="auto" w:val="clear"/>
        <w:spacing w:after="0" w:before="0" w:line="240"/>
      </w:pPr>
      <w:r>
        <w:rPr>
          <w:rFonts w:ascii="Courier New" w:cs="Courier New" w:eastAsia="Courier New" w:hAnsi="Courier New"/>
          <w:color w:val="000000"/>
          <w:sz w:val="18"/>
          <w:szCs w:val="18"/>
        </w:rPr>
        <w:t xml:space="preserve">│       ├── base.html      # Application shell, sidebar, topbar, theme toggle</w:t>
      </w:r>
    </w:p>
    <w:p>
      <w:pPr>
        <w:shd w:fill="F5F5F5" w:color="auto" w:val="clear"/>
        <w:spacing w:after="0" w:before="0" w:line="240"/>
      </w:pPr>
      <w:r>
        <w:rPr>
          <w:rFonts w:ascii="Courier New" w:cs="Courier New" w:eastAsia="Courier New" w:hAnsi="Courier New"/>
          <w:color w:val="000000"/>
          <w:sz w:val="18"/>
          <w:szCs w:val="18"/>
        </w:rPr>
        <w:t xml:space="preserve">│       ├── paper.html     # Paper detail: reviews, decision panel, scheduling</w:t>
      </w:r>
    </w:p>
    <w:p>
      <w:pPr>
        <w:shd w:fill="F5F5F5" w:color="auto" w:val="clear"/>
        <w:spacing w:after="0" w:before="0" w:line="240"/>
      </w:pPr>
      <w:r>
        <w:rPr>
          <w:rFonts w:ascii="Courier New" w:cs="Courier New" w:eastAsia="Courier New" w:hAnsi="Courier New"/>
          <w:color w:val="000000"/>
          <w:sz w:val="18"/>
          <w:szCs w:val="18"/>
        </w:rPr>
        <w:t xml:space="preserve">│       ├── dash_manager.html  # Chair/Admin dashboard with KPI telemetry</w:t>
      </w:r>
    </w:p>
    <w:p>
      <w:pPr>
        <w:shd w:fill="F5F5F5" w:color="auto" w:val="clear"/>
        <w:spacing w:after="0" w:before="0" w:line="240"/>
      </w:pPr>
      <w:r>
        <w:rPr>
          <w:rFonts w:ascii="Courier New" w:cs="Courier New" w:eastAsia="Courier New" w:hAnsi="Courier New"/>
          <w:color w:val="000000"/>
          <w:sz w:val="18"/>
          <w:szCs w:val="18"/>
        </w:rPr>
        <w:t xml:space="preserve">│       └── ...            # (25 additional template files)</w:t>
      </w:r>
    </w:p>
    <w:p>
      <w:pPr>
        <w:shd w:fill="F5F5F5" w:color="auto" w:val="clear"/>
        <w:spacing w:after="0" w:before="0" w:line="240"/>
      </w:pPr>
      <w:r>
        <w:rPr>
          <w:rFonts w:ascii="Courier New" w:cs="Courier New" w:eastAsia="Courier New" w:hAnsi="Courier New"/>
          <w:color w:val="000000"/>
          <w:sz w:val="18"/>
          <w:szCs w:val="18"/>
        </w:rPr>
        <w:t xml:space="preserve">├── tests/</w:t>
      </w:r>
    </w:p>
    <w:p>
      <w:pPr>
        <w:shd w:fill="F5F5F5" w:color="auto" w:val="clear"/>
        <w:spacing w:after="0" w:before="0" w:line="240"/>
      </w:pPr>
      <w:r>
        <w:rPr>
          <w:rFonts w:ascii="Courier New" w:cs="Courier New" w:eastAsia="Courier New" w:hAnsi="Courier New"/>
          <w:color w:val="000000"/>
          <w:sz w:val="18"/>
          <w:szCs w:val="18"/>
        </w:rPr>
        <w:t xml:space="preserve">│   ├── test_cms.py        # 50 unit and integration tests</w:t>
      </w:r>
    </w:p>
    <w:p>
      <w:pPr>
        <w:shd w:fill="F5F5F5" w:color="auto" w:val="clear"/>
        <w:spacing w:after="0" w:before="0" w:line="240"/>
      </w:pPr>
      <w:r>
        <w:rPr>
          <w:rFonts w:ascii="Courier New" w:cs="Courier New" w:eastAsia="Courier New" w:hAnsi="Courier New"/>
          <w:color w:val="000000"/>
          <w:sz w:val="18"/>
          <w:szCs w:val="18"/>
        </w:rPr>
        <w:t xml:space="preserve">│   └── test_v13.py        # 17 admin, assignment and UI tests</w:t>
      </w:r>
    </w:p>
    <w:p>
      <w:pPr>
        <w:shd w:fill="F5F5F5" w:color="auto" w:val="clear"/>
        <w:spacing w:after="0" w:before="0" w:line="240"/>
      </w:pPr>
      <w:r>
        <w:rPr>
          <w:rFonts w:ascii="Courier New" w:cs="Courier New" w:eastAsia="Courier New" w:hAnsi="Courier New"/>
          <w:color w:val="000000"/>
          <w:sz w:val="18"/>
          <w:szCs w:val="18"/>
        </w:rPr>
        <w:t xml:space="preserve">├── demo.py                # 75-day longitudinal demo data generator</w:t>
      </w:r>
    </w:p>
    <w:p>
      <w:pPr>
        <w:shd w:fill="F5F5F5" w:color="auto" w:val="clear"/>
        <w:spacing w:after="0" w:before="0" w:line="240"/>
      </w:pPr>
      <w:r>
        <w:rPr>
          <w:rFonts w:ascii="Courier New" w:cs="Courier New" w:eastAsia="Courier New" w:hAnsi="Courier New"/>
          <w:color w:val="000000"/>
          <w:sz w:val="18"/>
          <w:szCs w:val="18"/>
        </w:rPr>
        <w:t xml:space="preserve">├── seed.py                # Database reset and seeding tool</w:t>
      </w:r>
    </w:p>
    <w:p>
      <w:pPr>
        <w:shd w:fill="F5F5F5" w:color="auto" w:val="clear"/>
        <w:spacing w:after="0" w:before="0" w:line="240"/>
      </w:pPr>
      <w:r>
        <w:rPr>
          <w:rFonts w:ascii="Courier New" w:cs="Courier New" w:eastAsia="Courier New" w:hAnsi="Courier New"/>
          <w:color w:val="000000"/>
          <w:sz w:val="18"/>
          <w:szCs w:val="18"/>
        </w:rPr>
        <w:t xml:space="preserve">├── run.py                 # Application entry point</w:t>
      </w:r>
    </w:p>
    <w:p>
      <w:pPr>
        <w:shd w:fill="F5F5F5" w:color="auto" w:val="clear"/>
        <w:spacing w:after="0" w:before="0" w:line="240"/>
      </w:pPr>
      <w:r>
        <w:rPr>
          <w:rFonts w:ascii="Courier New" w:cs="Courier New" w:eastAsia="Courier New" w:hAnsi="Courier New"/>
          <w:color w:val="000000"/>
          <w:sz w:val="18"/>
          <w:szCs w:val="18"/>
        </w:rPr>
        <w:t xml:space="preserve">├── requirements.txt       # Flask&gt;=3.0 (single dependency)</w:t>
      </w:r>
    </w:p>
    <w:p>
      <w:pPr>
        <w:shd w:fill="F5F5F5" w:color="auto" w:val="clear"/>
        <w:spacing w:after="0" w:before="0" w:line="240"/>
      </w:pPr>
      <w:r>
        <w:rPr>
          <w:rFonts w:ascii="Courier New" w:cs="Courier New" w:eastAsia="Courier New" w:hAnsi="Courier New"/>
          <w:color w:val="000000"/>
          <w:sz w:val="18"/>
          <w:szCs w:val="18"/>
        </w:rPr>
        <w:t xml:space="preserve">└── README.md              # Quick-start guide and demo credentials</w:t>
      </w:r>
    </w:p>
    <w:p>
      <w:pPr>
        <w:spacing w:after="100" w:before="200"/>
        <w:jc w:val="left"/>
      </w:pPr>
      <w:r>
        <w:rPr>
          <w:rFonts w:ascii="Times New Roman" w:cs="Times New Roman" w:eastAsia="Times New Roman" w:hAnsi="Times New Roman"/>
          <w:b/>
          <w:bCs/>
          <w:color w:val="000000"/>
          <w:sz w:val="24"/>
          <w:szCs w:val="24"/>
        </w:rPr>
        <w:t xml:space="preserve">B. IMPORTANT COMMANDS</w:t>
      </w:r>
    </w:p>
    <w:p>
      <w:pPr>
        <w:spacing w:after="40" w:before="80" w:line="276"/>
        <w:jc w:val="both"/>
      </w:pPr>
      <w:r>
        <w:rPr>
          <w:rFonts w:ascii="Times New Roman" w:cs="Times New Roman" w:eastAsia="Times New Roman" w:hAnsi="Times New Roman"/>
          <w:b/>
          <w:bCs/>
          <w:color w:val="000000"/>
          <w:sz w:val="22"/>
          <w:szCs w:val="22"/>
        </w:rPr>
        <w:t xml:space="preserve">Create virtual environment and install dependencies</w:t>
      </w:r>
    </w:p>
    <w:p>
      <w:pPr>
        <w:shd w:fill="F5F5F5" w:color="auto" w:val="clear"/>
        <w:spacing w:after="0" w:before="0" w:line="240"/>
      </w:pPr>
      <w:r>
        <w:rPr>
          <w:rFonts w:ascii="Courier New" w:cs="Courier New" w:eastAsia="Courier New" w:hAnsi="Courier New"/>
          <w:color w:val="000000"/>
          <w:sz w:val="18"/>
          <w:szCs w:val="18"/>
        </w:rPr>
        <w:t xml:space="preserve">python3 -m venv venv</w:t>
      </w:r>
    </w:p>
    <w:p>
      <w:pPr>
        <w:shd w:fill="F5F5F5" w:color="auto" w:val="clear"/>
        <w:spacing w:after="0" w:before="0" w:line="240"/>
      </w:pPr>
      <w:r>
        <w:rPr>
          <w:rFonts w:ascii="Courier New" w:cs="Courier New" w:eastAsia="Courier New" w:hAnsi="Courier New"/>
          <w:color w:val="000000"/>
          <w:sz w:val="18"/>
          <w:szCs w:val="18"/>
        </w:rPr>
        <w:t xml:space="preserve">source venv/bin/activate</w:t>
      </w:r>
    </w:p>
    <w:p>
      <w:pPr>
        <w:shd w:fill="F5F5F5" w:color="auto" w:val="clear"/>
        <w:spacing w:after="0" w:before="0" w:line="240"/>
      </w:pPr>
      <w:r>
        <w:rPr>
          <w:rFonts w:ascii="Courier New" w:cs="Courier New" w:eastAsia="Courier New" w:hAnsi="Courier New"/>
          <w:color w:val="000000"/>
          <w:sz w:val="18"/>
          <w:szCs w:val="18"/>
        </w:rPr>
        <w:t xml:space="preserve">pip install -r requirements.txt</w:t>
      </w:r>
    </w:p>
    <w:p>
      <w:pPr>
        <w:spacing w:after="40" w:before="80" w:line="276"/>
        <w:jc w:val="both"/>
      </w:pPr>
      <w:r>
        <w:rPr>
          <w:rFonts w:ascii="Times New Roman" w:cs="Times New Roman" w:eastAsia="Times New Roman" w:hAnsi="Times New Roman"/>
          <w:b/>
          <w:bCs/>
          <w:color w:val="000000"/>
          <w:sz w:val="22"/>
          <w:szCs w:val="22"/>
        </w:rPr>
        <w:t xml:space="preserve">Start the web application server</w:t>
      </w:r>
    </w:p>
    <w:p>
      <w:pPr>
        <w:shd w:fill="F5F5F5" w:color="auto" w:val="clear"/>
        <w:spacing w:after="0" w:before="0" w:line="240"/>
      </w:pPr>
      <w:r>
        <w:rPr>
          <w:rFonts w:ascii="Courier New" w:cs="Courier New" w:eastAsia="Courier New" w:hAnsi="Courier New"/>
          <w:color w:val="000000"/>
          <w:sz w:val="18"/>
          <w:szCs w:val="18"/>
        </w:rPr>
        <w:t xml:space="preserve">python run.py</w:t>
      </w:r>
    </w:p>
    <w:p>
      <w:pPr>
        <w:spacing w:after="40" w:before="80" w:line="276"/>
        <w:jc w:val="both"/>
      </w:pPr>
      <w:r>
        <w:rPr>
          <w:rFonts w:ascii="Times New Roman" w:cs="Times New Roman" w:eastAsia="Times New Roman" w:hAnsi="Times New Roman"/>
          <w:b/>
          <w:bCs/>
          <w:color w:val="000000"/>
          <w:sz w:val="22"/>
          <w:szCs w:val="22"/>
        </w:rPr>
        <w:t xml:space="preserve">Reset the database and reload demo data</w:t>
      </w:r>
    </w:p>
    <w:p>
      <w:pPr>
        <w:shd w:fill="F5F5F5" w:color="auto" w:val="clear"/>
        <w:spacing w:after="0" w:before="0" w:line="240"/>
      </w:pPr>
      <w:r>
        <w:rPr>
          <w:rFonts w:ascii="Courier New" w:cs="Courier New" w:eastAsia="Courier New" w:hAnsi="Courier New"/>
          <w:color w:val="000000"/>
          <w:sz w:val="18"/>
          <w:szCs w:val="18"/>
        </w:rPr>
        <w:t xml:space="preserve">python seed.py --reset</w:t>
      </w:r>
    </w:p>
    <w:p>
      <w:pPr>
        <w:spacing w:after="40" w:before="80" w:line="276"/>
        <w:jc w:val="both"/>
      </w:pPr>
      <w:r>
        <w:rPr>
          <w:rFonts w:ascii="Times New Roman" w:cs="Times New Roman" w:eastAsia="Times New Roman" w:hAnsi="Times New Roman"/>
          <w:b/>
          <w:bCs/>
          <w:color w:val="000000"/>
          <w:sz w:val="22"/>
          <w:szCs w:val="22"/>
        </w:rPr>
        <w:t xml:space="preserve">Run the automated test suite</w:t>
      </w:r>
    </w:p>
    <w:p>
      <w:pPr>
        <w:shd w:fill="F5F5F5" w:color="auto" w:val="clear"/>
        <w:spacing w:after="0" w:before="0" w:line="240"/>
      </w:pPr>
      <w:r>
        <w:rPr>
          <w:rFonts w:ascii="Courier New" w:cs="Courier New" w:eastAsia="Courier New" w:hAnsi="Courier New"/>
          <w:color w:val="000000"/>
          <w:sz w:val="18"/>
          <w:szCs w:val="18"/>
        </w:rPr>
        <w:t xml:space="preserve">python -m unittest discover -s tests -v</w:t>
      </w:r>
    </w:p>
    <w:p>
      <w:pPr>
        <w:spacing w:after="100" w:before="200"/>
        <w:jc w:val="left"/>
      </w:pPr>
      <w:r>
        <w:rPr>
          <w:rFonts w:ascii="Times New Roman" w:cs="Times New Roman" w:eastAsia="Times New Roman" w:hAnsi="Times New Roman"/>
          <w:b/>
          <w:bCs/>
          <w:color w:val="000000"/>
          <w:sz w:val="24"/>
          <w:szCs w:val="24"/>
        </w:rPr>
        <w:t xml:space="preserve">C. DEMO USER CREDENTIALS</w:t>
      </w:r>
    </w:p>
    <w:p>
      <w:pPr>
        <w:spacing w:after="80" w:before="60" w:line="276"/>
        <w:jc w:val="both"/>
      </w:pPr>
      <w:r>
        <w:rPr>
          <w:rFonts w:ascii="Times New Roman" w:cs="Times New Roman" w:eastAsia="Times New Roman" w:hAnsi="Times New Roman"/>
          <w:color w:val="000000"/>
          <w:sz w:val="22"/>
          <w:szCs w:val="22"/>
        </w:rPr>
        <w:t xml:space="preserve">All pre-seeded demo accounts share the uniform password: Demo@1234</w:t>
      </w:r>
    </w:p>
    <w:tbl>
      <w:tblPr>
        <w:tblW w:type="pct" w:w="100%"/>
        <w:tblBorders>
          <w:top w:val="single" w:color="000000" w:sz="4"/>
          <w:left w:val="single" w:color="000000" w:sz="4"/>
          <w:bottom w:val="single" w:color="000000" w:sz="4"/>
          <w:right w:val="single" w:color="000000" w:sz="4"/>
          <w:insideH w:val="single" w:color="000000" w:sz="2"/>
          <w:insideV w:val="single" w:color="000000" w:sz="2"/>
        </w:tblBorders>
        <w:tblLayout w:type="fixed"/>
      </w:tblPr>
      <w:tblGrid>
        <w:gridCol w:w="100"/>
        <w:gridCol w:w="100"/>
        <w:gridCol w:w="100"/>
        <w:gridCol w:w="100"/>
      </w:tblGrid>
      <w:tr>
        <w:trPr>
          <w:tblHeader/>
        </w:trPr>
        <w:tc>
          <w:tcPr>
            <w:tcW w:type="pct" w:w="016"/>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Role</w:t>
            </w:r>
          </w:p>
        </w:tc>
        <w:tc>
          <w:tcPr>
            <w:tcW w:type="pct" w:w="026"/>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Email Address</w:t>
            </w:r>
          </w:p>
        </w:tc>
        <w:tc>
          <w:tcPr>
            <w:tcW w:type="pct" w:w="016"/>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Password</w:t>
            </w:r>
          </w:p>
        </w:tc>
        <w:tc>
          <w:tcPr>
            <w:tcW w:type="pct" w:w="042"/>
            <w:tcBorders>
              <w:top w:val="single" w:color="000000" w:sz="4"/>
              <w:left w:val="single" w:color="000000" w:sz="4"/>
              <w:bottom w:val="single" w:color="000000" w:sz="4"/>
              <w:right w:val="single" w:color="000000" w:sz="4"/>
            </w:tcBorders>
            <w:shd w:fill="E8E8E8" w:color="auto" w:val="clear"/>
            <w:tcMar>
              <w:top w:type="dxa" w:w="60"/>
              <w:left w:type="dxa" w:w="80"/>
              <w:bottom w:type="dxa" w:w="60"/>
              <w:right w:type="dxa" w:w="80"/>
            </w:tcMar>
          </w:tcPr>
          <w:p>
            <w:pPr>
              <w:jc w:val="left"/>
            </w:pPr>
            <w:r>
              <w:rPr>
                <w:rFonts w:ascii="Times New Roman" w:cs="Times New Roman" w:eastAsia="Times New Roman" w:hAnsi="Times New Roman"/>
                <w:b/>
                <w:bCs/>
                <w:color w:val="000000"/>
                <w:sz w:val="20"/>
                <w:szCs w:val="20"/>
              </w:rPr>
              <w:t xml:space="preserve">Primary Responsibilities</w:t>
            </w:r>
          </w:p>
        </w:tc>
      </w:tr>
      <w:tr>
        <w:tc>
          <w:tcPr>
            <w:tcW w:type="pct" w:w="01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Administrator</w:t>
            </w:r>
          </w:p>
        </w:tc>
        <w:tc>
          <w:tcPr>
            <w:tcW w:type="pct" w:w="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admin@demo.org</w:t>
            </w:r>
          </w:p>
        </w:tc>
        <w:tc>
          <w:tcPr>
            <w:tcW w:type="pct" w:w="01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Demo@1234</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Global user management, platform KPIs, activity audit log.</w:t>
            </w:r>
          </w:p>
        </w:tc>
      </w:tr>
      <w:tr>
        <w:tc>
          <w:tcPr>
            <w:tcW w:type="pct" w:w="01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Program Chair</w:t>
            </w:r>
          </w:p>
        </w:tc>
        <w:tc>
          <w:tcPr>
            <w:tcW w:type="pct" w:w="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chair@demo.org</w:t>
            </w:r>
          </w:p>
        </w:tc>
        <w:tc>
          <w:tcPr>
            <w:tcW w:type="pct" w:w="01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Demo@1234</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Conference setup, reviewer assignment, decisions, scheduling.</w:t>
            </w:r>
          </w:p>
        </w:tc>
      </w:tr>
      <w:tr>
        <w:tc>
          <w:tcPr>
            <w:tcW w:type="pct" w:w="01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Reviewer</w:t>
            </w:r>
          </w:p>
        </w:tc>
        <w:tc>
          <w:tcPr>
            <w:tcW w:type="pct" w:w="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reviewer1@demo.org</w:t>
            </w:r>
          </w:p>
        </w:tc>
        <w:tc>
          <w:tcPr>
            <w:tcW w:type="pct" w:w="01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Demo@1234</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Assigned paper queue, open papers pool, blind review submission.</w:t>
            </w:r>
          </w:p>
        </w:tc>
      </w:tr>
      <w:tr>
        <w:tc>
          <w:tcPr>
            <w:tcW w:type="pct" w:w="01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Author</w:t>
            </w:r>
          </w:p>
        </w:tc>
        <w:tc>
          <w:tcPr>
            <w:tcW w:type="pct" w:w="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author@demo.org</w:t>
            </w:r>
          </w:p>
        </w:tc>
        <w:tc>
          <w:tcPr>
            <w:tcW w:type="pct" w:w="01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Demo@1234</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Paper submission, status tracking, anonymous review feedback.</w:t>
            </w:r>
          </w:p>
        </w:tc>
      </w:tr>
      <w:tr>
        <w:tc>
          <w:tcPr>
            <w:tcW w:type="pct" w:w="01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Attendee</w:t>
            </w:r>
          </w:p>
        </w:tc>
        <w:tc>
          <w:tcPr>
            <w:tcW w:type="pct" w:w="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attendee@demo.org</w:t>
            </w:r>
          </w:p>
        </w:tc>
        <w:tc>
          <w:tcPr>
            <w:tcW w:type="pct" w:w="01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Demo@1234</w:t>
            </w:r>
          </w:p>
        </w:tc>
        <w:tc>
          <w:tcPr>
            <w:tcW w:type="pct" w:w="042"/>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20"/>
                <w:szCs w:val="20"/>
              </w:rPr>
              <w:t xml:space="preserve">Conference discovery, registration, fee payment, programme.</w:t>
            </w:r>
          </w:p>
        </w:tc>
      </w:tr>
    </w:tbl>
    <w:p>
      <w:r>
        <w:br w:type="page"/>
      </w:r>
    </w:p>
    <w:p>
      <w:pPr>
        <w:spacing w:after="200" w:before="0"/>
        <w:jc w:val="center"/>
      </w:pPr>
      <w:r>
        <w:rPr>
          <w:rFonts w:ascii="Times New Roman" w:cs="Times New Roman" w:eastAsia="Times New Roman" w:hAnsi="Times New Roman"/>
          <w:b/>
          <w:bCs/>
          <w:i w:val="false"/>
          <w:iCs w:val="false"/>
          <w:color w:val="000000"/>
          <w:sz w:val="32"/>
          <w:szCs w:val="32"/>
        </w:rPr>
        <w:t xml:space="preserve">APPENDIX D: SCREENSHOTS</w:t>
      </w:r>
    </w:p>
    <w:p>
      <w:pPr>
        <w:spacing w:after="80" w:before="60" w:line="276"/>
        <w:jc w:val="both"/>
      </w:pPr>
      <w:r>
        <w:rPr>
          <w:rFonts w:ascii="Times New Roman" w:cs="Times New Roman" w:eastAsia="Times New Roman" w:hAnsi="Times New Roman"/>
          <w:color w:val="000000"/>
          <w:sz w:val="22"/>
          <w:szCs w:val="22"/>
        </w:rPr>
        <w:t xml:space="preserve">The following screenshots show the ConfMan web interface across the major user roles and workflows. Insert the actual application screenshots by replacing each placeholder below.</w:t>
      </w:r>
    </w:p>
    <w:p>
      <w:pPr>
        <w:spacing w:after="60" w:before="120"/>
      </w:pPr>
      <w:r/>
      <w:r>
        <w:drawing>
          <wp:inline xmlns:a="http://schemas.openxmlformats.org/drawingml/2006/main" xmlns:pic="http://schemas.openxmlformats.org/drawingml/2006/picture">
            <wp:extent cx="5486400" cy="6236970"/>
            <wp:docPr id="2" name="Picture 2"/>
            <wp:cNvGraphicFramePr>
              <a:graphicFrameLocks noChangeAspect="1"/>
            </wp:cNvGraphicFramePr>
            <a:graphic>
              <a:graphicData uri="http://schemas.openxmlformats.org/drawingml/2006/picture">
                <pic:pic>
                  <pic:nvPicPr>
                    <pic:cNvPr id="0" name="Figure_D1_Dashboard_Home_and_Login.png"/>
                    <pic:cNvPicPr/>
                  </pic:nvPicPr>
                  <pic:blipFill>
                    <a:blip r:embed="rId22"/>
                    <a:stretch>
                      <a:fillRect/>
                    </a:stretch>
                  </pic:blipFill>
                  <pic:spPr>
                    <a:xfrm>
                      <a:off x="0" y="0"/>
                      <a:ext cx="5486400" cy="6236970"/>
                    </a:xfrm>
                    <a:prstGeom prst="rect"/>
                  </pic:spPr>
                </pic:pic>
              </a:graphicData>
            </a:graphic>
          </wp:inline>
        </w:drawing>
      </w:r>
    </w:p>
    <w:p>
      <w:pPr>
        <w:spacing w:after="20" w:before="0"/>
      </w:pPr>
      <w:r/>
    </w:p>
    <w:p>
      <w:pPr>
        <w:spacing w:after="80" w:before="0"/>
      </w:pPr>
      <w:r/>
    </w:p>
    <w:p>
      <w:pPr>
        <w:spacing w:after="120" w:before="60"/>
        <w:jc w:val="center"/>
      </w:pPr>
      <w:r>
        <w:rPr>
          <w:rFonts w:ascii="Times New Roman" w:cs="Times New Roman" w:eastAsia="Times New Roman" w:hAnsi="Times New Roman"/>
          <w:i/>
          <w:iCs/>
          <w:color w:val="000000"/>
          <w:sz w:val="18"/>
          <w:szCs w:val="18"/>
        </w:rPr>
        <w:t xml:space="preserve">Figure D.1 – Dashboard – Home Page and Login Screen</w:t>
      </w:r>
    </w:p>
    <w:p>
      <w:pPr>
        <w:spacing w:after="60" w:before="120"/>
      </w:pPr>
      <w:r/>
      <w:r>
        <w:drawing>
          <wp:inline xmlns:a="http://schemas.openxmlformats.org/drawingml/2006/main" xmlns:pic="http://schemas.openxmlformats.org/drawingml/2006/picture">
            <wp:extent cx="5486400" cy="3089910"/>
            <wp:docPr id="3" name="Picture 3"/>
            <wp:cNvGraphicFramePr>
              <a:graphicFrameLocks noChangeAspect="1"/>
            </wp:cNvGraphicFramePr>
            <a:graphic>
              <a:graphicData uri="http://schemas.openxmlformats.org/drawingml/2006/picture">
                <pic:pic>
                  <pic:nvPicPr>
                    <pic:cNvPr id="0" name="Figure_D2_Chair_Dashboard.png"/>
                    <pic:cNvPicPr/>
                  </pic:nvPicPr>
                  <pic:blipFill>
                    <a:blip r:embed="rId23"/>
                    <a:stretch>
                      <a:fillRect/>
                    </a:stretch>
                  </pic:blipFill>
                  <pic:spPr>
                    <a:xfrm>
                      <a:off x="0" y="0"/>
                      <a:ext cx="5486400" cy="3089910"/>
                    </a:xfrm>
                    <a:prstGeom prst="rect"/>
                  </pic:spPr>
                </pic:pic>
              </a:graphicData>
            </a:graphic>
          </wp:inline>
        </w:drawing>
      </w:r>
    </w:p>
    <w:p>
      <w:pPr>
        <w:spacing w:after="20" w:before="0"/>
      </w:pPr>
      <w:r/>
    </w:p>
    <w:p>
      <w:pPr>
        <w:spacing w:after="80" w:before="0"/>
      </w:pPr>
      <w:r/>
    </w:p>
    <w:p>
      <w:pPr>
        <w:spacing w:after="120" w:before="60"/>
        <w:jc w:val="center"/>
      </w:pPr>
      <w:r>
        <w:rPr>
          <w:rFonts w:ascii="Times New Roman" w:cs="Times New Roman" w:eastAsia="Times New Roman" w:hAnsi="Times New Roman"/>
          <w:i/>
          <w:iCs/>
          <w:color w:val="000000"/>
          <w:sz w:val="18"/>
          <w:szCs w:val="18"/>
        </w:rPr>
        <w:t xml:space="preserve">Figure D.2 – Chair Dashboard – KPI Cards and Submission Queue</w:t>
      </w:r>
    </w:p>
    <w:p>
      <w:pPr>
        <w:spacing w:after="60" w:before="120"/>
      </w:pPr>
      <w:r/>
      <w:r>
        <w:drawing>
          <wp:inline xmlns:a="http://schemas.openxmlformats.org/drawingml/2006/main" xmlns:pic="http://schemas.openxmlformats.org/drawingml/2006/picture">
            <wp:extent cx="5486400" cy="3089910"/>
            <wp:docPr id="4" name="Picture 4"/>
            <wp:cNvGraphicFramePr>
              <a:graphicFrameLocks noChangeAspect="1"/>
            </wp:cNvGraphicFramePr>
            <a:graphic>
              <a:graphicData uri="http://schemas.openxmlformats.org/drawingml/2006/picture">
                <pic:pic>
                  <pic:nvPicPr>
                    <pic:cNvPr id="0" name="Figure_D3_Paper_Detail_Review_Panel.png"/>
                    <pic:cNvPicPr/>
                  </pic:nvPicPr>
                  <pic:blipFill>
                    <a:blip r:embed="rId24"/>
                    <a:stretch>
                      <a:fillRect/>
                    </a:stretch>
                  </pic:blipFill>
                  <pic:spPr>
                    <a:xfrm>
                      <a:off x="0" y="0"/>
                      <a:ext cx="5486400" cy="3089910"/>
                    </a:xfrm>
                    <a:prstGeom prst="rect"/>
                  </pic:spPr>
                </pic:pic>
              </a:graphicData>
            </a:graphic>
          </wp:inline>
        </w:drawing>
      </w:r>
    </w:p>
    <w:p>
      <w:pPr>
        <w:spacing w:after="20" w:before="0"/>
      </w:pPr>
      <w:r/>
    </w:p>
    <w:p>
      <w:pPr>
        <w:spacing w:after="80" w:before="0"/>
      </w:pPr>
      <w:r/>
    </w:p>
    <w:p>
      <w:pPr>
        <w:spacing w:after="120" w:before="60"/>
        <w:jc w:val="center"/>
      </w:pPr>
      <w:r>
        <w:rPr>
          <w:rFonts w:ascii="Times New Roman" w:cs="Times New Roman" w:eastAsia="Times New Roman" w:hAnsi="Times New Roman"/>
          <w:i/>
          <w:iCs/>
          <w:color w:val="000000"/>
          <w:sz w:val="18"/>
          <w:szCs w:val="18"/>
        </w:rPr>
        <w:t xml:space="preserve">Figure D.3 – Paper Detail View with Review Panel</w:t>
      </w:r>
    </w:p>
    <w:p>
      <w:pPr>
        <w:spacing w:after="60" w:before="120"/>
      </w:pPr>
      <w:r/>
      <w:r>
        <w:drawing>
          <wp:inline xmlns:a="http://schemas.openxmlformats.org/drawingml/2006/main" xmlns:pic="http://schemas.openxmlformats.org/drawingml/2006/picture">
            <wp:extent cx="5486400" cy="6236970"/>
            <wp:docPr id="5" name="Picture 5"/>
            <wp:cNvGraphicFramePr>
              <a:graphicFrameLocks noChangeAspect="1"/>
            </wp:cNvGraphicFramePr>
            <a:graphic>
              <a:graphicData uri="http://schemas.openxmlformats.org/drawingml/2006/picture">
                <pic:pic>
                  <pic:nvPicPr>
                    <pic:cNvPr id="0" name="Figure_D4_Payment_Checkout_and_Confirmation.png"/>
                    <pic:cNvPicPr/>
                  </pic:nvPicPr>
                  <pic:blipFill>
                    <a:blip r:embed="rId25"/>
                    <a:stretch>
                      <a:fillRect/>
                    </a:stretch>
                  </pic:blipFill>
                  <pic:spPr>
                    <a:xfrm>
                      <a:off x="0" y="0"/>
                      <a:ext cx="5486400" cy="6236970"/>
                    </a:xfrm>
                    <a:prstGeom prst="rect"/>
                  </pic:spPr>
                </pic:pic>
              </a:graphicData>
            </a:graphic>
          </wp:inline>
        </w:drawing>
      </w:r>
    </w:p>
    <w:p>
      <w:pPr>
        <w:spacing w:after="20" w:before="0"/>
      </w:pPr>
      <w:r/>
    </w:p>
    <w:p>
      <w:pPr>
        <w:spacing w:after="80" w:before="0"/>
      </w:pPr>
      <w:r/>
    </w:p>
    <w:p>
      <w:pPr>
        <w:spacing w:after="120" w:before="60"/>
        <w:jc w:val="center"/>
      </w:pPr>
      <w:r>
        <w:rPr>
          <w:rFonts w:ascii="Times New Roman" w:cs="Times New Roman" w:eastAsia="Times New Roman" w:hAnsi="Times New Roman"/>
          <w:i/>
          <w:iCs/>
          <w:color w:val="000000"/>
          <w:sz w:val="18"/>
          <w:szCs w:val="18"/>
        </w:rPr>
        <w:t xml:space="preserve">Figure D.4 – Payment Checkout and Registration Confirmation</w:t>
      </w:r>
    </w:p>
    <w:sectPr>
      <w:footerReference w:type="default" r:id="rId8"/>
      <w:type w:val="nextPage"/>
      <w:pgSz w:w="12240" w:h="15840" w:orient="portrait"/>
      <w:pgMar w:top="1224" w:right="1152" w:bottom="1152" w:left="1440" w:header="708" w:footer="64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c1467bd0f03f44885df428ec8d97399f47c6d0a3.png"/><Relationship Id="rId10" Type="http://schemas.openxmlformats.org/officeDocument/2006/relationships/image" Target="media/b0616b1ad43b9d5a66debe822c9e94db620cf991.png"/><Relationship Id="rId11" Type="http://schemas.openxmlformats.org/officeDocument/2006/relationships/image" Target="media/0f3d4c80a1ffca951d34a6dbf2f48d45b594dcf9.png"/><Relationship Id="rId12" Type="http://schemas.openxmlformats.org/officeDocument/2006/relationships/image" Target="media/cf9899d20eef03276589e3c621e8f5c1dbdd1da2.png"/><Relationship Id="rId13" Type="http://schemas.openxmlformats.org/officeDocument/2006/relationships/image" Target="media/3250ced13277770b4cc53cc3854f49d127171e25.png"/><Relationship Id="rId14" Type="http://schemas.openxmlformats.org/officeDocument/2006/relationships/image" Target="media/2f8b2167e633fe2e337930044f191b859d9c6277.png"/><Relationship Id="rId15" Type="http://schemas.openxmlformats.org/officeDocument/2006/relationships/image" Target="media/3c47743d6680881cb87db520af4dd3eaf2a329d5.png"/><Relationship Id="rId16" Type="http://schemas.openxmlformats.org/officeDocument/2006/relationships/image" Target="media/e779a0ae7341016c33974bb2b4582e480c1d502a.png"/><Relationship Id="rId17" Type="http://schemas.openxmlformats.org/officeDocument/2006/relationships/image" Target="media/3b9ec2eb4e5399e6edfeb30b6e0fc4a3978e14d2.png"/><Relationship Id="rId18" Type="http://schemas.openxmlformats.org/officeDocument/2006/relationships/image" Target="media/6fed253aaa2858efe1b35aba3a173f19c1193b61.png"/><Relationship Id="rId19" Type="http://schemas.openxmlformats.org/officeDocument/2006/relationships/image" Target="media/afdac2bd41d256378e72362fb7e816e0344c61f6.png"/><Relationship Id="rId20" Type="http://schemas.openxmlformats.org/officeDocument/2006/relationships/image" Target="media/09571ac343bc2da770955f26bb4de10aa3018a8f.png"/><Relationship Id="rId21" Type="http://schemas.openxmlformats.org/officeDocument/2006/relationships/fontTable" Target="fontTable.xml"/><Relationship Id="rId22" Type="http://schemas.openxmlformats.org/officeDocument/2006/relationships/image" Target="media/image1.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ConfMan – A Conference Management System</dc:title>
  <dc:creator>Claude – ConfMan Report Generator</dc:creator>
  <cp:lastModifiedBy>Un-named</cp:lastModifiedBy>
  <cp:revision>1</cp:revision>
  <dcterms:created xsi:type="dcterms:W3CDTF">2026-10-28T11:27:52.562Z</dcterms:created>
  <dcterms:modified xsi:type="dcterms:W3CDTF">2026-10-28T11:27:52.572Z</dcterms:modified>
</cp:coreProperties>
</file>

<file path=docProps/custom.xml><?xml version="1.0" encoding="utf-8"?>
<Properties xmlns="http://schemas.openxmlformats.org/officeDocument/2006/custom-properties" xmlns:vt="http://schemas.openxmlformats.org/officeDocument/2006/docPropsVTypes"/>
</file>