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6"/>
        </w:rPr>
        <w:t>Design Specification &amp; UI Mockups • v1.0 • August 2026</w:t>
      </w:r>
    </w:p>
    <w:p>
      <w:pPr>
        <w:pStyle w:val="Title"/>
      </w:pPr>
      <w:r>
        <w:t>Founder Signal — Design Specification &amp; UI Mockups</w:t>
      </w:r>
    </w:p>
    <w:p>
      <w:r>
        <w:t>Visual direction: premium research dashboard + startup opportunity radar. Data-rich, credible and calm rather than a generic AI idea generator.</w:t>
      </w:r>
    </w:p>
    <w:p>
      <w:pPr>
        <w:pStyle w:val="Heading1"/>
      </w:pPr>
      <w:r>
        <w:t>1. Design Principles</w:t>
      </w:r>
    </w:p>
    <w:p>
      <w:pPr>
        <w:pStyle w:val="ListBullet"/>
        <w:spacing w:after="40"/>
      </w:pPr>
      <w:r>
        <w:t>Evidence before hype.</w:t>
      </w:r>
    </w:p>
    <w:p>
      <w:pPr>
        <w:pStyle w:val="ListBullet"/>
        <w:spacing w:after="40"/>
      </w:pPr>
      <w:r>
        <w:t>Dense but scannable.</w:t>
      </w:r>
    </w:p>
    <w:p>
      <w:pPr>
        <w:pStyle w:val="ListBullet"/>
        <w:spacing w:after="40"/>
      </w:pPr>
      <w:r>
        <w:t>Visual trust through source diversity and momentum.</w:t>
      </w:r>
    </w:p>
    <w:p>
      <w:pPr>
        <w:pStyle w:val="ListBullet"/>
        <w:spacing w:after="40"/>
      </w:pPr>
      <w:r>
        <w:t>Progressive disclosure.</w:t>
      </w:r>
    </w:p>
    <w:p>
      <w:pPr>
        <w:pStyle w:val="ListBullet"/>
        <w:spacing w:after="40"/>
      </w:pPr>
      <w:r>
        <w:t>Neutral visual language; avoid fake precision.</w:t>
      </w:r>
    </w:p>
    <w:p>
      <w:pPr>
        <w:pStyle w:val="ListBullet"/>
        <w:spacing w:after="40"/>
      </w:pPr>
      <w:r>
        <w:t>AI is the interpreter, not the source of truth.</w:t>
      </w:r>
    </w:p>
    <w:p>
      <w:pPr>
        <w:pStyle w:val="Heading1"/>
      </w:pPr>
      <w:r>
        <w:t>2. Visual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827"/>
          </w:tcPr>
          <w:p>
            <w:r/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5184"/>
            <w:shd w:fill="111827"/>
          </w:tcPr>
          <w:p>
            <w:r/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Background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#F7F8FA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Cards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White, 16–20px radius, subtle border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Text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#111827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Muted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#6B7280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Positive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#16A34A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Attention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#F59E0B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Negative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#DC2626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Accent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#2563EB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Typography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Inter/Aptos-style sans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Charts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Minimal gridlines, clear labels, tooltips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Spacing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8px base grid</w:t>
            </w:r>
          </w:p>
        </w:tc>
      </w:tr>
    </w:tbl>
    <w:p/>
    <w:p>
      <w:pPr>
        <w:pStyle w:val="Heading1"/>
      </w:pPr>
      <w:r>
        <w:t>3. Home Dashboard</w:t>
      </w:r>
    </w:p>
    <w:p>
      <w:r>
        <w:drawing>
          <wp:inline xmlns:a="http://schemas.openxmlformats.org/drawingml/2006/main" xmlns:pic="http://schemas.openxmlformats.org/drawingml/2006/picture">
            <wp:extent cx="6217920" cy="3886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nderSignal_Home_Mo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Daily return surface: strongest opportunities, demand momentum and signal mix.</w:t>
      </w:r>
    </w:p>
    <w:p>
      <w:pPr>
        <w:pStyle w:val="Heading1"/>
      </w:pPr>
      <w:r>
        <w:t>4. Opportunity Detail</w:t>
      </w:r>
    </w:p>
    <w:p>
      <w:r>
        <w:drawing>
          <wp:inline xmlns:a="http://schemas.openxmlformats.org/drawingml/2006/main" xmlns:pic="http://schemas.openxmlformats.org/drawingml/2006/picture">
            <wp:extent cx="6217920" cy="3886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nderSignal_Opportunity_Detail_Mo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Trust-building screen: score, demand, signal quality, competition, intent mix, source diversity and MVP blueprint.</w:t>
      </w:r>
    </w:p>
    <w:p>
      <w:pPr>
        <w:pStyle w:val="Heading1"/>
      </w:pPr>
      <w:r>
        <w:t>5. Signal Explorer</w:t>
      </w:r>
    </w:p>
    <w:p>
      <w:r>
        <w:drawing>
          <wp:inline xmlns:a="http://schemas.openxmlformats.org/drawingml/2006/main" xmlns:pic="http://schemas.openxmlformats.org/drawingml/2006/picture">
            <wp:extent cx="6217920" cy="3886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nderSignal_Signal_Explorer_Mo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Visual exploration of momentum and emerging opportunities.</w:t>
      </w:r>
    </w:p>
    <w:p>
      <w:pPr>
        <w:pStyle w:val="Heading1"/>
      </w:pPr>
      <w:r>
        <w:t>6. Recommended Visualizations</w:t>
      </w:r>
    </w:p>
    <w:p>
      <w:pPr>
        <w:pStyle w:val="ListBullet"/>
        <w:spacing w:after="40"/>
      </w:pPr>
      <w:r>
        <w:t>30/90/180-day demand line chart.</w:t>
      </w:r>
    </w:p>
    <w:p>
      <w:pPr>
        <w:pStyle w:val="ListBullet"/>
        <w:spacing w:after="40"/>
      </w:pPr>
      <w:r>
        <w:t>Source diversity stacked bar.</w:t>
      </w:r>
    </w:p>
    <w:p>
      <w:pPr>
        <w:pStyle w:val="ListBullet"/>
        <w:spacing w:after="40"/>
      </w:pPr>
      <w:r>
        <w:t>Intent mix chart.</w:t>
      </w:r>
    </w:p>
    <w:p>
      <w:pPr>
        <w:pStyle w:val="ListBullet"/>
        <w:spacing w:after="40"/>
      </w:pPr>
      <w:r>
        <w:t>Demand-vs-competition matrix.</w:t>
      </w:r>
    </w:p>
    <w:p>
      <w:pPr>
        <w:pStyle w:val="ListBullet"/>
        <w:spacing w:after="40"/>
      </w:pPr>
      <w:r>
        <w:t>Opportunity scatter plot.</w:t>
      </w:r>
    </w:p>
    <w:p>
      <w:pPr>
        <w:pStyle w:val="ListBullet"/>
        <w:spacing w:after="40"/>
      </w:pPr>
      <w:r>
        <w:t>Category heatmap.</w:t>
      </w:r>
    </w:p>
    <w:p>
      <w:pPr>
        <w:pStyle w:val="ListBullet"/>
        <w:spacing w:after="40"/>
      </w:pPr>
      <w:r>
        <w:t>Emerging → growing → crowded → declining lifecycle.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