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6"/>
        </w:rPr>
        <w:t>Product Requirements Document • v1.0 • August 2026</w:t>
      </w:r>
    </w:p>
    <w:p>
      <w:pPr>
        <w:pStyle w:val="Title"/>
      </w:pPr>
      <w:r>
        <w:t>Founder Signal — Product Requirements Document</w:t>
      </w:r>
    </w:p>
    <w:p>
      <w:r>
        <w:t>Product specification for the lightweight daily opportunity discovery platform.</w:t>
      </w:r>
    </w:p>
    <w:p>
      <w:pPr>
        <w:pStyle w:val="Heading1"/>
      </w:pPr>
      <w:r>
        <w:t>1. Product Model</w:t>
      </w:r>
    </w:p>
    <w:p>
      <w:r>
        <w:t>A scheduled daily pipeline discovers signals, aggregates them into problems, ranks opportunities and publishes the strongest ones. Users browse; they do not trigger research.</w:t>
      </w:r>
    </w:p>
    <w:p>
      <w:pPr>
        <w:pStyle w:val="Heading1"/>
      </w:pPr>
      <w:r>
        <w:t>2. Information Architecture</w:t>
      </w:r>
    </w:p>
    <w:p>
      <w:pPr>
        <w:pStyle w:val="ListBullet"/>
        <w:spacing w:after="40"/>
      </w:pPr>
      <w:r>
        <w:t>Home — today's strongest opportunities.</w:t>
      </w:r>
    </w:p>
    <w:p>
      <w:pPr>
        <w:pStyle w:val="ListBullet"/>
        <w:spacing w:after="40"/>
      </w:pPr>
      <w:r>
        <w:t>Explore — filters by category, score, momentum and competition.</w:t>
      </w:r>
    </w:p>
    <w:p>
      <w:pPr>
        <w:pStyle w:val="ListBullet"/>
        <w:spacing w:after="40"/>
      </w:pPr>
      <w:r>
        <w:t>Opportunity Detail — visual evidence and build recommendation.</w:t>
      </w:r>
    </w:p>
    <w:p>
      <w:pPr>
        <w:pStyle w:val="ListBullet"/>
        <w:spacing w:after="40"/>
      </w:pPr>
      <w:r>
        <w:t>Trends — momentum and category movement.</w:t>
      </w:r>
    </w:p>
    <w:p>
      <w:pPr>
        <w:pStyle w:val="ListBullet"/>
        <w:spacing w:after="40"/>
      </w:pPr>
      <w:r>
        <w:t>Categories — category-specific feeds.</w:t>
      </w:r>
    </w:p>
    <w:p>
      <w:pPr>
        <w:pStyle w:val="ListBullet"/>
        <w:spacing w:after="40"/>
      </w:pPr>
      <w:r>
        <w:t>Methodology — scoring and data explanation.</w:t>
      </w:r>
    </w:p>
    <w:p>
      <w:pPr>
        <w:pStyle w:val="Heading1"/>
      </w:pPr>
      <w:r>
        <w:t>3. Opportunity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11827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Title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Opportunity name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 + rules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Problem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Underlying customer problem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 enrichment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0–100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Algorithm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Demand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Qualified signal count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Aggregates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Unique people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Estimated unique authors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Metadata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Momentum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30/90/180-day growth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Statistics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Signal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Diversity + intent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Algorithm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Competition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Known solution count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Discovery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Smallest practical build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Monetization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Model/price range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 + competitor 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Risk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Primary risk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AI</w:t>
            </w:r>
          </w:p>
        </w:tc>
      </w:tr>
    </w:tbl>
    <w:p/>
    <w:p>
      <w:pPr>
        <w:pStyle w:val="Heading1"/>
      </w:pPr>
      <w:r>
        <w:t>4. Opportunity Scoring</w:t>
      </w:r>
    </w:p>
    <w:p>
      <w:r>
        <w:t>Demand 30% + Momentum 25% + Problem Severity 20% + Commercial Intent 15% + Competition Gap 10%. Scores are calculated by code; the LLM explains rather than determines the score.</w:t>
      </w:r>
    </w:p>
    <w:p>
      <w:pPr>
        <w:pStyle w:val="Heading1"/>
      </w:pPr>
      <w:r>
        <w:t>5. Daily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92"/>
            <w:shd w:fill="111827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111827"/>
          </w:tcPr>
          <w:p>
            <w:r/>
            <w:r>
              <w:rPr>
                <w:b/>
                <w:color w:val="FFFFFF"/>
                <w:sz w:val="18"/>
              </w:rPr>
              <w:t>AI?</w:t>
            </w:r>
          </w:p>
        </w:tc>
        <w:tc>
          <w:tcPr>
            <w:tcW w:type="dxa" w:w="2592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Ingest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Collect new/changed items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Transient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Filter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Rules + metadata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Transient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Dedup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Hash + fuzzy matching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Transient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Classify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Intent/problem heuristics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Optional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Transient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Aggregate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Counts + trends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Permanent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Pre-score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Rank candidates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Permanent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Enrich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Top opportunities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Permanent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Publish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Update website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color w:val="1F2937"/>
                <w:sz w:val="17"/>
              </w:rPr>
              <w:t>Permanent</w:t>
            </w:r>
          </w:p>
        </w:tc>
      </w:tr>
    </w:tbl>
    <w:p/>
    <w:p>
      <w:pPr>
        <w:pStyle w:val="Heading1"/>
      </w:pPr>
      <w:r>
        <w:t>6. UI Requirements</w:t>
      </w:r>
    </w:p>
    <w:p>
      <w:pPr>
        <w:pStyle w:val="ListBullet"/>
        <w:spacing w:after="40"/>
      </w:pPr>
      <w:r>
        <w:t>Visual-first opportunity cards.</w:t>
      </w:r>
    </w:p>
    <w:p>
      <w:pPr>
        <w:pStyle w:val="ListBullet"/>
        <w:spacing w:after="40"/>
      </w:pPr>
      <w:r>
        <w:t>Score, demand, momentum and competition visible immediately.</w:t>
      </w:r>
    </w:p>
    <w:p>
      <w:pPr>
        <w:pStyle w:val="ListBullet"/>
        <w:spacing w:after="40"/>
      </w:pPr>
      <w:r>
        <w:t>Detail page contains 3–4+ useful visualizations.</w:t>
      </w:r>
    </w:p>
    <w:p>
      <w:pPr>
        <w:pStyle w:val="ListBullet"/>
        <w:spacing w:after="40"/>
      </w:pPr>
      <w:r>
        <w:t>Plain-language explanations.</w:t>
      </w:r>
    </w:p>
    <w:p>
      <w:pPr>
        <w:pStyle w:val="ListBullet"/>
        <w:spacing w:after="40"/>
      </w:pPr>
      <w:r>
        <w:t>Metric tooltips explain methodology.</w:t>
      </w:r>
    </w:p>
    <w:p>
      <w:pPr>
        <w:pStyle w:val="ListBullet"/>
        <w:spacing w:after="40"/>
      </w:pPr>
      <w:r>
        <w:t>Progressive disclosure rather than long research prose.</w:t>
      </w:r>
    </w:p>
    <w:p>
      <w:pPr>
        <w:pStyle w:val="Heading1"/>
      </w:pPr>
      <w:r>
        <w:t>7. Lightweight Architecture</w:t>
      </w:r>
    </w:p>
    <w:p>
      <w:pPr>
        <w:pStyle w:val="ListBullet"/>
        <w:spacing w:after="40"/>
      </w:pPr>
      <w:r>
        <w:t>Python + FastAPI.</w:t>
      </w:r>
    </w:p>
    <w:p>
      <w:pPr>
        <w:pStyle w:val="ListBullet"/>
        <w:spacing w:after="40"/>
      </w:pPr>
      <w:r>
        <w:t>PostgreSQL.</w:t>
      </w:r>
    </w:p>
    <w:p>
      <w:pPr>
        <w:pStyle w:val="ListBullet"/>
        <w:spacing w:after="40"/>
      </w:pPr>
      <w:r>
        <w:t>Next.js + Tailwind.</w:t>
      </w:r>
    </w:p>
    <w:p>
      <w:pPr>
        <w:pStyle w:val="ListBullet"/>
        <w:spacing w:after="40"/>
      </w:pPr>
      <w:r>
        <w:t>Scheduled Python workers.</w:t>
      </w:r>
    </w:p>
    <w:p>
      <w:pPr>
        <w:pStyle w:val="ListBullet"/>
        <w:spacing w:after="40"/>
      </w:pPr>
      <w:r>
        <w:t>No vector DB required for MVP.</w:t>
      </w:r>
    </w:p>
    <w:p>
      <w:pPr>
        <w:pStyle w:val="ListBullet"/>
        <w:spacing w:after="40"/>
      </w:pPr>
      <w:r>
        <w:t>No Kafka, Kubernetes, Airflow or data warehouse.</w:t>
      </w:r>
    </w:p>
    <w:p>
      <w:pPr>
        <w:pStyle w:val="ListBullet"/>
        <w:spacing w:after="40"/>
      </w:pPr>
      <w:r>
        <w:t>Batch LLM enrichment only for top clusters.</w:t>
      </w:r>
    </w:p>
    <w:p>
      <w:pPr>
        <w:pStyle w:val="ListBullet"/>
        <w:spacing w:after="40"/>
      </w:pPr>
      <w:r>
        <w:t>Raw source payloads use TTL and are deleted after aggregation.</w:t>
      </w:r>
    </w:p>
    <w:p>
      <w:pPr>
        <w:pStyle w:val="Heading1"/>
      </w:pPr>
      <w:r>
        <w:t>8. Acceptance Criteria</w:t>
      </w:r>
    </w:p>
    <w:p>
      <w:pPr>
        <w:pStyle w:val="ListBullet"/>
        <w:spacing w:after="40"/>
      </w:pPr>
      <w:r>
        <w:t>Daily publishing without user intervention.</w:t>
      </w:r>
    </w:p>
    <w:p>
      <w:pPr>
        <w:pStyle w:val="ListBullet"/>
        <w:spacing w:after="40"/>
      </w:pPr>
      <w:r>
        <w:t>Opportunity understood within 30 seconds.</w:t>
      </w:r>
    </w:p>
    <w:p>
      <w:pPr>
        <w:pStyle w:val="ListBullet"/>
        <w:spacing w:after="40"/>
      </w:pPr>
      <w:r>
        <w:t>Detail page creates trust without raw posts.</w:t>
      </w:r>
    </w:p>
    <w:p>
      <w:pPr>
        <w:pStyle w:val="ListBullet"/>
        <w:spacing w:after="40"/>
      </w:pPr>
      <w:r>
        <w:t>Duplicate ingestion cannot materially inflate signal counts.</w:t>
      </w:r>
    </w:p>
    <w:p>
      <w:pPr>
        <w:pStyle w:val="ListBullet"/>
        <w:spacing w:after="40"/>
      </w:pPr>
      <w:r>
        <w:t>LLM failure does not stop signal updates.</w:t>
      </w:r>
    </w:p>
    <w:p>
      <w:pPr>
        <w:pStyle w:val="ListBullet"/>
        <w:spacing w:after="40"/>
      </w:pPr>
      <w:r>
        <w:t>Source failure is isolated.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