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P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77777777" w:rsidR="00DC2E2C" w:rsidRDefault="00DC2E2C" w:rsidP="00DC2E2C">
      <w:pPr>
        <w:jc w:val="center"/>
      </w:pPr>
      <w:r>
        <w:t xml:space="preserve">### Día: </w:t>
      </w:r>
      <w:proofErr w:type="gramStart"/>
      <w:r>
        <w:t xml:space="preserve">{{ </w:t>
      </w:r>
      <w:proofErr w:type="spellStart"/>
      <w:r>
        <w:t>dia</w:t>
      </w:r>
      <w:proofErr w:type="spellEnd"/>
      <w:proofErr w:type="gramEnd"/>
      <w: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Default="00DC2E2C" w:rsidP="00DC2E2C">
      <w:pPr>
        <w:jc w:val="center"/>
      </w:pPr>
      <w:r>
        <w:t xml:space="preserve">- </w:t>
      </w:r>
      <w:proofErr w:type="gramStart"/>
      <w:r>
        <w:t xml:space="preserve">{{ </w:t>
      </w:r>
      <w:proofErr w:type="spellStart"/>
      <w:r>
        <w:t>nombre</w:t>
      </w:r>
      <w:proofErr w:type="gramEnd"/>
      <w:r>
        <w:t>_grafico</w:t>
      </w:r>
      <w:proofErr w:type="spellEnd"/>
      <w: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000743A4" w14:textId="7A38F25E" w:rsidR="00AD0A09" w:rsidRPr="00DC2E2C" w:rsidRDefault="00DC2E2C" w:rsidP="00DC2E2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en Relación al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0E67535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9EA4AC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051425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E6F5A6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9B27640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lastRenderedPageBreak/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0667083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7B7303D5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1F91A2BB" w14:textId="504B7FCF" w:rsidR="00051425" w:rsidRDefault="00051425" w:rsidP="00051425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580C8420" w14:textId="77777777" w:rsidR="00051425" w:rsidRDefault="00051425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52A41" w14:textId="77777777" w:rsidR="00BA0918" w:rsidRDefault="00BA0918" w:rsidP="00343098">
      <w:pPr>
        <w:spacing w:after="0" w:line="240" w:lineRule="auto"/>
      </w:pPr>
      <w:r>
        <w:separator/>
      </w:r>
    </w:p>
  </w:endnote>
  <w:endnote w:type="continuationSeparator" w:id="0">
    <w:p w14:paraId="2485681C" w14:textId="77777777" w:rsidR="00BA0918" w:rsidRDefault="00BA0918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FAB8" w14:textId="77777777" w:rsidR="00BA0918" w:rsidRDefault="00BA0918" w:rsidP="00343098">
      <w:pPr>
        <w:spacing w:after="0" w:line="240" w:lineRule="auto"/>
      </w:pPr>
      <w:r>
        <w:separator/>
      </w:r>
    </w:p>
  </w:footnote>
  <w:footnote w:type="continuationSeparator" w:id="0">
    <w:p w14:paraId="1084BBAB" w14:textId="77777777" w:rsidR="00BA0918" w:rsidRDefault="00BA0918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3EEB"/>
    <w:rsid w:val="000C172C"/>
    <w:rsid w:val="00155E48"/>
    <w:rsid w:val="00166E8A"/>
    <w:rsid w:val="001B02C8"/>
    <w:rsid w:val="002026E6"/>
    <w:rsid w:val="00220D68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A40F7"/>
    <w:rsid w:val="005A6265"/>
    <w:rsid w:val="005A66C8"/>
    <w:rsid w:val="005D79A7"/>
    <w:rsid w:val="005F5642"/>
    <w:rsid w:val="00682377"/>
    <w:rsid w:val="006B2EC5"/>
    <w:rsid w:val="006B5782"/>
    <w:rsid w:val="006E1C7C"/>
    <w:rsid w:val="006E5FFB"/>
    <w:rsid w:val="0077765D"/>
    <w:rsid w:val="007A4ABF"/>
    <w:rsid w:val="007A4EA6"/>
    <w:rsid w:val="007C2924"/>
    <w:rsid w:val="00814BC7"/>
    <w:rsid w:val="0082473E"/>
    <w:rsid w:val="00842D3B"/>
    <w:rsid w:val="0085280E"/>
    <w:rsid w:val="008A60CC"/>
    <w:rsid w:val="008E402C"/>
    <w:rsid w:val="0091478C"/>
    <w:rsid w:val="009179D7"/>
    <w:rsid w:val="0094255A"/>
    <w:rsid w:val="009857B4"/>
    <w:rsid w:val="009C3D31"/>
    <w:rsid w:val="009D60BF"/>
    <w:rsid w:val="009E7F30"/>
    <w:rsid w:val="00A164EE"/>
    <w:rsid w:val="00A6065C"/>
    <w:rsid w:val="00A7019C"/>
    <w:rsid w:val="00A70D9E"/>
    <w:rsid w:val="00A75E80"/>
    <w:rsid w:val="00A80CBA"/>
    <w:rsid w:val="00A853E1"/>
    <w:rsid w:val="00AD0A09"/>
    <w:rsid w:val="00B05F79"/>
    <w:rsid w:val="00B20058"/>
    <w:rsid w:val="00B25693"/>
    <w:rsid w:val="00B273A2"/>
    <w:rsid w:val="00B614E5"/>
    <w:rsid w:val="00BA0918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874E4"/>
    <w:rsid w:val="00E8799C"/>
    <w:rsid w:val="00E921B9"/>
    <w:rsid w:val="00EB2DEB"/>
    <w:rsid w:val="00EE63CF"/>
    <w:rsid w:val="00F140F3"/>
    <w:rsid w:val="00F26799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2747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2024-12-14T17:04:00Z</dcterms:modified>
</cp:coreProperties>
</file>