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.LN_CORR_MAX_PR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</w:t>
      </w:r>
      <w:r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BAE0366" w14:textId="77777777" w:rsidR="00AE3A56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11A7D7" w14:textId="77777777" w:rsidR="00AE3A56" w:rsidRDefault="00AE3A56" w:rsidP="00AE3A56"/>
    <w:p w14:paraId="1AE27EDA" w14:textId="77777777" w:rsidR="00AE3A56" w:rsidRDefault="00AE3A56" w:rsidP="00AE3A56"/>
    <w:p w14:paraId="0D53A412" w14:textId="77777777" w:rsidR="00AE3A56" w:rsidRDefault="00AE3A56" w:rsidP="00AE3A56"/>
    <w:p w14:paraId="5E0428F3" w14:textId="77777777" w:rsidR="00E9262B" w:rsidRDefault="00E9262B" w:rsidP="00AE3A56"/>
    <w:p w14:paraId="0A4A0500" w14:textId="77777777" w:rsidR="00E9262B" w:rsidRDefault="00E9262B" w:rsidP="00AE3A56"/>
    <w:p w14:paraId="46C9863C" w14:textId="77777777" w:rsidR="00E9262B" w:rsidRDefault="00E9262B" w:rsidP="00AE3A56"/>
    <w:p w14:paraId="0385EE27" w14:textId="77777777" w:rsidR="00E9262B" w:rsidRDefault="00E9262B" w:rsidP="00AE3A56"/>
    <w:p w14:paraId="6919E056" w14:textId="77777777" w:rsidR="00E9262B" w:rsidRDefault="00E9262B" w:rsidP="00AE3A56"/>
    <w:p w14:paraId="05CF38CE" w14:textId="77777777" w:rsidR="00E9262B" w:rsidRDefault="00E9262B" w:rsidP="00AE3A56"/>
    <w:p w14:paraId="443F60C5" w14:textId="77777777" w:rsidR="00E9262B" w:rsidRDefault="00E9262B" w:rsidP="00AE3A56"/>
    <w:p w14:paraId="450935C3" w14:textId="77777777" w:rsidR="00E9262B" w:rsidRDefault="00E9262B" w:rsidP="00AE3A56"/>
    <w:p w14:paraId="796AD685" w14:textId="77777777" w:rsidR="00E9262B" w:rsidRDefault="00E9262B" w:rsidP="00AE3A56"/>
    <w:p w14:paraId="005C7908" w14:textId="77777777" w:rsidR="00E9262B" w:rsidRDefault="00E9262B" w:rsidP="00AE3A56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0E5C44A6" w:rsidR="00AE3A56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E9262B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813E9A7" w14:textId="77777777" w:rsidR="001718A7" w:rsidRDefault="001718A7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r w:rsidRPr="00B22267">
        <w:t>registro</w:t>
      </w:r>
      <w:proofErr w:type="gramEnd"/>
      <w:r>
        <w:t xml:space="preserve">.imagen_Linea_Tiempo_Tension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>{{ registro</w:t>
      </w:r>
      <w:proofErr w:type="gramEnd"/>
      <w:r>
        <w:t xml:space="preserve">.imagen_Linea_Tiempo_Corriente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>{{ registro</w:t>
      </w:r>
      <w:proofErr w:type="gramEnd"/>
      <w:r>
        <w:t xml:space="preserve">.imagen_Linea_Tiempo_DesbTension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>{{ registro</w:t>
      </w:r>
      <w:proofErr w:type="gramEnd"/>
      <w:r>
        <w:t xml:space="preserve">.imagen_Linea_Tiempo_DesbCorriente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>{{ registro</w:t>
      </w:r>
      <w:proofErr w:type="gramEnd"/>
      <w:r>
        <w:t>.imagen_Linea_Tiempo_PQS_</w:t>
      </w:r>
      <w:r w:rsidR="00B20058">
        <w:t>Act</w:t>
      </w:r>
      <w:r w:rsidR="00DC18DF">
        <w:t>Apa</w:t>
      </w:r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>{{ registro</w:t>
      </w:r>
      <w:proofErr w:type="gramEnd"/>
      <w:r>
        <w:t>.imagen_Linea_Tiempo_PQS_Cap</w:t>
      </w:r>
      <w:r w:rsidR="00DC18DF">
        <w:t>Ind</w:t>
      </w:r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>{{ 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for dia, graficos_dia in </w:t>
      </w:r>
      <w:proofErr w:type="gramStart"/>
      <w:r>
        <w:t>registro.graficos</w:t>
      </w:r>
      <w:proofErr w:type="gramEnd"/>
      <w:r w:rsidR="00E874E4">
        <w:t>_Barras_Energias</w:t>
      </w:r>
      <w:r>
        <w:t>.items()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>{{ dia</w:t>
      </w:r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>{% for nombre_grafico, imagen in graficos_</w:t>
      </w:r>
      <w:proofErr w:type="gramStart"/>
      <w:r>
        <w:t>dia.items</w:t>
      </w:r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>{{ nombre</w:t>
      </w:r>
      <w:proofErr w:type="gramEnd"/>
      <w:r w:rsidRPr="00F96A3C">
        <w:rPr>
          <w:i/>
          <w:iCs/>
        </w:rPr>
        <w:t>_grafico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>{% endfor %}</w:t>
      </w:r>
    </w:p>
    <w:p w14:paraId="7516ACFF" w14:textId="2A4BDB2B" w:rsidR="00DC2E2C" w:rsidRDefault="00DC2E2C" w:rsidP="00DC2E2C">
      <w:pPr>
        <w:jc w:val="center"/>
      </w:pPr>
      <w:r>
        <w:t>{% endfor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>{{ registro</w:t>
      </w:r>
      <w:proofErr w:type="gramEnd"/>
      <w:r>
        <w:t>.</w:t>
      </w:r>
      <w:r w:rsidRPr="006B2EC5">
        <w:t>imagen_Linea_Tiempo_</w:t>
      </w:r>
      <w:r>
        <w:t xml:space="preserve">DistTension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>{{ registro</w:t>
      </w:r>
      <w:proofErr w:type="gramEnd"/>
      <w:r>
        <w:t>.</w:t>
      </w:r>
      <w:r w:rsidRPr="006B2EC5">
        <w:t>imagen_Linea_Tiempo_</w:t>
      </w:r>
      <w:r>
        <w:t>Dist</w:t>
      </w:r>
      <w:r>
        <w:t>Corriente</w:t>
      </w:r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</w:t>
      </w:r>
      <w:r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2A7F89E4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E9262B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sz w:val="20"/>
                <w:szCs w:val="20"/>
              </w:rPr>
              <w:t>_Cap_Trafo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sz w:val="20"/>
                <w:szCs w:val="20"/>
              </w:rPr>
              <w:t>_Corr_Nominal_Value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337F1245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E9262B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C5E9AE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Vn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296B23F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05B6F0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sz w:val="20"/>
                <w:szCs w:val="20"/>
              </w:rPr>
              <w:t>_Cap_Trafo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EE5B2C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21F745D" w:rsidR="00C62177" w:rsidRP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sectPr w:rsidR="00C62177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1DF51" w14:textId="77777777" w:rsidR="00AA3602" w:rsidRDefault="00AA3602" w:rsidP="00343098">
      <w:pPr>
        <w:spacing w:after="0" w:line="240" w:lineRule="auto"/>
      </w:pPr>
      <w:r>
        <w:separator/>
      </w:r>
    </w:p>
  </w:endnote>
  <w:endnote w:type="continuationSeparator" w:id="0">
    <w:p w14:paraId="55CFC412" w14:textId="77777777" w:rsidR="00AA3602" w:rsidRDefault="00AA3602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11486" w14:textId="77777777" w:rsidR="00AA3602" w:rsidRDefault="00AA3602" w:rsidP="00343098">
      <w:pPr>
        <w:spacing w:after="0" w:line="240" w:lineRule="auto"/>
      </w:pPr>
      <w:r>
        <w:separator/>
      </w:r>
    </w:p>
  </w:footnote>
  <w:footnote w:type="continuationSeparator" w:id="0">
    <w:p w14:paraId="2C501360" w14:textId="77777777" w:rsidR="00AA3602" w:rsidRDefault="00AA3602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removePersonalInformation/>
  <w:removeDateAndTime/>
  <w:doNotDisplayPageBoundarie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0B47"/>
    <w:rsid w:val="000B3EEB"/>
    <w:rsid w:val="000C172C"/>
    <w:rsid w:val="000E32E3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F7905"/>
    <w:rsid w:val="00326DD7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65B73"/>
    <w:rsid w:val="00472470"/>
    <w:rsid w:val="004B6B2F"/>
    <w:rsid w:val="004D5D71"/>
    <w:rsid w:val="004E47A1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82377"/>
    <w:rsid w:val="006B2EC5"/>
    <w:rsid w:val="006B5782"/>
    <w:rsid w:val="006E1C7C"/>
    <w:rsid w:val="006E5FFB"/>
    <w:rsid w:val="007433DE"/>
    <w:rsid w:val="007551C5"/>
    <w:rsid w:val="0077765D"/>
    <w:rsid w:val="007A4ABF"/>
    <w:rsid w:val="007A4EA6"/>
    <w:rsid w:val="007C2924"/>
    <w:rsid w:val="00814BC7"/>
    <w:rsid w:val="0081567F"/>
    <w:rsid w:val="0082473E"/>
    <w:rsid w:val="00842D3B"/>
    <w:rsid w:val="0085280E"/>
    <w:rsid w:val="008A60CC"/>
    <w:rsid w:val="008E402C"/>
    <w:rsid w:val="0091478C"/>
    <w:rsid w:val="009179D7"/>
    <w:rsid w:val="0094255A"/>
    <w:rsid w:val="0094576C"/>
    <w:rsid w:val="00962F89"/>
    <w:rsid w:val="009857B4"/>
    <w:rsid w:val="009C3D31"/>
    <w:rsid w:val="009D2CDE"/>
    <w:rsid w:val="009D60BF"/>
    <w:rsid w:val="009E7F30"/>
    <w:rsid w:val="009F4093"/>
    <w:rsid w:val="00A14A54"/>
    <w:rsid w:val="00A164EE"/>
    <w:rsid w:val="00A4769B"/>
    <w:rsid w:val="00A6065C"/>
    <w:rsid w:val="00A630D3"/>
    <w:rsid w:val="00A7019C"/>
    <w:rsid w:val="00A70D9E"/>
    <w:rsid w:val="00A75E80"/>
    <w:rsid w:val="00A80CBA"/>
    <w:rsid w:val="00A853E1"/>
    <w:rsid w:val="00AA3602"/>
    <w:rsid w:val="00AD0A09"/>
    <w:rsid w:val="00AE3A56"/>
    <w:rsid w:val="00B05F79"/>
    <w:rsid w:val="00B20058"/>
    <w:rsid w:val="00B25693"/>
    <w:rsid w:val="00B273A2"/>
    <w:rsid w:val="00B359AB"/>
    <w:rsid w:val="00B41D35"/>
    <w:rsid w:val="00B4450E"/>
    <w:rsid w:val="00B614E5"/>
    <w:rsid w:val="00BA0918"/>
    <w:rsid w:val="00BC7903"/>
    <w:rsid w:val="00C62177"/>
    <w:rsid w:val="00CA57E5"/>
    <w:rsid w:val="00CE6C3D"/>
    <w:rsid w:val="00D364FE"/>
    <w:rsid w:val="00D530AD"/>
    <w:rsid w:val="00D859FB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4063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2024-12-25T19:44:00Z</dcterms:modified>
</cp:coreProperties>
</file>