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0C1505">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0C1505">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0C1505">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lastRenderedPageBreak/>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lastRenderedPageBreak/>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6973927"/>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6973988"/>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6973989"/>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6973990"/>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6973991"/>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6973992"/>
      <w:r>
        <w:t>REGISTROS DE DESBALANCE DE TENSIÓN Y CORRIENTE</w:t>
      </w:r>
      <w:bookmarkEnd w:id="22"/>
    </w:p>
    <w:p w14:paraId="70F673EE" w14:textId="22CFC9BC"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xml:space="preserve">{{ </w:t>
      </w:r>
      <w:proofErr w:type="spellStart"/>
      <w:r w:rsidR="00C27285" w:rsidRPr="00C27285">
        <w:rPr>
          <w:rFonts w:ascii="Arial" w:hAnsi="Arial" w:cs="Arial"/>
          <w:color w:val="000000" w:themeColor="text1"/>
          <w:sz w:val="24"/>
          <w:szCs w:val="24"/>
        </w:rPr>
        <w:t>registro.</w:t>
      </w:r>
      <w:r w:rsidR="00C27285">
        <w:rPr>
          <w:rFonts w:ascii="Arial" w:hAnsi="Arial" w:cs="Arial"/>
          <w:color w:val="000000" w:themeColor="text1"/>
          <w:sz w:val="24"/>
          <w:szCs w:val="24"/>
        </w:rPr>
        <w:t>OBSERVACION_DESBTENSION</w:t>
      </w:r>
      <w:proofErr w:type="spellEnd"/>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OBSERVACION_DESB</w:t>
      </w:r>
      <w:r w:rsidR="00977945">
        <w:rPr>
          <w:rFonts w:ascii="Arial" w:hAnsi="Arial" w:cs="Arial"/>
          <w:color w:val="000000" w:themeColor="text1"/>
          <w:sz w:val="24"/>
          <w:szCs w:val="24"/>
        </w:rPr>
        <w:t xml:space="preserve">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6973993"/>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6973994"/>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6973995"/>
      <w:r>
        <w:t>REGISTRO DE ARMÓNICOS</w:t>
      </w:r>
      <w:bookmarkEnd w:id="25"/>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6" w:name="_Toc186973996"/>
      <w:r>
        <w:t>RECOMENDACIONES</w:t>
      </w:r>
      <w:bookmarkEnd w:id="26"/>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7" w:name="_Toc186973997"/>
      <w:r>
        <w:t>DESCRIPCIÓN DEL EQUIPO DE MEDICIÓN</w:t>
      </w:r>
      <w:bookmarkEnd w:id="27"/>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8"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8"/>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9"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9"/>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0" w:name="_Toc186973998"/>
      <w:r>
        <w:t>REGISTROS DE MEDICIÓN</w:t>
      </w:r>
      <w:bookmarkEnd w:id="30"/>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1" w:name="_Toc186973999"/>
      <w:r>
        <w:t>GRÁFICAS DE LOS PARÁMETROS</w:t>
      </w:r>
      <w:bookmarkEnd w:id="31"/>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2"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2"/>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3"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3"/>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4"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4"/>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5" w:name="_Toc186974000"/>
      <w:r>
        <w:t>REGISTROS DE TENSIÓN</w:t>
      </w:r>
      <w:bookmarkEnd w:id="35"/>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6"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6"/>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7" w:name="_Toc186973929"/>
      <w:r w:rsidRPr="0004775F">
        <w:rPr>
          <w:color w:val="000000" w:themeColor="text1"/>
        </w:rPr>
        <w:lastRenderedPageBreak/>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7"/>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8" w:name="_Toc186974001"/>
      <w:r>
        <w:t>REGISTROS DE CORRIENTE</w:t>
      </w:r>
      <w:bookmarkEnd w:id="38"/>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9"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9"/>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0"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0"/>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1" w:name="_Toc186974002"/>
      <w:r>
        <w:t>DESBALANCE DE TENSIÓN</w:t>
      </w:r>
      <w:bookmarkEnd w:id="41"/>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2"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2"/>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3" w:name="_Toc186973931"/>
      <w:r w:rsidRPr="00EC112A">
        <w:rPr>
          <w:color w:val="000000" w:themeColor="text1"/>
        </w:rPr>
        <w:lastRenderedPageBreak/>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3"/>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4" w:name="_Toc186974003"/>
      <w:r>
        <w:t>DESBALANCE DE CORRIENTE</w:t>
      </w:r>
      <w:bookmarkEnd w:id="44"/>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5"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5"/>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6" w:name="_Toc186973932"/>
      <w:r w:rsidRPr="000C08FC">
        <w:rPr>
          <w:color w:val="000000" w:themeColor="text1"/>
        </w:rPr>
        <w:lastRenderedPageBreak/>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6"/>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7" w:name="_Toc186974004"/>
      <w:r>
        <w:t>REGISTROS DE POTENCIA</w:t>
      </w:r>
      <w:bookmarkEnd w:id="47"/>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8"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8"/>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9"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9"/>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0"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1"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2"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3"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4"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5"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6"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7"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7"/>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8"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8"/>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9"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9"/>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0" w:name="_Toc186974005"/>
      <w:r w:rsidRPr="00D90347">
        <w:t>REGISTROS DE ENERGÍA</w:t>
      </w:r>
      <w:bookmarkEnd w:id="60"/>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1"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1"/>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lastRenderedPageBreak/>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2"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2"/>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3" w:name="_Toc186974006"/>
      <w:r>
        <w:t>FACTOR DE POTENCIA</w:t>
      </w:r>
      <w:bookmarkEnd w:id="63"/>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lastRenderedPageBreak/>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4"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4"/>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5"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5"/>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6" w:name="_Toc186974007"/>
      <w:r>
        <w:t>DISTORSIÓN ARMÓNICA DE TENSIÓN</w:t>
      </w:r>
      <w:bookmarkEnd w:id="66"/>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lastRenderedPageBreak/>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7"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7"/>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8"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8"/>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lastRenderedPageBreak/>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9"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9"/>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0" w:name="_Toc186974008"/>
      <w:r>
        <w:t>DISTORSIÓN ARMÓNICA DE CORRIENTE</w:t>
      </w:r>
      <w:bookmarkEnd w:id="70"/>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1"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1"/>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2"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2"/>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3"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3"/>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de los cuales se </w:t>
      </w:r>
      <w:r w:rsidRPr="00233828">
        <w:rPr>
          <w:rFonts w:ascii="Arial" w:hAnsi="Arial" w:cs="Arial"/>
          <w:color w:val="000000" w:themeColor="text1"/>
          <w:sz w:val="24"/>
          <w:szCs w:val="24"/>
        </w:rPr>
        <w:lastRenderedPageBreak/>
        <w:t>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4"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4"/>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5"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5"/>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6" w:name="_Toc186974009"/>
      <w:r>
        <w:t>REGISTROS DEL FACTOR K</w:t>
      </w:r>
      <w:bookmarkEnd w:id="76"/>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7"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7"/>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8"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8"/>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9"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9"/>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0"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0"/>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1" w:name="_Toc186974010"/>
      <w:r w:rsidRPr="00C06385">
        <w:t>D</w:t>
      </w:r>
      <w:r>
        <w:t>EFINICIONES</w:t>
      </w:r>
      <w:bookmarkEnd w:id="81"/>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l) Percentil 95 %. El percentil 95 % es un valor estadístico extraído de una muestra de datos para el cual la probabilidad de que se presenten valores en la muestra inferiores o iguales a este estadístico es del 95 %, o visto de otra forma, se tiene </w:t>
      </w:r>
      <w:r w:rsidRPr="00C06385">
        <w:rPr>
          <w:rFonts w:ascii="Arial" w:hAnsi="Arial" w:cs="Arial"/>
          <w:color w:val="000000" w:themeColor="text1"/>
          <w:sz w:val="24"/>
          <w:szCs w:val="24"/>
        </w:rPr>
        <w:lastRenderedPageBreak/>
        <w:t>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2" w:name="_Toc186974011"/>
      <w:r>
        <w:t>REFERENCIAS BIBLIOGRÁFICAS</w:t>
      </w:r>
      <w:bookmarkEnd w:id="82"/>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3" w:name="_Toc186974012"/>
      <w:r>
        <w:t>ANEXOS CON CÁLCULOS</w:t>
      </w:r>
      <w:bookmarkEnd w:id="83"/>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4" w:name="_Hlk184059109"/>
      <w:r>
        <w:rPr>
          <w:rFonts w:ascii="Montserrat Light" w:hAnsi="Montserrat Light"/>
          <w:color w:val="000000" w:themeColor="text1"/>
          <w:sz w:val="22"/>
          <w:szCs w:val="22"/>
        </w:rPr>
        <w:t>Tabla de Cálculos - Tensión</w:t>
      </w:r>
      <w:bookmarkEnd w:id="84"/>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09B88" w14:textId="77777777" w:rsidR="0045238F" w:rsidRDefault="0045238F" w:rsidP="00343098">
      <w:pPr>
        <w:spacing w:after="0" w:line="240" w:lineRule="auto"/>
      </w:pPr>
      <w:r>
        <w:separator/>
      </w:r>
    </w:p>
  </w:endnote>
  <w:endnote w:type="continuationSeparator" w:id="0">
    <w:p w14:paraId="0056AC02" w14:textId="77777777" w:rsidR="0045238F" w:rsidRDefault="0045238F"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261CE" w14:textId="77777777" w:rsidR="0045238F" w:rsidRDefault="0045238F" w:rsidP="00343098">
      <w:pPr>
        <w:spacing w:after="0" w:line="240" w:lineRule="auto"/>
      </w:pPr>
      <w:r>
        <w:separator/>
      </w:r>
    </w:p>
  </w:footnote>
  <w:footnote w:type="continuationSeparator" w:id="0">
    <w:p w14:paraId="1B00EA21" w14:textId="77777777" w:rsidR="0045238F" w:rsidRDefault="0045238F"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209F"/>
    <w:rsid w:val="001D71D8"/>
    <w:rsid w:val="001E441B"/>
    <w:rsid w:val="002026E6"/>
    <w:rsid w:val="00203452"/>
    <w:rsid w:val="00205290"/>
    <w:rsid w:val="00213809"/>
    <w:rsid w:val="00217B03"/>
    <w:rsid w:val="00220D68"/>
    <w:rsid w:val="00221F89"/>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24280"/>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126"/>
    <w:rsid w:val="00FC1237"/>
    <w:rsid w:val="00FD105D"/>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11973</Words>
  <Characters>65855</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2025-01-11T17:25:00Z</dcterms:modified>
</cp:coreProperties>
</file>