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4A81" w14:textId="793C1996" w:rsidR="00CD6478" w:rsidRDefault="00F46121" w:rsidP="00CD6478">
      <w:pPr>
        <w:pStyle w:val="Heading1"/>
        <w:jc w:val="center"/>
        <w:rPr>
          <w:sz w:val="44"/>
          <w:szCs w:val="40"/>
        </w:rPr>
      </w:pPr>
      <w:r>
        <w:rPr>
          <w:sz w:val="44"/>
          <w:szCs w:val="40"/>
        </w:rPr>
        <w:t>CI/CD Setup in individual project advanced software</w:t>
      </w:r>
    </w:p>
    <w:p w14:paraId="64008AC9" w14:textId="77777777" w:rsidR="00F46121" w:rsidRPr="00F46121" w:rsidRDefault="00F46121" w:rsidP="00F46121"/>
    <w:p w14:paraId="7F6F7A0D" w14:textId="4955681C" w:rsidR="00CD6478" w:rsidRDefault="007F4E47" w:rsidP="00CD6478">
      <w:pPr>
        <w:rPr>
          <w:rFonts w:ascii="Aptos" w:hAnsi="Aptos"/>
        </w:rPr>
      </w:pPr>
      <w:r>
        <w:rPr>
          <w:rFonts w:ascii="Aptos" w:hAnsi="Aptos"/>
          <w:noProof/>
          <w14:ligatures w14:val="standardContextual"/>
        </w:rPr>
        <w:drawing>
          <wp:anchor distT="0" distB="0" distL="114300" distR="114300" simplePos="0" relativeHeight="251658240" behindDoc="1" locked="0" layoutInCell="1" allowOverlap="1" wp14:anchorId="0F8D5CB8" wp14:editId="3A702074">
            <wp:simplePos x="0" y="0"/>
            <wp:positionH relativeFrom="column">
              <wp:posOffset>-706709</wp:posOffset>
            </wp:positionH>
            <wp:positionV relativeFrom="paragraph">
              <wp:posOffset>870607</wp:posOffset>
            </wp:positionV>
            <wp:extent cx="7193006" cy="3900735"/>
            <wp:effectExtent l="0" t="0" r="8255" b="5080"/>
            <wp:wrapNone/>
            <wp:docPr id="27160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037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193006" cy="3900735"/>
                    </a:xfrm>
                    <a:prstGeom prst="rect">
                      <a:avLst/>
                    </a:prstGeom>
                  </pic:spPr>
                </pic:pic>
              </a:graphicData>
            </a:graphic>
            <wp14:sizeRelH relativeFrom="page">
              <wp14:pctWidth>0</wp14:pctWidth>
            </wp14:sizeRelH>
            <wp14:sizeRelV relativeFrom="page">
              <wp14:pctHeight>0</wp14:pctHeight>
            </wp14:sizeRelV>
          </wp:anchor>
        </w:drawing>
      </w:r>
      <w:r w:rsidR="00F46121">
        <w:rPr>
          <w:rFonts w:ascii="Segoe UI" w:hAnsi="Segoe UI" w:cs="Segoe UI"/>
          <w:color w:val="172B4D"/>
          <w:spacing w:val="-1"/>
          <w:shd w:val="clear" w:color="auto" w:fill="FFFFFF"/>
        </w:rPr>
        <w:t xml:space="preserve">The image below illustrates how the CI pipeline of </w:t>
      </w:r>
      <w:proofErr w:type="spellStart"/>
      <w:r w:rsidR="00F46121">
        <w:rPr>
          <w:rFonts w:ascii="Segoe UI" w:hAnsi="Segoe UI" w:cs="Segoe UI"/>
          <w:color w:val="172B4D"/>
          <w:spacing w:val="-1"/>
          <w:shd w:val="clear" w:color="auto" w:fill="FFFFFF"/>
        </w:rPr>
        <w:t>HouseHunters</w:t>
      </w:r>
      <w:proofErr w:type="spellEnd"/>
      <w:r w:rsidR="00F46121">
        <w:rPr>
          <w:rFonts w:ascii="Segoe UI" w:hAnsi="Segoe UI" w:cs="Segoe UI"/>
          <w:color w:val="172B4D"/>
          <w:spacing w:val="-1"/>
          <w:shd w:val="clear" w:color="auto" w:fill="FFFFFF"/>
        </w:rPr>
        <w:t xml:space="preserve"> is structured in Sem.6, along with explanations of each stage.</w:t>
      </w:r>
      <w:r>
        <w:rPr>
          <w:rFonts w:ascii="Segoe UI" w:hAnsi="Segoe UI" w:cs="Segoe UI"/>
          <w:color w:val="172B4D"/>
          <w:spacing w:val="-1"/>
          <w:shd w:val="clear" w:color="auto" w:fill="FFFFFF"/>
        </w:rPr>
        <w:t xml:space="preserve"> Keep in minds that the ‘build for production’ and ‘deploy’ stages are not implemented yet.</w:t>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p>
    <w:p w14:paraId="083235A6" w14:textId="77777777" w:rsidR="007F4E47" w:rsidRDefault="007F4E47" w:rsidP="007F4E47">
      <w:bookmarkStart w:id="0" w:name="_Toc161051815"/>
      <w:r>
        <w:br/>
      </w:r>
      <w:r>
        <w:br/>
      </w:r>
      <w:r>
        <w:br/>
      </w:r>
      <w:r>
        <w:br/>
      </w:r>
      <w:r>
        <w:br/>
      </w:r>
      <w:r>
        <w:br/>
      </w:r>
      <w:r>
        <w:rPr>
          <w:rStyle w:val="Heading1Char"/>
        </w:rPr>
        <w:br/>
      </w:r>
      <w:r>
        <w:rPr>
          <w:rStyle w:val="Heading1Char"/>
        </w:rPr>
        <w:br/>
      </w:r>
      <w:r w:rsidRPr="007F4E47">
        <w:rPr>
          <w:rStyle w:val="Heading1Char"/>
        </w:rPr>
        <w:t>Runner setup</w:t>
      </w:r>
      <w:r>
        <w:rPr>
          <w:rStyle w:val="Heading1Char"/>
        </w:rPr>
        <w:br/>
      </w:r>
      <w:r>
        <w:t>This semester a GitLab runner is used that runs on the developer’s machine. In order to make the pipeline more transferable the runner uses a Docker executor, which means that each pipeline job runs in an isolated docker container. This also gives developers the ability to specify what docker image they want to use for their job, which is a great abstraction from the PC that the runner is on.</w:t>
      </w:r>
    </w:p>
    <w:p w14:paraId="173E2DAF" w14:textId="77777777" w:rsidR="007F4E47" w:rsidRDefault="007F4E47" w:rsidP="007F4E47"/>
    <w:p w14:paraId="104624AE" w14:textId="2EFDFD93" w:rsidR="007F4E47" w:rsidRDefault="007F4E47" w:rsidP="007F4E47">
      <w:r>
        <w:t>Below is an image of what a CI/CD job looks in docker while it is being executed:</w:t>
      </w:r>
      <w:r>
        <w:br/>
      </w:r>
    </w:p>
    <w:p w14:paraId="272683AE" w14:textId="212152F7" w:rsidR="00697480" w:rsidRDefault="007F4E47" w:rsidP="00697480">
      <w:pPr>
        <w:rPr>
          <w:rStyle w:val="Heading2Char"/>
        </w:rPr>
      </w:pPr>
      <w:r w:rsidRPr="007F4E47">
        <w:drawing>
          <wp:inline distT="0" distB="0" distL="0" distR="0" wp14:anchorId="556095E3" wp14:editId="03F91777">
            <wp:extent cx="5731510" cy="495300"/>
            <wp:effectExtent l="0" t="0" r="2540" b="0"/>
            <wp:docPr id="169636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7703" name=""/>
                    <pic:cNvPicPr/>
                  </pic:nvPicPr>
                  <pic:blipFill>
                    <a:blip r:embed="rId5"/>
                    <a:stretch>
                      <a:fillRect/>
                    </a:stretch>
                  </pic:blipFill>
                  <pic:spPr>
                    <a:xfrm>
                      <a:off x="0" y="0"/>
                      <a:ext cx="5731510" cy="495300"/>
                    </a:xfrm>
                    <a:prstGeom prst="rect">
                      <a:avLst/>
                    </a:prstGeom>
                  </pic:spPr>
                </pic:pic>
              </a:graphicData>
            </a:graphic>
          </wp:inline>
        </w:drawing>
      </w:r>
      <w:r>
        <w:br/>
      </w:r>
      <w:r>
        <w:rPr>
          <w:rStyle w:val="Heading1Char"/>
        </w:rPr>
        <w:br/>
      </w:r>
      <w:r w:rsidRPr="007F4E47">
        <w:rPr>
          <w:rStyle w:val="Heading1Char"/>
        </w:rPr>
        <w:lastRenderedPageBreak/>
        <w:t>Pipeline stages</w:t>
      </w:r>
      <w:r>
        <w:br/>
      </w:r>
      <w:r>
        <w:br/>
      </w:r>
      <w:bookmarkEnd w:id="0"/>
      <w:r w:rsidRPr="00697480">
        <w:rPr>
          <w:rStyle w:val="Heading2Char"/>
        </w:rPr>
        <w:t>Build</w:t>
      </w:r>
      <w:bookmarkStart w:id="1" w:name="_Toc161051816"/>
    </w:p>
    <w:bookmarkEnd w:id="1"/>
    <w:p w14:paraId="017A48C8" w14:textId="50E40500" w:rsidR="00697480" w:rsidRDefault="00697480" w:rsidP="00697480">
      <w:r>
        <w:t>The build stage’s main purpose is to try to build each respective microservice’s code and check for any compilation errors. This would catch early problems with the code itself and prevent the pipeline from going any further.</w:t>
      </w:r>
    </w:p>
    <w:p w14:paraId="6F33A275" w14:textId="77777777" w:rsidR="00697480" w:rsidRDefault="00697480" w:rsidP="00697480"/>
    <w:p w14:paraId="76C673B6" w14:textId="436FE0F2" w:rsidR="00697480" w:rsidRDefault="00697480" w:rsidP="00697480">
      <w:r w:rsidRPr="00697480">
        <w:rPr>
          <w:rStyle w:val="Heading2Char"/>
        </w:rPr>
        <w:t>Test</w:t>
      </w:r>
      <w:r>
        <w:br/>
        <w:t xml:space="preserve">The test stage runs controller, unit and integration tests on each microservice. </w:t>
      </w:r>
      <w:r w:rsidR="00014902">
        <w:t>The acceptance criteria is that for each microservice the code coverage is at least 80%. If the tests result in an insufficient coverage, the job fails.</w:t>
      </w:r>
      <w:r w:rsidR="00014902">
        <w:br/>
      </w:r>
      <w:r w:rsidR="00014902">
        <w:br/>
      </w:r>
      <w:r w:rsidR="00014902" w:rsidRPr="00014902">
        <w:drawing>
          <wp:inline distT="0" distB="0" distL="0" distR="0" wp14:anchorId="2FCB8B40" wp14:editId="2EA9E36D">
            <wp:extent cx="5435879" cy="882695"/>
            <wp:effectExtent l="0" t="0" r="0" b="0"/>
            <wp:docPr id="12501073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7393" name="Picture 1" descr="A black background with white text&#10;&#10;Description automatically generated"/>
                    <pic:cNvPicPr/>
                  </pic:nvPicPr>
                  <pic:blipFill>
                    <a:blip r:embed="rId6"/>
                    <a:stretch>
                      <a:fillRect/>
                    </a:stretch>
                  </pic:blipFill>
                  <pic:spPr>
                    <a:xfrm>
                      <a:off x="0" y="0"/>
                      <a:ext cx="5435879" cy="882695"/>
                    </a:xfrm>
                    <a:prstGeom prst="rect">
                      <a:avLst/>
                    </a:prstGeom>
                  </pic:spPr>
                </pic:pic>
              </a:graphicData>
            </a:graphic>
          </wp:inline>
        </w:drawing>
      </w:r>
      <w:r w:rsidR="00014902">
        <w:br/>
      </w:r>
      <w:r w:rsidR="00014902">
        <w:br/>
      </w:r>
      <w:r w:rsidR="00014902" w:rsidRPr="00014902">
        <w:rPr>
          <w:rStyle w:val="Heading2Char"/>
        </w:rPr>
        <w:t>E2E</w:t>
      </w:r>
    </w:p>
    <w:p w14:paraId="251BE412" w14:textId="01A9EC5A" w:rsidR="00697480" w:rsidRDefault="00014902" w:rsidP="00697480">
      <w:r>
        <w:t xml:space="preserve">This stage uses docker compose and playwright to start the </w:t>
      </w:r>
      <w:proofErr w:type="spellStart"/>
      <w:r>
        <w:t>HouseHunters</w:t>
      </w:r>
      <w:proofErr w:type="spellEnd"/>
      <w:r>
        <w:t xml:space="preserve"> frontend and all microservices, along with a local MongoDB database and a RabbitMQ container.</w:t>
      </w:r>
    </w:p>
    <w:p w14:paraId="2BF5AA51" w14:textId="10EEA006" w:rsidR="00014902" w:rsidRDefault="00014902" w:rsidP="00697480">
      <w:r>
        <w:t xml:space="preserve">After that, Playwright is used to execute end-to-end tests. An unsuccessful test fails the pipeline job and an artifact of the test is saved that can be inspected in </w:t>
      </w:r>
      <w:proofErr w:type="spellStart"/>
      <w:r>
        <w:t>trace.playwright.dev</w:t>
      </w:r>
      <w:proofErr w:type="spellEnd"/>
    </w:p>
    <w:p w14:paraId="4B8D3099" w14:textId="24564B8D" w:rsidR="00014902" w:rsidRDefault="00014902" w:rsidP="00697480">
      <w:r>
        <w:br/>
      </w:r>
      <w:r w:rsidR="009B32F5" w:rsidRPr="009B32F5">
        <w:drawing>
          <wp:inline distT="0" distB="0" distL="0" distR="0" wp14:anchorId="6EB75F92" wp14:editId="2D75D889">
            <wp:extent cx="4904990" cy="1544425"/>
            <wp:effectExtent l="0" t="0" r="0" b="0"/>
            <wp:docPr id="1167690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90060" name="Picture 1" descr="A screen shot of a computer&#10;&#10;Description automatically generated"/>
                    <pic:cNvPicPr/>
                  </pic:nvPicPr>
                  <pic:blipFill>
                    <a:blip r:embed="rId7"/>
                    <a:stretch>
                      <a:fillRect/>
                    </a:stretch>
                  </pic:blipFill>
                  <pic:spPr>
                    <a:xfrm>
                      <a:off x="0" y="0"/>
                      <a:ext cx="4917326" cy="1548309"/>
                    </a:xfrm>
                    <a:prstGeom prst="rect">
                      <a:avLst/>
                    </a:prstGeom>
                  </pic:spPr>
                </pic:pic>
              </a:graphicData>
            </a:graphic>
          </wp:inline>
        </w:drawing>
      </w:r>
      <w:r w:rsidR="009B32F5">
        <w:br/>
      </w:r>
      <w:r w:rsidR="009B32F5" w:rsidRPr="009B32F5">
        <w:drawing>
          <wp:inline distT="0" distB="0" distL="0" distR="0" wp14:anchorId="4DA96E2E" wp14:editId="4295E340">
            <wp:extent cx="3710455" cy="2565799"/>
            <wp:effectExtent l="0" t="0" r="4445" b="6350"/>
            <wp:docPr id="241120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20329" name="Picture 1" descr="A screenshot of a computer&#10;&#10;Description automatically generated"/>
                    <pic:cNvPicPr/>
                  </pic:nvPicPr>
                  <pic:blipFill>
                    <a:blip r:embed="rId8"/>
                    <a:stretch>
                      <a:fillRect/>
                    </a:stretch>
                  </pic:blipFill>
                  <pic:spPr>
                    <a:xfrm>
                      <a:off x="0" y="0"/>
                      <a:ext cx="3735477" cy="2583102"/>
                    </a:xfrm>
                    <a:prstGeom prst="rect">
                      <a:avLst/>
                    </a:prstGeom>
                  </pic:spPr>
                </pic:pic>
              </a:graphicData>
            </a:graphic>
          </wp:inline>
        </w:drawing>
      </w:r>
    </w:p>
    <w:p w14:paraId="147BFC30" w14:textId="23666767" w:rsidR="00014902" w:rsidRDefault="009B32F5" w:rsidP="009B32F5">
      <w:pPr>
        <w:pStyle w:val="Heading2"/>
      </w:pPr>
      <w:r>
        <w:lastRenderedPageBreak/>
        <w:t>Security</w:t>
      </w:r>
    </w:p>
    <w:p w14:paraId="64BF23FE" w14:textId="2CF59350" w:rsidR="009B32F5" w:rsidRDefault="004674B6" w:rsidP="00697480">
      <w:r>
        <w:t>This stage uses the same docker compose setup from the E2E stage to execute a full scan from OWASP’s ZAP tool. Over 130 security tests are run and if a single on fails and is not configured to be ignored, the job fails.</w:t>
      </w:r>
    </w:p>
    <w:p w14:paraId="6A8A2D01" w14:textId="68D700F9" w:rsidR="004674B6" w:rsidRPr="008B6713" w:rsidRDefault="006E7890" w:rsidP="00697480">
      <w:r w:rsidRPr="006E7890">
        <w:drawing>
          <wp:inline distT="0" distB="0" distL="0" distR="0" wp14:anchorId="7334F325" wp14:editId="719E140A">
            <wp:extent cx="5731510" cy="795655"/>
            <wp:effectExtent l="0" t="0" r="2540" b="4445"/>
            <wp:docPr id="11753988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8860" name="Picture 1" descr="A screen shot of a computer code&#10;&#10;Description automatically generated"/>
                    <pic:cNvPicPr/>
                  </pic:nvPicPr>
                  <pic:blipFill>
                    <a:blip r:embed="rId9"/>
                    <a:stretch>
                      <a:fillRect/>
                    </a:stretch>
                  </pic:blipFill>
                  <pic:spPr>
                    <a:xfrm>
                      <a:off x="0" y="0"/>
                      <a:ext cx="5731510" cy="795655"/>
                    </a:xfrm>
                    <a:prstGeom prst="rect">
                      <a:avLst/>
                    </a:prstGeom>
                  </pic:spPr>
                </pic:pic>
              </a:graphicData>
            </a:graphic>
          </wp:inline>
        </w:drawing>
      </w:r>
      <w:r>
        <w:br/>
      </w:r>
      <w:r>
        <w:br/>
      </w:r>
    </w:p>
    <w:sectPr w:rsidR="004674B6" w:rsidRPr="008B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A"/>
    <w:rsid w:val="00014902"/>
    <w:rsid w:val="004674B6"/>
    <w:rsid w:val="005821D8"/>
    <w:rsid w:val="00697480"/>
    <w:rsid w:val="006E7890"/>
    <w:rsid w:val="007F4E47"/>
    <w:rsid w:val="008C3424"/>
    <w:rsid w:val="009B32F5"/>
    <w:rsid w:val="009D64AA"/>
    <w:rsid w:val="00CD6478"/>
    <w:rsid w:val="00F46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71F2"/>
  <w15:chartTrackingRefBased/>
  <w15:docId w15:val="{5FF40EB7-14AB-4657-97E3-E57359AC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D6478"/>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CD6478"/>
    <w:pPr>
      <w:keepNext/>
      <w:keepLines/>
      <w:spacing w:before="240"/>
      <w:outlineLvl w:val="0"/>
    </w:pPr>
    <w:rPr>
      <w:rFonts w:ascii="Aptos" w:eastAsiaTheme="majorEastAsia" w:hAnsi="Aptos" w:cstheme="majorBidi"/>
      <w:b/>
      <w:color w:val="4472C4" w:themeColor="accent1"/>
      <w:sz w:val="36"/>
      <w:szCs w:val="32"/>
    </w:rPr>
  </w:style>
  <w:style w:type="paragraph" w:styleId="Heading2">
    <w:name w:val="heading 2"/>
    <w:link w:val="Heading2Char"/>
    <w:uiPriority w:val="1"/>
    <w:qFormat/>
    <w:rsid w:val="00CD6478"/>
    <w:pPr>
      <w:keepNext/>
      <w:keepLines/>
      <w:spacing w:before="480" w:line="240" w:lineRule="auto"/>
      <w:outlineLvl w:val="1"/>
    </w:pPr>
    <w:rPr>
      <w:rFonts w:ascii="Aptos" w:eastAsiaTheme="majorEastAsia" w:hAnsi="Aptos" w:cstheme="majorBidi"/>
      <w:color w:val="C45911" w:themeColor="accent2" w:themeShade="BF"/>
      <w:kern w:val="0"/>
      <w:sz w:val="28"/>
      <w:szCs w:val="26"/>
      <w:lang w:val="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478"/>
    <w:rPr>
      <w:rFonts w:ascii="Aptos" w:eastAsiaTheme="majorEastAsia" w:hAnsi="Aptos" w:cstheme="majorBidi"/>
      <w:b/>
      <w:color w:val="4472C4" w:themeColor="accent1"/>
      <w:kern w:val="0"/>
      <w:sz w:val="36"/>
      <w:szCs w:val="32"/>
      <w:lang w:val="en-US"/>
      <w14:ligatures w14:val="none"/>
    </w:rPr>
  </w:style>
  <w:style w:type="character" w:customStyle="1" w:styleId="Heading2Char">
    <w:name w:val="Heading 2 Char"/>
    <w:basedOn w:val="DefaultParagraphFont"/>
    <w:link w:val="Heading2"/>
    <w:uiPriority w:val="1"/>
    <w:rsid w:val="00CD6478"/>
    <w:rPr>
      <w:rFonts w:ascii="Aptos" w:eastAsiaTheme="majorEastAsia" w:hAnsi="Aptos" w:cstheme="majorBidi"/>
      <w:color w:val="C45911" w:themeColor="accent2" w:themeShade="BF"/>
      <w:kern w:val="0"/>
      <w:sz w:val="28"/>
      <w:szCs w:val="26"/>
      <w:lang w:val="en-GB"/>
      <w14:ligatures w14:val="none"/>
    </w:rPr>
  </w:style>
  <w:style w:type="table" w:styleId="GridTable1Light-Accent1">
    <w:name w:val="Grid Table 1 Light Accent 1"/>
    <w:basedOn w:val="TableNormal"/>
    <w:uiPriority w:val="46"/>
    <w:rsid w:val="00CD6478"/>
    <w:pPr>
      <w:spacing w:after="0" w:line="240" w:lineRule="auto"/>
    </w:pPr>
    <w:rPr>
      <w:kern w:val="0"/>
      <w:sz w:val="24"/>
      <w:szCs w:val="24"/>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Doykov,Yordan Y.A.</dc:creator>
  <cp:keywords/>
  <dc:description/>
  <cp:lastModifiedBy>Doykov,Yordan Y.A.</cp:lastModifiedBy>
  <cp:revision>6</cp:revision>
  <dcterms:created xsi:type="dcterms:W3CDTF">2024-03-26T12:53:00Z</dcterms:created>
  <dcterms:modified xsi:type="dcterms:W3CDTF">2024-03-27T10:19:00Z</dcterms:modified>
</cp:coreProperties>
</file>