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keepLines/>
        <w:widowControl/>
        <w:spacing w:before="0" w:after="220" w:line="259" w:lineRule="auto"/>
      </w:pPr>
      <w:r>
        <w:rPr>
          <w:rFonts w:ascii="Aptos" w:hAnsi="Aptos" w:eastAsia="Aptos"/>
          <w:b/>
          <w:i w:val="0"/>
          <w:color w:val="62677A"/>
          <w:sz w:val="17"/>
        </w:rPr>
        <w:t>CWS / PRODUCT  ·  TICKETFLOW</w:t>
      </w:r>
    </w:p>
    <w:p>
      <w:pPr>
        <w:keepLines/>
        <w:widowControl/>
        <w:spacing w:before="0" w:after="140" w:line="259" w:lineRule="auto"/>
      </w:pPr>
      <w:r>
        <w:rPr>
          <w:rFonts w:ascii="Aptos" w:hAnsi="Aptos" w:eastAsia="Aptos"/>
          <w:b/>
          <w:i w:val="0"/>
          <w:color w:val="302C73"/>
          <w:sz w:val="54"/>
        </w:rPr>
        <w:t>Alcance de implementación</w:t>
      </w:r>
    </w:p>
    <w:p>
      <w:pPr>
        <w:keepLines/>
        <w:widowControl/>
        <w:spacing w:before="0" w:after="180" w:line="259" w:lineRule="auto"/>
      </w:pPr>
      <w:r>
        <w:rPr>
          <w:rFonts w:ascii="Aptos" w:hAnsi="Aptos" w:eastAsia="Aptos"/>
          <w:b/>
          <w:i w:val="0"/>
          <w:color w:val="514AA5"/>
          <w:sz w:val="42"/>
        </w:rPr>
        <w:t>Reporting por producto y servicio</w:t>
      </w:r>
    </w:p>
    <w:p>
      <w:pPr>
        <w:keepLines/>
        <w:widowControl/>
        <w:spacing w:before="0" w:after="340" w:line="264" w:lineRule="auto"/>
        <w:pBdr>
          <w:bottom w:val="single" w:sz="10" w:space="5" w:color="514AA5"/>
        </w:pBdr>
      </w:pPr>
      <w:r>
        <w:rPr>
          <w:rFonts w:ascii="Aptos" w:hAnsi="Aptos" w:eastAsia="Aptos"/>
          <w:b w:val="0"/>
          <w:i/>
          <w:color w:val="62677A"/>
          <w:sz w:val="22"/>
        </w:rPr>
        <w:t>Documento de alcance, decisiones de diseño, estado de implantación y criterios de aceptación.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888AA0"/>
          <w:left w:val="single" w:sz="6" w:space="0" w:color="888AA0"/>
          <w:bottom w:val="single" w:sz="6" w:space="0" w:color="888AA0"/>
          <w:right w:val="single" w:sz="6" w:space="0" w:color="888AA0"/>
          <w:insideH w:val="single" w:sz="6" w:space="0" w:color="888AA0"/>
          <w:insideV w:val="single" w:sz="6" w:space="0" w:color="888AA0"/>
        </w:tblBorders>
      </w:tblPr>
      <w:tblGrid>
        <w:gridCol w:w="4860"/>
        <w:gridCol w:w="4860"/>
      </w:tblGrid>
      <w:tr>
        <w:trPr>
          <w:tblHeader w:val="true"/>
          <w:cantSplit/>
        </w:trPr>
        <w:tc>
          <w:tcPr>
            <w:tcW w:type="dxa" w:w="2381"/>
            <w:shd w:fill="302C73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keepLines w:val="0"/>
              <w:widowControl/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Ámbito</w:t>
            </w:r>
          </w:p>
        </w:tc>
        <w:tc>
          <w:tcPr>
            <w:tcW w:type="dxa" w:w="6803"/>
            <w:shd w:fill="302C73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keepLines w:val="0"/>
              <w:widowControl/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Decisión confirmada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EEEAFB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/>
                <w:i w:val="0"/>
                <w:color w:val="202334"/>
                <w:sz w:val="17"/>
              </w:rPr>
              <w:t>Fuente de datos</w:t>
            </w:r>
          </w:p>
        </w:tc>
        <w:tc>
          <w:tcPr>
            <w:tcW w:type="dxa" w:w="680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7"/>
              </w:rPr>
              <w:t>Datos actuales y nativos de TicketFlow; sin importaciones, sincronizaciones ni trazabilidad de origen.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EEEAFB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/>
                <w:i w:val="0"/>
                <w:color w:val="202334"/>
                <w:sz w:val="17"/>
              </w:rPr>
              <w:t>Dimensión principal</w:t>
            </w:r>
          </w:p>
        </w:tc>
        <w:tc>
          <w:tcPr>
            <w:tcW w:type="dxa" w:w="680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7F6FC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7"/>
              </w:rPr>
              <w:t>Producto / servicio, independiente del campo operativo Servicio.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EEEAFB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/>
                <w:i w:val="0"/>
                <w:color w:val="202334"/>
                <w:sz w:val="17"/>
              </w:rPr>
              <w:t>Reporting</w:t>
            </w:r>
          </w:p>
        </w:tc>
        <w:tc>
          <w:tcPr>
            <w:tcW w:type="dxa" w:w="680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7"/>
              </w:rPr>
              <w:t>Empresa desaparece de filtros, visualizaciones, CSV y PDF.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EEEAFB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/>
                <w:i w:val="0"/>
                <w:color w:val="202334"/>
                <w:sz w:val="17"/>
              </w:rPr>
              <w:t>Comparación</w:t>
            </w:r>
          </w:p>
        </w:tc>
        <w:tc>
          <w:tcPr>
            <w:tcW w:type="dxa" w:w="680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7F6FC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7"/>
              </w:rPr>
              <w:t>Periodo anterior inmediato con exactamente la misma duración.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EEEAFB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/>
                <w:i w:val="0"/>
                <w:color w:val="202334"/>
                <w:sz w:val="17"/>
              </w:rPr>
              <w:t>Entrega</w:t>
            </w:r>
          </w:p>
        </w:tc>
        <w:tc>
          <w:tcPr>
            <w:tcW w:type="dxa" w:w="680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7"/>
              </w:rPr>
              <w:t>Implementación completa, pruebas funcionales y validación de exportación.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21"/>
      </w:tblGrid>
      <w:tr>
        <w:tc>
          <w:tcPr>
            <w:tcW w:type="dxa" w:w="9721"/>
            <w:shd w:fill="F3F1FB"/>
            <w:tcMar>
              <w:top w:w="120" w:type="dxa"/>
              <w:start w:w="145" w:type="dxa"/>
              <w:bottom w:w="120" w:type="dxa"/>
              <w:end w:w="145" w:type="dxa"/>
            </w:tcMar>
          </w:tcPr>
          <w:p>
            <w:pPr>
              <w:keepLines w:val="0"/>
              <w:widowControl/>
              <w:spacing w:before="0" w:after="40" w:line="245" w:lineRule="auto"/>
            </w:pPr>
            <w:r>
              <w:rPr>
                <w:rFonts w:ascii="Aptos" w:hAnsi="Aptos" w:eastAsia="Aptos"/>
                <w:b/>
                <w:i w:val="0"/>
                <w:color w:val="302C73"/>
                <w:sz w:val="18"/>
              </w:rPr>
              <w:t>Resultado esperado</w:t>
            </w:r>
          </w:p>
          <w:p>
            <w:pPr>
              <w:keepLines w:val="0"/>
              <w:widowControl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7"/>
              </w:rPr>
              <w:t>Un reporte de negocio cómodo de explorar en web y autosuficiente al exportarse: cada gráfico conserva sus valores, la portada permite comparar productos y el rango temporal gobierna todas las series.</w:t>
            </w:r>
          </w:p>
        </w:tc>
      </w:tr>
    </w:tbl>
    <w:p>
      <w:pPr>
        <w:spacing w:after="20"/>
      </w:pPr>
    </w:p>
    <w:p>
      <w:pPr>
        <w:keepLines w:val="0"/>
        <w:widowControl/>
        <w:spacing w:before="120" w:after="40" w:line="259" w:lineRule="auto"/>
      </w:pPr>
      <w:r>
        <w:rPr>
          <w:rFonts w:ascii="Aptos" w:hAnsi="Aptos" w:eastAsia="Aptos"/>
          <w:b/>
          <w:i w:val="0"/>
          <w:color w:val="62677A"/>
          <w:sz w:val="16"/>
        </w:rPr>
        <w:t>Estado del documento</w:t>
      </w:r>
    </w:p>
    <w:p>
      <w:pPr>
        <w:keepLines w:val="0"/>
        <w:widowControl/>
        <w:spacing w:before="0" w:after="0" w:line="259" w:lineRule="auto"/>
      </w:pPr>
      <w:r>
        <w:rPr>
          <w:rFonts w:ascii="Aptos" w:hAnsi="Aptos" w:eastAsia="Aptos"/>
          <w:b/>
          <w:i w:val="0"/>
          <w:color w:val="177A4E"/>
          <w:sz w:val="20"/>
        </w:rPr>
        <w:t>ALCANCE CERRADO · IMPLEMENTACIÓN REALIZADA · QA FUNCIONAL VALIDADA</w:t>
      </w:r>
    </w:p>
    <w:p>
      <w:r>
        <w:br w:type="page"/>
      </w:r>
    </w:p>
    <w:p>
      <w:pPr>
        <w:keepLines/>
        <w:widowControl/>
        <w:spacing w:before="60" w:after="100" w:line="259" w:lineRule="auto"/>
        <w:pBdr>
          <w:bottom w:val="single" w:sz="8" w:space="5" w:color="302C73"/>
        </w:pBdr>
      </w:pPr>
      <w:r>
        <w:rPr>
          <w:rFonts w:ascii="Aptos" w:hAnsi="Aptos" w:eastAsia="Aptos"/>
          <w:b/>
          <w:i w:val="0"/>
          <w:color w:val="514AA5"/>
          <w:sz w:val="28"/>
        </w:rPr>
        <w:t xml:space="preserve">01  </w:t>
      </w:r>
      <w:r>
        <w:rPr>
          <w:rFonts w:ascii="Aptos" w:hAnsi="Aptos" w:eastAsia="Aptos"/>
          <w:b/>
          <w:i w:val="0"/>
          <w:color w:val="302C73"/>
          <w:sz w:val="34"/>
        </w:rPr>
        <w:t>Objetivo y decisiones de alcance</w:t>
      </w:r>
    </w:p>
    <w:p>
      <w:pPr>
        <w:keepLines/>
        <w:widowControl/>
        <w:spacing w:before="0" w:after="140" w:line="259" w:lineRule="auto"/>
      </w:pPr>
      <w:r>
        <w:rPr>
          <w:rFonts w:ascii="Aptos" w:hAnsi="Aptos" w:eastAsia="Aptos"/>
          <w:b w:val="0"/>
          <w:i/>
          <w:color w:val="62677A"/>
          <w:sz w:val="17"/>
        </w:rPr>
        <w:t>El reporte pasa de una lectura operativa genérica a una lectura ejecutiva por producto.</w:t>
      </w:r>
    </w:p>
    <w:p>
      <w:pPr>
        <w:keepLines/>
        <w:widowControl/>
        <w:spacing w:before="0" w:after="60" w:line="259" w:lineRule="auto"/>
      </w:pPr>
      <w:r>
        <w:rPr>
          <w:rFonts w:ascii="Aptos" w:hAnsi="Aptos" w:eastAsia="Aptos"/>
          <w:b/>
          <w:i w:val="0"/>
          <w:color w:val="302C73"/>
          <w:sz w:val="22"/>
        </w:rPr>
        <w:t>Objetivo</w:t>
      </w:r>
    </w:p>
    <w:p>
      <w:pPr>
        <w:keepLines w:val="0"/>
        <w:widowControl/>
        <w:spacing w:before="0" w:after="100" w:line="259" w:lineRule="auto"/>
      </w:pPr>
      <w:r>
        <w:rPr>
          <w:rFonts w:ascii="Aptos" w:hAnsi="Aptos" w:eastAsia="Aptos"/>
          <w:b w:val="0"/>
          <w:i w:val="0"/>
          <w:color w:val="202334"/>
          <w:sz w:val="18"/>
        </w:rPr>
        <w:t>Proporcionar una vista única de demanda, resolución, pendientes, experiencia y SLA por producto o servicio, con comparativas temporales homogéneas y una exportación que pueda leerse sin interacción.</w:t>
      </w:r>
    </w:p>
    <w:p>
      <w:pPr>
        <w:keepLines/>
        <w:widowControl/>
        <w:spacing w:before="100" w:after="60" w:line="259" w:lineRule="auto"/>
      </w:pPr>
      <w:r>
        <w:rPr>
          <w:rFonts w:ascii="Aptos" w:hAnsi="Aptos" w:eastAsia="Aptos"/>
          <w:b/>
          <w:i w:val="0"/>
          <w:color w:val="302C73"/>
          <w:sz w:val="22"/>
        </w:rPr>
        <w:t>Decisiones vinculantes</w:t>
      </w:r>
    </w:p>
    <w:p>
      <w:pPr>
        <w:keepLines w:val="0"/>
        <w:widowControl/>
        <w:spacing w:before="0" w:after="60" w:line="250" w:lineRule="auto"/>
        <w:ind w:left="312" w:hanging="198"/>
      </w:pPr>
      <w:r>
        <w:rPr>
          <w:rFonts w:ascii="Aptos" w:hAnsi="Aptos" w:eastAsia="Aptos"/>
          <w:b/>
          <w:i w:val="0"/>
          <w:color w:val="514AA5"/>
          <w:sz w:val="18"/>
        </w:rPr>
        <w:t xml:space="preserve">•  </w:t>
      </w:r>
      <w:r>
        <w:rPr>
          <w:rFonts w:ascii="Aptos" w:hAnsi="Aptos" w:eastAsia="Aptos"/>
          <w:b w:val="0"/>
          <w:i w:val="0"/>
          <w:color w:val="202334"/>
          <w:sz w:val="18"/>
        </w:rPr>
        <w:t>Los tickets se analizan por su estado actual y sus eventos nativos; su procedencia no cambia su semántica.</w:t>
      </w:r>
    </w:p>
    <w:p>
      <w:pPr>
        <w:keepLines w:val="0"/>
        <w:widowControl/>
        <w:spacing w:before="0" w:after="60" w:line="250" w:lineRule="auto"/>
        <w:ind w:left="312" w:hanging="198"/>
      </w:pPr>
      <w:r>
        <w:rPr>
          <w:rFonts w:ascii="Aptos" w:hAnsi="Aptos" w:eastAsia="Aptos"/>
          <w:b/>
          <w:i w:val="0"/>
          <w:color w:val="514AA5"/>
          <w:sz w:val="18"/>
        </w:rPr>
        <w:t xml:space="preserve">•  </w:t>
      </w:r>
      <w:r>
        <w:rPr>
          <w:rFonts w:ascii="Aptos" w:hAnsi="Aptos" w:eastAsia="Aptos"/>
          <w:b w:val="0"/>
          <w:i w:val="0"/>
          <w:color w:val="202334"/>
          <w:sz w:val="18"/>
        </w:rPr>
        <w:t>Producto / servicio sustituye a Empresa en reporting. Empresa permanece fuera de esta experiencia y puede conservarse internamente para otros procesos.</w:t>
      </w:r>
    </w:p>
    <w:p>
      <w:pPr>
        <w:keepLines w:val="0"/>
        <w:widowControl/>
        <w:spacing w:before="0" w:after="60" w:line="250" w:lineRule="auto"/>
        <w:ind w:left="312" w:hanging="198"/>
      </w:pPr>
      <w:r>
        <w:rPr>
          <w:rFonts w:ascii="Aptos" w:hAnsi="Aptos" w:eastAsia="Aptos"/>
          <w:b/>
          <w:i w:val="0"/>
          <w:color w:val="514AA5"/>
          <w:sz w:val="18"/>
        </w:rPr>
        <w:t xml:space="preserve">•  </w:t>
      </w:r>
      <w:r>
        <w:rPr>
          <w:rFonts w:ascii="Aptos" w:hAnsi="Aptos" w:eastAsia="Aptos"/>
          <w:b w:val="0"/>
          <w:i w:val="0"/>
          <w:color w:val="202334"/>
          <w:sz w:val="18"/>
        </w:rPr>
        <w:t>El servicio operativo actual no se reutiliza: continúa gobernando asignación, SLA y centros de ayuda sin contaminar la dimensión comercial.</w:t>
      </w:r>
    </w:p>
    <w:p>
      <w:pPr>
        <w:keepLines w:val="0"/>
        <w:widowControl/>
        <w:spacing w:before="0" w:after="60" w:line="250" w:lineRule="auto"/>
        <w:ind w:left="312" w:hanging="198"/>
      </w:pPr>
      <w:r>
        <w:rPr>
          <w:rFonts w:ascii="Aptos" w:hAnsi="Aptos" w:eastAsia="Aptos"/>
          <w:b/>
          <w:i w:val="0"/>
          <w:color w:val="514AA5"/>
          <w:sz w:val="18"/>
        </w:rPr>
        <w:t xml:space="preserve">•  </w:t>
      </w:r>
      <w:r>
        <w:rPr>
          <w:rFonts w:ascii="Aptos" w:hAnsi="Aptos" w:eastAsia="Aptos"/>
          <w:b w:val="0"/>
          <w:i w:val="0"/>
          <w:color w:val="202334"/>
          <w:sz w:val="18"/>
        </w:rPr>
        <w:t>Los tickets sin evidencia suficiente se muestran como Sin clasificar. No se fuerza una inferencia por empresa.</w:t>
      </w:r>
    </w:p>
    <w:p>
      <w:pPr>
        <w:keepLines w:val="0"/>
        <w:widowControl/>
        <w:spacing w:before="0" w:after="60" w:line="250" w:lineRule="auto"/>
        <w:ind w:left="312" w:hanging="198"/>
      </w:pPr>
      <w:r>
        <w:rPr>
          <w:rFonts w:ascii="Aptos" w:hAnsi="Aptos" w:eastAsia="Aptos"/>
          <w:b/>
          <w:i w:val="0"/>
          <w:color w:val="514AA5"/>
          <w:sz w:val="18"/>
        </w:rPr>
        <w:t xml:space="preserve">•  </w:t>
      </w:r>
      <w:r>
        <w:rPr>
          <w:rFonts w:ascii="Aptos" w:hAnsi="Aptos" w:eastAsia="Aptos"/>
          <w:b w:val="0"/>
          <w:i w:val="0"/>
          <w:color w:val="202334"/>
          <w:sz w:val="18"/>
        </w:rPr>
        <w:t>Toda comparativa usa el periodo inmediatamente anterior de igual número de días, también cuando el usuario elige fechas manuales.</w:t>
      </w:r>
    </w:p>
    <w:p>
      <w:pPr>
        <w:keepLines/>
        <w:widowControl/>
        <w:spacing w:before="140" w:after="60" w:line="259" w:lineRule="auto"/>
      </w:pPr>
      <w:r>
        <w:rPr>
          <w:rFonts w:ascii="Aptos" w:hAnsi="Aptos" w:eastAsia="Aptos"/>
          <w:b/>
          <w:i w:val="0"/>
          <w:color w:val="302C73"/>
          <w:sz w:val="22"/>
        </w:rPr>
        <w:t>Fuera de alcance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888AA0"/>
          <w:left w:val="single" w:sz="6" w:space="0" w:color="888AA0"/>
          <w:bottom w:val="single" w:sz="6" w:space="0" w:color="888AA0"/>
          <w:right w:val="single" w:sz="6" w:space="0" w:color="888AA0"/>
          <w:insideH w:val="single" w:sz="6" w:space="0" w:color="888AA0"/>
          <w:insideV w:val="single" w:sz="6" w:space="0" w:color="888AA0"/>
        </w:tblBorders>
      </w:tblPr>
      <w:tblGrid>
        <w:gridCol w:w="4860"/>
        <w:gridCol w:w="4860"/>
      </w:tblGrid>
      <w:tr>
        <w:trPr>
          <w:tblHeader w:val="true"/>
          <w:cantSplit/>
        </w:trPr>
        <w:tc>
          <w:tcPr>
            <w:tcW w:type="dxa" w:w="2835"/>
            <w:shd w:fill="302C73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keepLines w:val="0"/>
              <w:widowControl/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Elemento</w:t>
            </w:r>
          </w:p>
        </w:tc>
        <w:tc>
          <w:tcPr>
            <w:tcW w:type="dxa" w:w="6350"/>
            <w:shd w:fill="302C73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keepLines w:val="0"/>
              <w:widowControl/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Tratamiento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EEEAFB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/>
                <w:i w:val="0"/>
                <w:color w:val="202334"/>
                <w:sz w:val="17"/>
              </w:rPr>
              <w:t>Importaciones o sincronizaciones</w:t>
            </w:r>
          </w:p>
        </w:tc>
        <w:tc>
          <w:tcPr>
            <w:tcW w:type="dxa" w:w="63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7"/>
              </w:rPr>
              <w:t>No se añaden ni modifican.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EEEAFB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/>
                <w:i w:val="0"/>
                <w:color w:val="202334"/>
                <w:sz w:val="17"/>
              </w:rPr>
              <w:t>Trazabilidad de procedencia</w:t>
            </w:r>
          </w:p>
        </w:tc>
        <w:tc>
          <w:tcPr>
            <w:tcW w:type="dxa" w:w="63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7F6FC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7"/>
              </w:rPr>
              <w:t>No se incorpora al modelo ni al reporte.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EEEAFB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/>
                <w:i w:val="0"/>
                <w:color w:val="202334"/>
                <w:sz w:val="17"/>
              </w:rPr>
              <w:t>Inferencia por empresa</w:t>
            </w:r>
          </w:p>
        </w:tc>
        <w:tc>
          <w:tcPr>
            <w:tcW w:type="dxa" w:w="63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7"/>
              </w:rPr>
              <w:t>No se utiliza como regla de clasificación.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EEEAFB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/>
                <w:i w:val="0"/>
                <w:color w:val="202334"/>
                <w:sz w:val="17"/>
              </w:rPr>
              <w:t>Rediseño de asignación/SLA</w:t>
            </w:r>
          </w:p>
        </w:tc>
        <w:tc>
          <w:tcPr>
            <w:tcW w:type="dxa" w:w="635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7F6FC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7"/>
              </w:rPr>
              <w:t>Se conserva el comportamiento operativo existente.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Lines/>
        <w:widowControl/>
        <w:spacing w:before="60" w:after="100" w:line="259" w:lineRule="auto"/>
        <w:pBdr>
          <w:bottom w:val="single" w:sz="8" w:space="5" w:color="302C73"/>
        </w:pBdr>
      </w:pPr>
      <w:r>
        <w:rPr>
          <w:rFonts w:ascii="Aptos" w:hAnsi="Aptos" w:eastAsia="Aptos"/>
          <w:b/>
          <w:i w:val="0"/>
          <w:color w:val="514AA5"/>
          <w:sz w:val="28"/>
        </w:rPr>
        <w:t xml:space="preserve">02  </w:t>
      </w:r>
      <w:r>
        <w:rPr>
          <w:rFonts w:ascii="Aptos" w:hAnsi="Aptos" w:eastAsia="Aptos"/>
          <w:b/>
          <w:i w:val="0"/>
          <w:color w:val="302C73"/>
          <w:sz w:val="34"/>
        </w:rPr>
        <w:t>Catálogo y clasificación nativa</w:t>
      </w:r>
    </w:p>
    <w:p>
      <w:pPr>
        <w:keepLines/>
        <w:widowControl/>
        <w:spacing w:before="0" w:after="140" w:line="259" w:lineRule="auto"/>
      </w:pPr>
      <w:r>
        <w:rPr>
          <w:rFonts w:ascii="Aptos" w:hAnsi="Aptos" w:eastAsia="Aptos"/>
          <w:b w:val="0"/>
          <w:i/>
          <w:color w:val="62677A"/>
          <w:sz w:val="17"/>
        </w:rPr>
        <w:t>Una dimensión estable, editable y segura para el histórico.</w:t>
      </w:r>
    </w:p>
    <w:p>
      <w:pPr>
        <w:keepLines/>
        <w:widowControl/>
        <w:spacing w:before="0" w:after="80" w:line="259" w:lineRule="auto"/>
      </w:pPr>
      <w:r>
        <w:rPr>
          <w:rFonts w:ascii="Aptos" w:hAnsi="Aptos" w:eastAsia="Aptos"/>
          <w:b/>
          <w:i w:val="0"/>
          <w:color w:val="302C73"/>
          <w:sz w:val="22"/>
        </w:rPr>
        <w:t>Catálogo inicial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888AA0"/>
          <w:left w:val="single" w:sz="6" w:space="0" w:color="888AA0"/>
          <w:bottom w:val="single" w:sz="6" w:space="0" w:color="888AA0"/>
          <w:right w:val="single" w:sz="6" w:space="0" w:color="888AA0"/>
          <w:insideH w:val="single" w:sz="6" w:space="0" w:color="888AA0"/>
          <w:insideV w:val="single" w:sz="6" w:space="0" w:color="888AA0"/>
        </w:tblBorders>
      </w:tblPr>
      <w:tblGrid>
        <w:gridCol w:w="2430"/>
        <w:gridCol w:w="2430"/>
        <w:gridCol w:w="2430"/>
        <w:gridCol w:w="2430"/>
      </w:tblGrid>
      <w:tr>
        <w:trPr>
          <w:tblHeader w:val="true"/>
          <w:cantSplit/>
        </w:trPr>
        <w:tc>
          <w:tcPr>
            <w:tcW w:type="dxa" w:w="2835"/>
            <w:shd w:fill="302C73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keepLines w:val="0"/>
              <w:widowControl/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Producto / servicio</w:t>
            </w:r>
          </w:p>
        </w:tc>
        <w:tc>
          <w:tcPr>
            <w:tcW w:type="dxa" w:w="2268"/>
            <w:shd w:fill="302C73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keepLines w:val="0"/>
              <w:widowControl/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Código estable</w:t>
            </w:r>
          </w:p>
        </w:tc>
        <w:tc>
          <w:tcPr>
            <w:tcW w:type="dxa" w:w="1361"/>
            <w:shd w:fill="302C73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keepLines w:val="0"/>
              <w:widowControl/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Color</w:t>
            </w:r>
          </w:p>
        </w:tc>
        <w:tc>
          <w:tcPr>
            <w:tcW w:type="dxa" w:w="2721"/>
            <w:shd w:fill="302C73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keepLines w:val="0"/>
              <w:widowControl/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Uso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EEEAFB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/>
                <w:i w:val="0"/>
                <w:color w:val="202334"/>
                <w:sz w:val="16"/>
              </w:rPr>
              <w:t>●  Recordia</w:t>
            </w:r>
          </w:p>
        </w:tc>
        <w:tc>
          <w:tcPr>
            <w:tcW w:type="dxa" w:w="226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6"/>
              </w:rPr>
              <w:t>recordia</w:t>
            </w:r>
          </w:p>
        </w:tc>
        <w:tc>
          <w:tcPr>
            <w:tcW w:type="dxa" w:w="136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6"/>
              </w:rPr>
              <w:t>Azul</w:t>
            </w:r>
          </w:p>
        </w:tc>
        <w:tc>
          <w:tcPr>
            <w:tcW w:type="dxa" w:w="272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6"/>
              </w:rPr>
              <w:t>Voz y grabación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EEEAFB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/>
                <w:i w:val="0"/>
                <w:color w:val="202334"/>
                <w:sz w:val="16"/>
              </w:rPr>
              <w:t>●  Speech Analytics</w:t>
            </w:r>
          </w:p>
        </w:tc>
        <w:tc>
          <w:tcPr>
            <w:tcW w:type="dxa" w:w="226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7F6FC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6"/>
              </w:rPr>
              <w:t>speech-analytics</w:t>
            </w:r>
          </w:p>
        </w:tc>
        <w:tc>
          <w:tcPr>
            <w:tcW w:type="dxa" w:w="136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7F6FC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6"/>
              </w:rPr>
              <w:t>Turquesa</w:t>
            </w:r>
          </w:p>
        </w:tc>
        <w:tc>
          <w:tcPr>
            <w:tcW w:type="dxa" w:w="272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7F6FC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6"/>
              </w:rPr>
              <w:t>Analítica de conversación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EEEAFB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/>
                <w:i w:val="0"/>
                <w:color w:val="202334"/>
                <w:sz w:val="16"/>
              </w:rPr>
              <w:t>●  Identia</w:t>
            </w:r>
          </w:p>
        </w:tc>
        <w:tc>
          <w:tcPr>
            <w:tcW w:type="dxa" w:w="226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6"/>
              </w:rPr>
              <w:t>identia</w:t>
            </w:r>
          </w:p>
        </w:tc>
        <w:tc>
          <w:tcPr>
            <w:tcW w:type="dxa" w:w="136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6"/>
              </w:rPr>
              <w:t>Violeta</w:t>
            </w:r>
          </w:p>
        </w:tc>
        <w:tc>
          <w:tcPr>
            <w:tcW w:type="dxa" w:w="272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6"/>
              </w:rPr>
              <w:t>Identidad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EEEAFB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/>
                <w:i w:val="0"/>
                <w:color w:val="202334"/>
                <w:sz w:val="16"/>
              </w:rPr>
              <w:t>●  eComFax</w:t>
            </w:r>
          </w:p>
        </w:tc>
        <w:tc>
          <w:tcPr>
            <w:tcW w:type="dxa" w:w="226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7F6FC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6"/>
              </w:rPr>
              <w:t>ecomfax</w:t>
            </w:r>
          </w:p>
        </w:tc>
        <w:tc>
          <w:tcPr>
            <w:tcW w:type="dxa" w:w="136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7F6FC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6"/>
              </w:rPr>
              <w:t>Naranja</w:t>
            </w:r>
          </w:p>
        </w:tc>
        <w:tc>
          <w:tcPr>
            <w:tcW w:type="dxa" w:w="272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7F6FC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6"/>
              </w:rPr>
              <w:t>Fax digital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EEEAFB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/>
                <w:i w:val="0"/>
                <w:color w:val="202334"/>
                <w:sz w:val="16"/>
              </w:rPr>
              <w:t>●  Agentia365</w:t>
            </w:r>
          </w:p>
        </w:tc>
        <w:tc>
          <w:tcPr>
            <w:tcW w:type="dxa" w:w="226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6"/>
              </w:rPr>
              <w:t>agentia365</w:t>
            </w:r>
          </w:p>
        </w:tc>
        <w:tc>
          <w:tcPr>
            <w:tcW w:type="dxa" w:w="136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6"/>
              </w:rPr>
              <w:t>Verde</w:t>
            </w:r>
          </w:p>
        </w:tc>
        <w:tc>
          <w:tcPr>
            <w:tcW w:type="dxa" w:w="272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6"/>
              </w:rPr>
              <w:t>Atención y agentes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EEEAFB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/>
                <w:i w:val="0"/>
                <w:color w:val="202334"/>
                <w:sz w:val="16"/>
              </w:rPr>
              <w:t>●  Otros servicios</w:t>
            </w:r>
          </w:p>
        </w:tc>
        <w:tc>
          <w:tcPr>
            <w:tcW w:type="dxa" w:w="226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7F6FC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6"/>
              </w:rPr>
              <w:t>otros-servicios</w:t>
            </w:r>
          </w:p>
        </w:tc>
        <w:tc>
          <w:tcPr>
            <w:tcW w:type="dxa" w:w="136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7F6FC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6"/>
              </w:rPr>
              <w:t>Gris</w:t>
            </w:r>
          </w:p>
        </w:tc>
        <w:tc>
          <w:tcPr>
            <w:tcW w:type="dxa" w:w="272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7F6FC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6"/>
              </w:rPr>
              <w:t>Resto de líneas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EEEAFB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/>
                <w:i w:val="0"/>
                <w:color w:val="202334"/>
                <w:sz w:val="16"/>
              </w:rPr>
              <w:t>▲  Sin clasificar</w:t>
            </w:r>
          </w:p>
        </w:tc>
        <w:tc>
          <w:tcPr>
            <w:tcW w:type="dxa" w:w="226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6"/>
              </w:rPr>
              <w:t>unclassified</w:t>
            </w:r>
          </w:p>
        </w:tc>
        <w:tc>
          <w:tcPr>
            <w:tcW w:type="dxa" w:w="136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6"/>
              </w:rPr>
              <w:t>Ámbar</w:t>
            </w:r>
          </w:p>
        </w:tc>
        <w:tc>
          <w:tcPr>
            <w:tcW w:type="dxa" w:w="272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6"/>
              </w:rPr>
              <w:t>Control de calidad del dato</w:t>
            </w:r>
          </w:p>
        </w:tc>
      </w:tr>
    </w:tbl>
    <w:p>
      <w:pPr>
        <w:spacing w:after="20"/>
      </w:pPr>
    </w:p>
    <w:p>
      <w:pPr>
        <w:keepLines/>
        <w:widowControl/>
        <w:spacing w:before="100" w:after="60" w:line="259" w:lineRule="auto"/>
      </w:pPr>
      <w:r>
        <w:rPr>
          <w:rFonts w:ascii="Aptos" w:hAnsi="Aptos" w:eastAsia="Aptos"/>
          <w:b/>
          <w:i w:val="0"/>
          <w:color w:val="302C73"/>
          <w:sz w:val="22"/>
        </w:rPr>
        <w:t>Reglas de clasificación</w:t>
      </w:r>
    </w:p>
    <w:p>
      <w:pPr>
        <w:keepLines w:val="0"/>
        <w:widowControl/>
        <w:spacing w:before="0" w:after="60" w:line="250" w:lineRule="auto"/>
        <w:ind w:left="312" w:hanging="198"/>
      </w:pPr>
      <w:r>
        <w:rPr>
          <w:rFonts w:ascii="Aptos" w:hAnsi="Aptos" w:eastAsia="Aptos"/>
          <w:b/>
          <w:i w:val="0"/>
          <w:color w:val="514AA5"/>
          <w:sz w:val="18"/>
        </w:rPr>
        <w:t xml:space="preserve">•  </w:t>
      </w:r>
      <w:r>
        <w:rPr>
          <w:rFonts w:ascii="Aptos" w:hAnsi="Aptos" w:eastAsia="Aptos"/>
          <w:b w:val="0"/>
          <w:i w:val="0"/>
          <w:color w:val="202334"/>
          <w:sz w:val="18"/>
        </w:rPr>
        <w:t>Creación manual: el producto o servicio es obligatorio en interfaz y servidor.</w:t>
      </w:r>
    </w:p>
    <w:p>
      <w:pPr>
        <w:keepLines w:val="0"/>
        <w:widowControl/>
        <w:spacing w:before="0" w:after="60" w:line="250" w:lineRule="auto"/>
        <w:ind w:left="312" w:hanging="198"/>
      </w:pPr>
      <w:r>
        <w:rPr>
          <w:rFonts w:ascii="Aptos" w:hAnsi="Aptos" w:eastAsia="Aptos"/>
          <w:b/>
          <w:i w:val="0"/>
          <w:color w:val="514AA5"/>
          <w:sz w:val="18"/>
        </w:rPr>
        <w:t xml:space="preserve">•  </w:t>
      </w:r>
      <w:r>
        <w:rPr>
          <w:rFonts w:ascii="Aptos" w:hAnsi="Aptos" w:eastAsia="Aptos"/>
          <w:b w:val="0"/>
          <w:i w:val="0"/>
          <w:color w:val="202334"/>
          <w:sz w:val="18"/>
        </w:rPr>
        <w:t>Edición: cualquier ticket existente debe quedar clasificado al guardarse desde el formulario manual.</w:t>
      </w:r>
    </w:p>
    <w:p>
      <w:pPr>
        <w:keepLines w:val="0"/>
        <w:widowControl/>
        <w:spacing w:before="0" w:after="60" w:line="250" w:lineRule="auto"/>
        <w:ind w:left="312" w:hanging="198"/>
      </w:pPr>
      <w:r>
        <w:rPr>
          <w:rFonts w:ascii="Aptos" w:hAnsi="Aptos" w:eastAsia="Aptos"/>
          <w:b/>
          <w:i w:val="0"/>
          <w:color w:val="514AA5"/>
          <w:sz w:val="18"/>
        </w:rPr>
        <w:t xml:space="preserve">•  </w:t>
      </w:r>
      <w:r>
        <w:rPr>
          <w:rFonts w:ascii="Aptos" w:hAnsi="Aptos" w:eastAsia="Aptos"/>
          <w:b w:val="0"/>
          <w:i w:val="0"/>
          <w:color w:val="202334"/>
          <w:sz w:val="18"/>
        </w:rPr>
        <w:t>Canales automáticos: cuando el servicio operativo es inequívoco se aplica una equivalencia nativa; los demás quedan visibles como Sin clasificar.</w:t>
      </w:r>
    </w:p>
    <w:p>
      <w:pPr>
        <w:keepLines w:val="0"/>
        <w:widowControl/>
        <w:spacing w:before="0" w:after="60" w:line="250" w:lineRule="auto"/>
        <w:ind w:left="312" w:hanging="198"/>
      </w:pPr>
      <w:r>
        <w:rPr>
          <w:rFonts w:ascii="Aptos" w:hAnsi="Aptos" w:eastAsia="Aptos"/>
          <w:b/>
          <w:i w:val="0"/>
          <w:color w:val="514AA5"/>
          <w:sz w:val="18"/>
        </w:rPr>
        <w:t xml:space="preserve">•  </w:t>
      </w:r>
      <w:r>
        <w:rPr>
          <w:rFonts w:ascii="Aptos" w:hAnsi="Aptos" w:eastAsia="Aptos"/>
          <w:b w:val="0"/>
          <w:i w:val="0"/>
          <w:color w:val="202334"/>
          <w:sz w:val="18"/>
        </w:rPr>
        <w:t>Histórico: se regularizan equivalencias inequívocas y se preservan como Sin clasificar los registros ambiguos.</w:t>
      </w:r>
    </w:p>
    <w:p>
      <w:pPr>
        <w:keepLines w:val="0"/>
        <w:widowControl/>
        <w:spacing w:before="0" w:after="60" w:line="250" w:lineRule="auto"/>
        <w:ind w:left="312" w:hanging="198"/>
      </w:pPr>
      <w:r>
        <w:rPr>
          <w:rFonts w:ascii="Aptos" w:hAnsi="Aptos" w:eastAsia="Aptos"/>
          <w:b/>
          <w:i w:val="0"/>
          <w:color w:val="514AA5"/>
          <w:sz w:val="18"/>
        </w:rPr>
        <w:t xml:space="preserve">•  </w:t>
      </w:r>
      <w:r>
        <w:rPr>
          <w:rFonts w:ascii="Aptos" w:hAnsi="Aptos" w:eastAsia="Aptos"/>
          <w:b w:val="0"/>
          <w:i w:val="0"/>
          <w:color w:val="202334"/>
          <w:sz w:val="18"/>
        </w:rPr>
        <w:t>Auditoría: los cambios de producto generan un evento ordinario del ticket; no se crea una capa de procedencia.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21"/>
      </w:tblGrid>
      <w:tr>
        <w:tc>
          <w:tcPr>
            <w:tcW w:type="dxa" w:w="9721"/>
            <w:shd w:fill="F3F1FB"/>
            <w:tcMar>
              <w:top w:w="120" w:type="dxa"/>
              <w:start w:w="145" w:type="dxa"/>
              <w:bottom w:w="120" w:type="dxa"/>
              <w:end w:w="145" w:type="dxa"/>
            </w:tcMar>
          </w:tcPr>
          <w:p>
            <w:pPr>
              <w:keepLines w:val="0"/>
              <w:widowControl/>
              <w:spacing w:before="0" w:after="40" w:line="245" w:lineRule="auto"/>
            </w:pPr>
            <w:r>
              <w:rPr>
                <w:rFonts w:ascii="Aptos" w:hAnsi="Aptos" w:eastAsia="Aptos"/>
                <w:b/>
                <w:i w:val="0"/>
                <w:color w:val="B45309"/>
                <w:sz w:val="18"/>
              </w:rPr>
              <w:t>Criterio de seguridad del dato</w:t>
            </w:r>
          </w:p>
          <w:p>
            <w:pPr>
              <w:keepLines w:val="0"/>
              <w:widowControl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7"/>
              </w:rPr>
              <w:t>Es preferible un Sin clasificar visible a una asignación comercial incorrecta. La cobertura de clasificación se convierte así en una señal accionable.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Lines/>
        <w:widowControl/>
        <w:spacing w:before="60" w:after="100" w:line="259" w:lineRule="auto"/>
        <w:pBdr>
          <w:bottom w:val="single" w:sz="8" w:space="5" w:color="302C73"/>
        </w:pBdr>
      </w:pPr>
      <w:r>
        <w:rPr>
          <w:rFonts w:ascii="Aptos" w:hAnsi="Aptos" w:eastAsia="Aptos"/>
          <w:b/>
          <w:i w:val="0"/>
          <w:color w:val="514AA5"/>
          <w:sz w:val="28"/>
        </w:rPr>
        <w:t xml:space="preserve">03  </w:t>
      </w:r>
      <w:r>
        <w:rPr>
          <w:rFonts w:ascii="Aptos" w:hAnsi="Aptos" w:eastAsia="Aptos"/>
          <w:b/>
          <w:i w:val="0"/>
          <w:color w:val="302C73"/>
          <w:sz w:val="34"/>
        </w:rPr>
        <w:t>Resumen ejecutivo y métricas</w:t>
      </w:r>
    </w:p>
    <w:p>
      <w:pPr>
        <w:keepLines/>
        <w:widowControl/>
        <w:spacing w:before="0" w:after="140" w:line="259" w:lineRule="auto"/>
      </w:pPr>
      <w:r>
        <w:rPr>
          <w:rFonts w:ascii="Aptos" w:hAnsi="Aptos" w:eastAsia="Aptos"/>
          <w:b w:val="0"/>
          <w:i/>
          <w:color w:val="62677A"/>
          <w:sz w:val="17"/>
        </w:rPr>
        <w:t>La portada convierte el reporte en un cuadro de mando por producto.</w:t>
      </w:r>
    </w:p>
    <w:p>
      <w:pPr>
        <w:keepLines/>
        <w:widowControl/>
        <w:spacing w:before="0" w:after="80" w:line="259" w:lineRule="auto"/>
      </w:pPr>
      <w:r>
        <w:rPr>
          <w:rFonts w:ascii="Aptos" w:hAnsi="Aptos" w:eastAsia="Aptos"/>
          <w:b/>
          <w:i w:val="0"/>
          <w:color w:val="302C73"/>
          <w:sz w:val="22"/>
        </w:rPr>
        <w:t>Portada ejecutiva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888AA0"/>
          <w:left w:val="single" w:sz="6" w:space="0" w:color="888AA0"/>
          <w:bottom w:val="single" w:sz="6" w:space="0" w:color="888AA0"/>
          <w:right w:val="single" w:sz="6" w:space="0" w:color="888AA0"/>
          <w:insideH w:val="single" w:sz="6" w:space="0" w:color="888AA0"/>
          <w:insideV w:val="single" w:sz="6" w:space="0" w:color="888AA0"/>
        </w:tblBorders>
      </w:tblPr>
      <w:tblGrid>
        <w:gridCol w:w="3240"/>
        <w:gridCol w:w="3240"/>
        <w:gridCol w:w="3240"/>
      </w:tblGrid>
      <w:tr>
        <w:trPr>
          <w:tblHeader w:val="true"/>
          <w:cantSplit/>
        </w:trPr>
        <w:tc>
          <w:tcPr>
            <w:tcW w:type="dxa" w:w="2268"/>
            <w:shd w:fill="302C73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keepLines w:val="0"/>
              <w:widowControl/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Indicador</w:t>
            </w:r>
          </w:p>
        </w:tc>
        <w:tc>
          <w:tcPr>
            <w:tcW w:type="dxa" w:w="4252"/>
            <w:shd w:fill="302C73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keepLines w:val="0"/>
              <w:widowControl/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Definición</w:t>
            </w:r>
          </w:p>
        </w:tc>
        <w:tc>
          <w:tcPr>
            <w:tcW w:type="dxa" w:w="2665"/>
            <w:shd w:fill="302C73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keepLines w:val="0"/>
              <w:widowControl/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Comparación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EEEAFB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/>
                <w:i w:val="0"/>
                <w:color w:val="202334"/>
                <w:sz w:val="16"/>
              </w:rPr>
              <w:t>Tickets recibidos</w:t>
            </w:r>
          </w:p>
        </w:tc>
        <w:tc>
          <w:tcPr>
            <w:tcW w:type="dxa" w:w="42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6"/>
              </w:rPr>
              <w:t>Creados dentro del rango seleccionado.</w:t>
            </w:r>
          </w:p>
        </w:tc>
        <w:tc>
          <w:tcPr>
            <w:tcW w:type="dxa" w:w="266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6"/>
              </w:rPr>
              <w:t>Periodo anterior equivalente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EEEAFB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/>
                <w:i w:val="0"/>
                <w:color w:val="202334"/>
                <w:sz w:val="16"/>
              </w:rPr>
              <w:t>Tickets resueltos</w:t>
            </w:r>
          </w:p>
        </w:tc>
        <w:tc>
          <w:tcPr>
            <w:tcW w:type="dxa" w:w="42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7F6FC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6"/>
              </w:rPr>
              <w:t>Resueltos o cerrados dentro del rango.</w:t>
            </w:r>
          </w:p>
        </w:tc>
        <w:tc>
          <w:tcPr>
            <w:tcW w:type="dxa" w:w="266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7F6FC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6"/>
              </w:rPr>
              <w:t>Periodo anterior equivalente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EEEAFB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/>
                <w:i w:val="0"/>
                <w:color w:val="202334"/>
                <w:sz w:val="16"/>
              </w:rPr>
              <w:t>Pendientes al cierre</w:t>
            </w:r>
          </w:p>
        </w:tc>
        <w:tc>
          <w:tcPr>
            <w:tcW w:type="dxa" w:w="42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6"/>
              </w:rPr>
              <w:t>Abiertos o pendientes al final del rango.</w:t>
            </w:r>
          </w:p>
        </w:tc>
        <w:tc>
          <w:tcPr>
            <w:tcW w:type="dxa" w:w="266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6"/>
              </w:rPr>
              <w:t>Corte anterior equivalente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EEEAFB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/>
                <w:i w:val="0"/>
                <w:color w:val="202334"/>
                <w:sz w:val="16"/>
              </w:rPr>
              <w:t>Cumplimiento SLA</w:t>
            </w:r>
          </w:p>
        </w:tc>
        <w:tc>
          <w:tcPr>
            <w:tcW w:type="dxa" w:w="42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7F6FC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6"/>
              </w:rPr>
              <w:t>Tickets cumplidos netos sobre tickets medidos.</w:t>
            </w:r>
          </w:p>
        </w:tc>
        <w:tc>
          <w:tcPr>
            <w:tcW w:type="dxa" w:w="266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7F6FC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6"/>
              </w:rPr>
              <w:t>Periodo anterior equivalente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EEEAFB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/>
                <w:i w:val="0"/>
                <w:color w:val="202334"/>
                <w:sz w:val="16"/>
              </w:rPr>
              <w:t>Satisfacción</w:t>
            </w:r>
          </w:p>
        </w:tc>
        <w:tc>
          <w:tcPr>
            <w:tcW w:type="dxa" w:w="42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6"/>
              </w:rPr>
              <w:t>Valoraciones buenas sobre respuestas válidas.</w:t>
            </w:r>
          </w:p>
        </w:tc>
        <w:tc>
          <w:tcPr>
            <w:tcW w:type="dxa" w:w="266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6"/>
              </w:rPr>
              <w:t>Periodo anterior equivalente</w:t>
            </w:r>
          </w:p>
        </w:tc>
      </w:tr>
    </w:tbl>
    <w:p>
      <w:pPr>
        <w:spacing w:after="20"/>
      </w:pPr>
    </w:p>
    <w:p>
      <w:pPr>
        <w:keepLines w:val="0"/>
        <w:widowControl/>
        <w:spacing w:before="0" w:after="100" w:line="259" w:lineRule="auto"/>
      </w:pPr>
      <w:r>
        <w:rPr>
          <w:rFonts w:ascii="Aptos" w:hAnsi="Aptos" w:eastAsia="Aptos"/>
          <w:b w:val="0"/>
          <w:i w:val="0"/>
          <w:color w:val="202334"/>
          <w:sz w:val="18"/>
        </w:rPr>
        <w:t>La matriz muestra estos indicadores para los seis productos y para Sin clasificar, incluyendo flechas y deltas. La muestra CSAT aparece junto al porcentaje para evitar conclusiones con bases insuficientes.</w:t>
      </w:r>
    </w:p>
    <w:p>
      <w:pPr>
        <w:keepLines/>
        <w:widowControl/>
        <w:spacing w:before="100" w:after="80" w:line="259" w:lineRule="auto"/>
      </w:pPr>
      <w:r>
        <w:rPr>
          <w:rFonts w:ascii="Aptos" w:hAnsi="Aptos" w:eastAsia="Aptos"/>
          <w:b/>
          <w:i w:val="0"/>
          <w:color w:val="302C73"/>
          <w:sz w:val="22"/>
        </w:rPr>
        <w:t>Visualizaciones sustituidas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888AA0"/>
          <w:left w:val="single" w:sz="6" w:space="0" w:color="888AA0"/>
          <w:bottom w:val="single" w:sz="6" w:space="0" w:color="888AA0"/>
          <w:right w:val="single" w:sz="6" w:space="0" w:color="888AA0"/>
          <w:insideH w:val="single" w:sz="6" w:space="0" w:color="888AA0"/>
          <w:insideV w:val="single" w:sz="6" w:space="0" w:color="888AA0"/>
        </w:tblBorders>
      </w:tblPr>
      <w:tblGrid>
        <w:gridCol w:w="3240"/>
        <w:gridCol w:w="3240"/>
        <w:gridCol w:w="3240"/>
      </w:tblGrid>
      <w:tr>
        <w:trPr>
          <w:tblHeader w:val="true"/>
          <w:cantSplit/>
        </w:trPr>
        <w:tc>
          <w:tcPr>
            <w:tcW w:type="dxa" w:w="567"/>
            <w:shd w:fill="302C73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keepLines w:val="0"/>
              <w:widowControl/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891"/>
            <w:shd w:fill="302C73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keepLines w:val="0"/>
              <w:widowControl/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Visualización</w:t>
            </w:r>
          </w:p>
        </w:tc>
        <w:tc>
          <w:tcPr>
            <w:tcW w:type="dxa" w:w="5726"/>
            <w:shd w:fill="302C73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keepLines w:val="0"/>
              <w:widowControl/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Nueva lógica por producto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EEEAFB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/>
                <w:i w:val="0"/>
                <w:color w:val="202334"/>
                <w:sz w:val="16"/>
              </w:rPr>
              <w:t>1</w:t>
            </w:r>
          </w:p>
        </w:tc>
        <w:tc>
          <w:tcPr>
            <w:tcW w:type="dxa" w:w="289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6"/>
              </w:rPr>
              <w:t>Tickets recibidos</w:t>
            </w:r>
          </w:p>
        </w:tc>
        <w:tc>
          <w:tcPr>
            <w:tcW w:type="dxa" w:w="572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6"/>
              </w:rPr>
              <w:t>Volumen y proporción por producto.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EEEAFB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/>
                <w:i w:val="0"/>
                <w:color w:val="202334"/>
                <w:sz w:val="16"/>
              </w:rPr>
              <w:t>2</w:t>
            </w:r>
          </w:p>
        </w:tc>
        <w:tc>
          <w:tcPr>
            <w:tcW w:type="dxa" w:w="289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7F6FC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6"/>
              </w:rPr>
              <w:t>Demanda por fecha</w:t>
            </w:r>
          </w:p>
        </w:tc>
        <w:tc>
          <w:tcPr>
            <w:tcW w:type="dxa" w:w="572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7F6FC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6"/>
              </w:rPr>
              <w:t>Serie temporal con color estable por producto.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EEEAFB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/>
                <w:i w:val="0"/>
                <w:color w:val="202334"/>
                <w:sz w:val="16"/>
              </w:rPr>
              <w:t>3</w:t>
            </w:r>
          </w:p>
        </w:tc>
        <w:tc>
          <w:tcPr>
            <w:tcW w:type="dxa" w:w="289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6"/>
              </w:rPr>
              <w:t>Pendientes</w:t>
            </w:r>
          </w:p>
        </w:tc>
        <w:tc>
          <w:tcPr>
            <w:tcW w:type="dxa" w:w="572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6"/>
              </w:rPr>
              <w:t>Abiertos y pendientes por producto al cierre del rango.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EEEAFB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/>
                <w:i w:val="0"/>
                <w:color w:val="202334"/>
                <w:sz w:val="16"/>
              </w:rPr>
              <w:t>4</w:t>
            </w:r>
          </w:p>
        </w:tc>
        <w:tc>
          <w:tcPr>
            <w:tcW w:type="dxa" w:w="289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7F6FC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6"/>
              </w:rPr>
              <w:t>Backlog semanal</w:t>
            </w:r>
          </w:p>
        </w:tc>
        <w:tc>
          <w:tcPr>
            <w:tcW w:type="dxa" w:w="572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7F6FC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6"/>
              </w:rPr>
              <w:t>Evolución histórica de la cola por producto.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EEEAFB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/>
                <w:i w:val="0"/>
                <w:color w:val="202334"/>
                <w:sz w:val="16"/>
              </w:rPr>
              <w:t>5</w:t>
            </w:r>
          </w:p>
        </w:tc>
        <w:tc>
          <w:tcPr>
            <w:tcW w:type="dxa" w:w="289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6"/>
              </w:rPr>
              <w:t>Satisfacción</w:t>
            </w:r>
          </w:p>
        </w:tc>
        <w:tc>
          <w:tcPr>
            <w:tcW w:type="dxa" w:w="572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6"/>
              </w:rPr>
              <w:t>Buenas, malas y CSAT por producto.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EEEAFB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/>
                <w:i w:val="0"/>
                <w:color w:val="202334"/>
                <w:sz w:val="16"/>
              </w:rPr>
              <w:t>6</w:t>
            </w:r>
          </w:p>
        </w:tc>
        <w:tc>
          <w:tcPr>
            <w:tcW w:type="dxa" w:w="289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7F6FC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6"/>
              </w:rPr>
              <w:t>Objetivos SLA</w:t>
            </w:r>
          </w:p>
        </w:tc>
        <w:tc>
          <w:tcPr>
            <w:tcW w:type="dxa" w:w="572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7F6FC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6"/>
              </w:rPr>
              <w:t>Cumplidos e incumplidos por producto.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EEEAFB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/>
                <w:i w:val="0"/>
                <w:color w:val="202334"/>
                <w:sz w:val="16"/>
              </w:rPr>
              <w:t>7</w:t>
            </w:r>
          </w:p>
        </w:tc>
        <w:tc>
          <w:tcPr>
            <w:tcW w:type="dxa" w:w="289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6"/>
              </w:rPr>
              <w:t>Cuadro ejecutivo</w:t>
            </w:r>
          </w:p>
        </w:tc>
        <w:tc>
          <w:tcPr>
            <w:tcW w:type="dxa" w:w="572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6"/>
              </w:rPr>
              <w:t>Matriz transversal de volumen, cola, SLA y CSAT.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Lines/>
        <w:widowControl/>
        <w:spacing w:before="60" w:after="100" w:line="259" w:lineRule="auto"/>
        <w:pBdr>
          <w:bottom w:val="single" w:sz="8" w:space="5" w:color="302C73"/>
        </w:pBdr>
      </w:pPr>
      <w:r>
        <w:rPr>
          <w:rFonts w:ascii="Aptos" w:hAnsi="Aptos" w:eastAsia="Aptos"/>
          <w:b/>
          <w:i w:val="0"/>
          <w:color w:val="514AA5"/>
          <w:sz w:val="28"/>
        </w:rPr>
        <w:t xml:space="preserve">04  </w:t>
      </w:r>
      <w:r>
        <w:rPr>
          <w:rFonts w:ascii="Aptos" w:hAnsi="Aptos" w:eastAsia="Aptos"/>
          <w:b/>
          <w:i w:val="0"/>
          <w:color w:val="302C73"/>
          <w:sz w:val="34"/>
        </w:rPr>
        <w:t>Experiencia web y nomenclatura</w:t>
      </w:r>
    </w:p>
    <w:p>
      <w:pPr>
        <w:keepLines/>
        <w:widowControl/>
        <w:spacing w:before="0" w:after="140" w:line="259" w:lineRule="auto"/>
      </w:pPr>
      <w:r>
        <w:rPr>
          <w:rFonts w:ascii="Aptos" w:hAnsi="Aptos" w:eastAsia="Aptos"/>
          <w:b w:val="0"/>
          <w:i/>
          <w:color w:val="62677A"/>
          <w:sz w:val="17"/>
        </w:rPr>
        <w:t>Lectura rápida, consistente y explicable sin formación previa.</w:t>
      </w:r>
    </w:p>
    <w:p>
      <w:pPr>
        <w:keepLines/>
        <w:widowControl/>
        <w:spacing w:before="0" w:after="60" w:line="259" w:lineRule="auto"/>
      </w:pPr>
      <w:r>
        <w:rPr>
          <w:rFonts w:ascii="Aptos" w:hAnsi="Aptos" w:eastAsia="Aptos"/>
          <w:b/>
          <w:i w:val="0"/>
          <w:color w:val="302C73"/>
          <w:sz w:val="22"/>
        </w:rPr>
        <w:t>Organización</w:t>
      </w:r>
    </w:p>
    <w:p>
      <w:pPr>
        <w:keepLines w:val="0"/>
        <w:widowControl/>
        <w:spacing w:before="0" w:after="60" w:line="250" w:lineRule="auto"/>
        <w:ind w:left="312" w:hanging="198"/>
      </w:pPr>
      <w:r>
        <w:rPr>
          <w:rFonts w:ascii="Aptos" w:hAnsi="Aptos" w:eastAsia="Aptos"/>
          <w:b/>
          <w:i w:val="0"/>
          <w:color w:val="514AA5"/>
          <w:sz w:val="18"/>
        </w:rPr>
        <w:t xml:space="preserve">•  </w:t>
      </w:r>
      <w:r>
        <w:rPr>
          <w:rFonts w:ascii="Aptos" w:hAnsi="Aptos" w:eastAsia="Aptos"/>
          <w:b w:val="0"/>
          <w:i w:val="0"/>
          <w:color w:val="202334"/>
          <w:sz w:val="18"/>
        </w:rPr>
        <w:t>Primera pestaña: Resumen ejecutivo; después Demanda, Eficiencia del servicio, Rendimiento del equipo, Interacciones del equipo, Pendientes, Backlog, Experiencia del cliente y SLA.</w:t>
      </w:r>
    </w:p>
    <w:p>
      <w:pPr>
        <w:keepLines w:val="0"/>
        <w:widowControl/>
        <w:spacing w:before="0" w:after="60" w:line="250" w:lineRule="auto"/>
        <w:ind w:left="312" w:hanging="198"/>
      </w:pPr>
      <w:r>
        <w:rPr>
          <w:rFonts w:ascii="Aptos" w:hAnsi="Aptos" w:eastAsia="Aptos"/>
          <w:b/>
          <w:i w:val="0"/>
          <w:color w:val="514AA5"/>
          <w:sz w:val="18"/>
        </w:rPr>
        <w:t xml:space="preserve">•  </w:t>
      </w:r>
      <w:r>
        <w:rPr>
          <w:rFonts w:ascii="Aptos" w:hAnsi="Aptos" w:eastAsia="Aptos"/>
          <w:b w:val="0"/>
          <w:i w:val="0"/>
          <w:color w:val="202334"/>
          <w:sz w:val="18"/>
        </w:rPr>
        <w:t>Producto / servicio es el primer filtro. No existen filtros de Empresa ni del servicio operativo en reporting.</w:t>
      </w:r>
    </w:p>
    <w:p>
      <w:pPr>
        <w:keepLines w:val="0"/>
        <w:widowControl/>
        <w:spacing w:before="0" w:after="60" w:line="250" w:lineRule="auto"/>
        <w:ind w:left="312" w:hanging="198"/>
      </w:pPr>
      <w:r>
        <w:rPr>
          <w:rFonts w:ascii="Aptos" w:hAnsi="Aptos" w:eastAsia="Aptos"/>
          <w:b/>
          <w:i w:val="0"/>
          <w:color w:val="514AA5"/>
          <w:sz w:val="18"/>
        </w:rPr>
        <w:t xml:space="preserve">•  </w:t>
      </w:r>
      <w:r>
        <w:rPr>
          <w:rFonts w:ascii="Aptos" w:hAnsi="Aptos" w:eastAsia="Aptos"/>
          <w:b w:val="0"/>
          <w:i w:val="0"/>
          <w:color w:val="202334"/>
          <w:sz w:val="18"/>
        </w:rPr>
        <w:t>Una banda estable de productos mantiene orden, icono y color en todas las pestañas.</w:t>
      </w:r>
    </w:p>
    <w:p>
      <w:pPr>
        <w:keepLines w:val="0"/>
        <w:widowControl/>
        <w:spacing w:before="0" w:after="60" w:line="250" w:lineRule="auto"/>
        <w:ind w:left="312" w:hanging="198"/>
      </w:pPr>
      <w:r>
        <w:rPr>
          <w:rFonts w:ascii="Aptos" w:hAnsi="Aptos" w:eastAsia="Aptos"/>
          <w:b/>
          <w:i w:val="0"/>
          <w:color w:val="514AA5"/>
          <w:sz w:val="18"/>
        </w:rPr>
        <w:t xml:space="preserve">•  </w:t>
      </w:r>
      <w:r>
        <w:rPr>
          <w:rFonts w:ascii="Aptos" w:hAnsi="Aptos" w:eastAsia="Aptos"/>
          <w:b w:val="0"/>
          <w:i w:val="0"/>
          <w:color w:val="202334"/>
          <w:sz w:val="18"/>
        </w:rPr>
        <w:t>Los títulos de gráficos y tablas incluyen ayuda breve al pasar el cursor o recibir foco de teclado.</w:t>
      </w:r>
    </w:p>
    <w:p>
      <w:pPr>
        <w:keepLines w:val="0"/>
        <w:widowControl/>
        <w:spacing w:before="0" w:after="60" w:line="250" w:lineRule="auto"/>
        <w:ind w:left="312" w:hanging="198"/>
      </w:pPr>
      <w:r>
        <w:rPr>
          <w:rFonts w:ascii="Aptos" w:hAnsi="Aptos" w:eastAsia="Aptos"/>
          <w:b/>
          <w:i w:val="0"/>
          <w:color w:val="514AA5"/>
          <w:sz w:val="18"/>
        </w:rPr>
        <w:t xml:space="preserve">•  </w:t>
      </w:r>
      <w:r>
        <w:rPr>
          <w:rFonts w:ascii="Aptos" w:hAnsi="Aptos" w:eastAsia="Aptos"/>
          <w:b w:val="0"/>
          <w:i w:val="0"/>
          <w:color w:val="202334"/>
          <w:sz w:val="18"/>
        </w:rPr>
        <w:t>Las tablas conservan desplazamiento horizontal y espacio inferior suficiente para no quedar cortadas al ampliar la ventana.</w:t>
      </w:r>
    </w:p>
    <w:p>
      <w:pPr>
        <w:keepLines/>
        <w:widowControl/>
        <w:spacing w:before="120" w:after="80" w:line="259" w:lineRule="auto"/>
      </w:pPr>
      <w:r>
        <w:rPr>
          <w:rFonts w:ascii="Aptos" w:hAnsi="Aptos" w:eastAsia="Aptos"/>
          <w:b/>
          <w:i w:val="0"/>
          <w:color w:val="302C73"/>
          <w:sz w:val="22"/>
        </w:rPr>
        <w:t>Nombres orientados a negocio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888AA0"/>
          <w:left w:val="single" w:sz="6" w:space="0" w:color="888AA0"/>
          <w:bottom w:val="single" w:sz="6" w:space="0" w:color="888AA0"/>
          <w:right w:val="single" w:sz="6" w:space="0" w:color="888AA0"/>
          <w:insideH w:val="single" w:sz="6" w:space="0" w:color="888AA0"/>
          <w:insideV w:val="single" w:sz="6" w:space="0" w:color="888AA0"/>
        </w:tblBorders>
      </w:tblPr>
      <w:tblGrid>
        <w:gridCol w:w="4860"/>
        <w:gridCol w:w="4860"/>
      </w:tblGrid>
      <w:tr>
        <w:trPr>
          <w:tblHeader w:val="true"/>
          <w:cantSplit/>
        </w:trPr>
        <w:tc>
          <w:tcPr>
            <w:tcW w:type="dxa" w:w="3969"/>
            <w:shd w:fill="302C73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keepLines w:val="0"/>
              <w:widowControl/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Nombre técnico previo</w:t>
            </w:r>
          </w:p>
        </w:tc>
        <w:tc>
          <w:tcPr>
            <w:tcW w:type="dxa" w:w="5216"/>
            <w:shd w:fill="302C73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keepLines w:val="0"/>
              <w:widowControl/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Nombre mostrado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EEEAFB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/>
                <w:i w:val="0"/>
                <w:color w:val="202334"/>
                <w:sz w:val="17"/>
              </w:rPr>
              <w:t>Actividad del asignado</w:t>
            </w:r>
          </w:p>
        </w:tc>
        <w:tc>
          <w:tcPr>
            <w:tcW w:type="dxa" w:w="521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7"/>
              </w:rPr>
              <w:t>Rendimiento del equipo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EEEAFB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/>
                <w:i w:val="0"/>
                <w:color w:val="202334"/>
                <w:sz w:val="17"/>
              </w:rPr>
              <w:t>Actualizaciones</w:t>
            </w:r>
          </w:p>
        </w:tc>
        <w:tc>
          <w:tcPr>
            <w:tcW w:type="dxa" w:w="521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7F6FC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7"/>
              </w:rPr>
              <w:t>Interacciones del equipo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EEEAFB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/>
                <w:i w:val="0"/>
                <w:color w:val="202334"/>
                <w:sz w:val="17"/>
              </w:rPr>
              <w:t>No resueltos</w:t>
            </w:r>
          </w:p>
        </w:tc>
        <w:tc>
          <w:tcPr>
            <w:tcW w:type="dxa" w:w="521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7"/>
              </w:rPr>
              <w:t>Pendientes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EEEAFB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/>
                <w:i w:val="0"/>
                <w:color w:val="202334"/>
                <w:sz w:val="17"/>
              </w:rPr>
              <w:t>Satisfacción</w:t>
            </w:r>
          </w:p>
        </w:tc>
        <w:tc>
          <w:tcPr>
            <w:tcW w:type="dxa" w:w="521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7F6FC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7"/>
              </w:rPr>
              <w:t>Experiencia del cliente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EEEAFB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/>
                <w:i w:val="0"/>
                <w:color w:val="202334"/>
                <w:sz w:val="17"/>
              </w:rPr>
              <w:t>Estaciones de grupo</w:t>
            </w:r>
          </w:p>
        </w:tc>
        <w:tc>
          <w:tcPr>
            <w:tcW w:type="dxa" w:w="521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7"/>
              </w:rPr>
              <w:t>Transferencias entre grupos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EEEAFB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/>
                <w:i w:val="0"/>
                <w:color w:val="202334"/>
                <w:sz w:val="17"/>
              </w:rPr>
              <w:t>One-touch / Two-touch</w:t>
            </w:r>
          </w:p>
        </w:tc>
        <w:tc>
          <w:tcPr>
            <w:tcW w:type="dxa" w:w="521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7F6FC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7"/>
              </w:rPr>
              <w:t>Resueltos con una / dos respuestas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21"/>
      </w:tblGrid>
      <w:tr>
        <w:tc>
          <w:tcPr>
            <w:tcW w:type="dxa" w:w="9721"/>
            <w:shd w:fill="F3F1FB"/>
            <w:tcMar>
              <w:top w:w="120" w:type="dxa"/>
              <w:start w:w="145" w:type="dxa"/>
              <w:bottom w:w="120" w:type="dxa"/>
              <w:end w:w="145" w:type="dxa"/>
            </w:tcMar>
          </w:tcPr>
          <w:p>
            <w:pPr>
              <w:keepLines w:val="0"/>
              <w:widowControl/>
              <w:spacing w:before="0" w:after="40" w:line="245" w:lineRule="auto"/>
            </w:pPr>
            <w:r>
              <w:rPr>
                <w:rFonts w:ascii="Aptos" w:hAnsi="Aptos" w:eastAsia="Aptos"/>
                <w:b/>
                <w:i w:val="0"/>
                <w:color w:val="302C73"/>
                <w:sz w:val="18"/>
              </w:rPr>
              <w:t>Firma visual</w:t>
            </w:r>
          </w:p>
          <w:p>
            <w:pPr>
              <w:keepLines w:val="0"/>
              <w:widowControl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7"/>
              </w:rPr>
              <w:t>El color pertenece al producto, no a la pestaña. Recordia conserva azul, Speech Analytics turquesa, Identia violeta, eComFax naranja, Agentia365 verde y Otros servicios gris.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Lines/>
        <w:widowControl/>
        <w:spacing w:before="60" w:after="100" w:line="259" w:lineRule="auto"/>
        <w:pBdr>
          <w:bottom w:val="single" w:sz="8" w:space="5" w:color="302C73"/>
        </w:pBdr>
      </w:pPr>
      <w:r>
        <w:rPr>
          <w:rFonts w:ascii="Aptos" w:hAnsi="Aptos" w:eastAsia="Aptos"/>
          <w:b/>
          <w:i w:val="0"/>
          <w:color w:val="514AA5"/>
          <w:sz w:val="28"/>
        </w:rPr>
        <w:t xml:space="preserve">05  </w:t>
      </w:r>
      <w:r>
        <w:rPr>
          <w:rFonts w:ascii="Aptos" w:hAnsi="Aptos" w:eastAsia="Aptos"/>
          <w:b/>
          <w:i w:val="0"/>
          <w:color w:val="302C73"/>
          <w:sz w:val="34"/>
        </w:rPr>
        <w:t>Exportación PDF y cobertura temporal</w:t>
      </w:r>
    </w:p>
    <w:p>
      <w:pPr>
        <w:keepLines/>
        <w:widowControl/>
        <w:spacing w:before="0" w:after="140" w:line="259" w:lineRule="auto"/>
      </w:pPr>
      <w:r>
        <w:rPr>
          <w:rFonts w:ascii="Aptos" w:hAnsi="Aptos" w:eastAsia="Aptos"/>
          <w:b w:val="0"/>
          <w:i/>
          <w:color w:val="62677A"/>
          <w:sz w:val="17"/>
        </w:rPr>
        <w:t>El PDF comunica lo mismo que la web sin depender de hovers.</w:t>
      </w:r>
    </w:p>
    <w:p>
      <w:pPr>
        <w:keepLines/>
        <w:widowControl/>
        <w:spacing w:before="0" w:after="60" w:line="259" w:lineRule="auto"/>
      </w:pPr>
      <w:r>
        <w:rPr>
          <w:rFonts w:ascii="Aptos" w:hAnsi="Aptos" w:eastAsia="Aptos"/>
          <w:b/>
          <w:i w:val="0"/>
          <w:color w:val="302C73"/>
          <w:sz w:val="22"/>
        </w:rPr>
        <w:t>Comportamiento de la exportación</w:t>
      </w:r>
    </w:p>
    <w:p>
      <w:pPr>
        <w:keepLines w:val="0"/>
        <w:widowControl/>
        <w:spacing w:before="0" w:after="60" w:line="250" w:lineRule="auto"/>
        <w:ind w:left="312" w:hanging="198"/>
      </w:pPr>
      <w:r>
        <w:rPr>
          <w:rFonts w:ascii="Aptos" w:hAnsi="Aptos" w:eastAsia="Aptos"/>
          <w:b/>
          <w:i w:val="0"/>
          <w:color w:val="514AA5"/>
          <w:sz w:val="18"/>
        </w:rPr>
        <w:t xml:space="preserve">•  </w:t>
      </w:r>
      <w:r>
        <w:rPr>
          <w:rFonts w:ascii="Aptos" w:hAnsi="Aptos" w:eastAsia="Aptos"/>
          <w:b w:val="0"/>
          <w:i w:val="0"/>
          <w:color w:val="202334"/>
          <w:sz w:val="18"/>
        </w:rPr>
        <w:t>Fondo blanco forzado en página, paneles, tablas y lienzos aunque la aplicación esté en modo oscuro.</w:t>
      </w:r>
    </w:p>
    <w:p>
      <w:pPr>
        <w:keepLines w:val="0"/>
        <w:widowControl/>
        <w:spacing w:before="0" w:after="60" w:line="250" w:lineRule="auto"/>
        <w:ind w:left="312" w:hanging="198"/>
      </w:pPr>
      <w:r>
        <w:rPr>
          <w:rFonts w:ascii="Aptos" w:hAnsi="Aptos" w:eastAsia="Aptos"/>
          <w:b/>
          <w:i w:val="0"/>
          <w:color w:val="514AA5"/>
          <w:sz w:val="18"/>
        </w:rPr>
        <w:t xml:space="preserve">•  </w:t>
      </w:r>
      <w:r>
        <w:rPr>
          <w:rFonts w:ascii="Aptos" w:hAnsi="Aptos" w:eastAsia="Aptos"/>
          <w:b w:val="0"/>
          <w:i w:val="0"/>
          <w:color w:val="202334"/>
          <w:sz w:val="18"/>
        </w:rPr>
        <w:t>Valores impresos sobre las barras y leyendas de donut ampliadas con cantidad y porcentaje.</w:t>
      </w:r>
    </w:p>
    <w:p>
      <w:pPr>
        <w:keepLines w:val="0"/>
        <w:widowControl/>
        <w:spacing w:before="0" w:after="60" w:line="250" w:lineRule="auto"/>
        <w:ind w:left="312" w:hanging="198"/>
      </w:pPr>
      <w:r>
        <w:rPr>
          <w:rFonts w:ascii="Aptos" w:hAnsi="Aptos" w:eastAsia="Aptos"/>
          <w:b/>
          <w:i w:val="0"/>
          <w:color w:val="514AA5"/>
          <w:sz w:val="18"/>
        </w:rPr>
        <w:t xml:space="preserve">•  </w:t>
      </w:r>
      <w:r>
        <w:rPr>
          <w:rFonts w:ascii="Aptos" w:hAnsi="Aptos" w:eastAsia="Aptos"/>
          <w:b w:val="0"/>
          <w:i w:val="0"/>
          <w:color w:val="202334"/>
          <w:sz w:val="18"/>
        </w:rPr>
        <w:t>Resumen ejecutivo como primera página, con matriz de producto y deltas visibles.</w:t>
      </w:r>
    </w:p>
    <w:p>
      <w:pPr>
        <w:keepLines w:val="0"/>
        <w:widowControl/>
        <w:spacing w:before="0" w:after="60" w:line="250" w:lineRule="auto"/>
        <w:ind w:left="312" w:hanging="198"/>
      </w:pPr>
      <w:r>
        <w:rPr>
          <w:rFonts w:ascii="Aptos" w:hAnsi="Aptos" w:eastAsia="Aptos"/>
          <w:b/>
          <w:i w:val="0"/>
          <w:color w:val="514AA5"/>
          <w:sz w:val="18"/>
        </w:rPr>
        <w:t xml:space="preserve">•  </w:t>
      </w:r>
      <w:r>
        <w:rPr>
          <w:rFonts w:ascii="Aptos" w:hAnsi="Aptos" w:eastAsia="Aptos"/>
          <w:b w:val="0"/>
          <w:i w:val="0"/>
          <w:color w:val="202334"/>
          <w:sz w:val="18"/>
        </w:rPr>
        <w:t>Tablas cortas integradas bajo los gráficos de su zona; solo las filas restantes crean páginas de continuación.</w:t>
      </w:r>
    </w:p>
    <w:p>
      <w:pPr>
        <w:keepLines w:val="0"/>
        <w:widowControl/>
        <w:spacing w:before="0" w:after="60" w:line="250" w:lineRule="auto"/>
        <w:ind w:left="312" w:hanging="198"/>
      </w:pPr>
      <w:r>
        <w:rPr>
          <w:rFonts w:ascii="Aptos" w:hAnsi="Aptos" w:eastAsia="Aptos"/>
          <w:b/>
          <w:i w:val="0"/>
          <w:color w:val="514AA5"/>
          <w:sz w:val="18"/>
        </w:rPr>
        <w:t xml:space="preserve">•  </w:t>
      </w:r>
      <w:r>
        <w:rPr>
          <w:rFonts w:ascii="Aptos" w:hAnsi="Aptos" w:eastAsia="Aptos"/>
          <w:b w:val="0"/>
          <w:i w:val="0"/>
          <w:color w:val="202334"/>
          <w:sz w:val="18"/>
        </w:rPr>
        <w:t>Cada página incorpora una lectura breve del cambio frente al periodo anterior.</w:t>
      </w:r>
    </w:p>
    <w:p>
      <w:pPr>
        <w:keepLines w:val="0"/>
        <w:widowControl/>
        <w:spacing w:before="0" w:after="60" w:line="250" w:lineRule="auto"/>
        <w:ind w:left="312" w:hanging="198"/>
      </w:pPr>
      <w:r>
        <w:rPr>
          <w:rFonts w:ascii="Aptos" w:hAnsi="Aptos" w:eastAsia="Aptos"/>
          <w:b/>
          <w:i w:val="0"/>
          <w:color w:val="514AA5"/>
          <w:sz w:val="18"/>
        </w:rPr>
        <w:t xml:space="preserve">•  </w:t>
      </w:r>
      <w:r>
        <w:rPr>
          <w:rFonts w:ascii="Aptos" w:hAnsi="Aptos" w:eastAsia="Aptos"/>
          <w:b w:val="0"/>
          <w:i w:val="0"/>
          <w:color w:val="202334"/>
          <w:sz w:val="18"/>
        </w:rPr>
        <w:t>Pie con numeración, rango seleccionado y generación en paleta clara.</w:t>
      </w:r>
    </w:p>
    <w:p>
      <w:pPr>
        <w:keepLines/>
        <w:widowControl/>
        <w:spacing w:before="120" w:after="80" w:line="259" w:lineRule="auto"/>
      </w:pPr>
      <w:r>
        <w:rPr>
          <w:rFonts w:ascii="Aptos" w:hAnsi="Aptos" w:eastAsia="Aptos"/>
          <w:b/>
          <w:i w:val="0"/>
          <w:color w:val="302C73"/>
          <w:sz w:val="22"/>
        </w:rPr>
        <w:t>Reglas temporales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888AA0"/>
          <w:left w:val="single" w:sz="6" w:space="0" w:color="888AA0"/>
          <w:bottom w:val="single" w:sz="6" w:space="0" w:color="888AA0"/>
          <w:right w:val="single" w:sz="6" w:space="0" w:color="888AA0"/>
          <w:insideH w:val="single" w:sz="6" w:space="0" w:color="888AA0"/>
          <w:insideV w:val="single" w:sz="6" w:space="0" w:color="888AA0"/>
        </w:tblBorders>
      </w:tblPr>
      <w:tblGrid>
        <w:gridCol w:w="4860"/>
        <w:gridCol w:w="4860"/>
      </w:tblGrid>
      <w:tr>
        <w:trPr>
          <w:tblHeader w:val="true"/>
          <w:cantSplit/>
        </w:trPr>
        <w:tc>
          <w:tcPr>
            <w:tcW w:type="dxa" w:w="3005"/>
            <w:shd w:fill="302C73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keepLines w:val="0"/>
              <w:widowControl/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Serie</w:t>
            </w:r>
          </w:p>
        </w:tc>
        <w:tc>
          <w:tcPr>
            <w:tcW w:type="dxa" w:w="6180"/>
            <w:shd w:fill="302C73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keepLines w:val="0"/>
              <w:widowControl/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Cobertura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EEEAFB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/>
                <w:i w:val="0"/>
                <w:color w:val="202334"/>
                <w:sz w:val="17"/>
              </w:rPr>
              <w:t>Demanda diaria</w:t>
            </w:r>
          </w:p>
        </w:tc>
        <w:tc>
          <w:tcPr>
            <w:tcW w:type="dxa" w:w="61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7"/>
              </w:rPr>
              <w:t>Desde–hasta seleccionado.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EEEAFB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/>
                <w:i w:val="0"/>
                <w:color w:val="202334"/>
                <w:sz w:val="17"/>
              </w:rPr>
              <w:t>Comparativa mensual</w:t>
            </w:r>
          </w:p>
        </w:tc>
        <w:tc>
          <w:tcPr>
            <w:tcW w:type="dxa" w:w="61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7F6FC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7"/>
              </w:rPr>
              <w:t>Anclada al mes del final del rango; excluye el mes incompleto.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EEEAFB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/>
                <w:i w:val="0"/>
                <w:color w:val="202334"/>
                <w:sz w:val="17"/>
              </w:rPr>
              <w:t>Pendientes</w:t>
            </w:r>
          </w:p>
        </w:tc>
        <w:tc>
          <w:tcPr>
            <w:tcW w:type="dxa" w:w="61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7"/>
              </w:rPr>
              <w:t>Foto reconstruida al final del rango.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EEEAFB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/>
                <w:i w:val="0"/>
                <w:color w:val="202334"/>
                <w:sz w:val="17"/>
              </w:rPr>
              <w:t>Backlog diario</w:t>
            </w:r>
          </w:p>
        </w:tc>
        <w:tc>
          <w:tcPr>
            <w:tcW w:type="dxa" w:w="61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7F6FC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7"/>
              </w:rPr>
              <w:t>30 cortes terminando en la fecha Hasta.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EEEAFB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/>
                <w:i w:val="0"/>
                <w:color w:val="202334"/>
                <w:sz w:val="17"/>
              </w:rPr>
              <w:t>Backlog semanal</w:t>
            </w:r>
          </w:p>
        </w:tc>
        <w:tc>
          <w:tcPr>
            <w:tcW w:type="dxa" w:w="61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7"/>
              </w:rPr>
              <w:t>12 cortes terminando en la fecha Hasta.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EEEAFB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/>
                <w:i w:val="0"/>
                <w:color w:val="202334"/>
                <w:sz w:val="17"/>
              </w:rPr>
              <w:t>Satisfacción mensual</w:t>
            </w:r>
          </w:p>
        </w:tc>
        <w:tc>
          <w:tcPr>
            <w:tcW w:type="dxa" w:w="61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7F6FC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7"/>
              </w:rPr>
              <w:t>Ventana histórica terminando en la fecha Hasta.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EEEAFB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/>
                <w:i w:val="0"/>
                <w:color w:val="202334"/>
                <w:sz w:val="17"/>
              </w:rPr>
              <w:t>SLA mensual</w:t>
            </w:r>
          </w:p>
        </w:tc>
        <w:tc>
          <w:tcPr>
            <w:tcW w:type="dxa" w:w="61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7"/>
              </w:rPr>
              <w:t>Sin eventos posteriores a la fecha Hasta.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21"/>
      </w:tblGrid>
      <w:tr>
        <w:tc>
          <w:tcPr>
            <w:tcW w:type="dxa" w:w="9721"/>
            <w:shd w:fill="F3F1FB"/>
            <w:tcMar>
              <w:top w:w="120" w:type="dxa"/>
              <w:start w:w="145" w:type="dxa"/>
              <w:bottom w:w="120" w:type="dxa"/>
              <w:end w:w="145" w:type="dxa"/>
            </w:tcMar>
          </w:tcPr>
          <w:p>
            <w:pPr>
              <w:keepLines w:val="0"/>
              <w:widowControl/>
              <w:spacing w:before="0" w:after="40" w:line="245" w:lineRule="auto"/>
            </w:pPr>
            <w:r>
              <w:rPr>
                <w:rFonts w:ascii="Aptos" w:hAnsi="Aptos" w:eastAsia="Aptos"/>
                <w:b/>
                <w:i w:val="0"/>
                <w:color w:val="302C73"/>
                <w:sz w:val="18"/>
              </w:rPr>
              <w:t>Criterio de aceptación temporal</w:t>
            </w:r>
          </w:p>
          <w:p>
            <w:pPr>
              <w:keepLines w:val="0"/>
              <w:widowControl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7"/>
              </w:rPr>
              <w:t>Cambiar el campo Hasta debe cambiar también el último punto de backlog, satisfacción y SLA. Ninguna serie puede anclarse silenciosamente a la fecha actual.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Lines/>
        <w:widowControl/>
        <w:spacing w:before="60" w:after="100" w:line="259" w:lineRule="auto"/>
        <w:pBdr>
          <w:bottom w:val="single" w:sz="8" w:space="5" w:color="302C73"/>
        </w:pBdr>
      </w:pPr>
      <w:r>
        <w:rPr>
          <w:rFonts w:ascii="Aptos" w:hAnsi="Aptos" w:eastAsia="Aptos"/>
          <w:b/>
          <w:i w:val="0"/>
          <w:color w:val="514AA5"/>
          <w:sz w:val="28"/>
        </w:rPr>
        <w:t xml:space="preserve">06  </w:t>
      </w:r>
      <w:r>
        <w:rPr>
          <w:rFonts w:ascii="Aptos" w:hAnsi="Aptos" w:eastAsia="Aptos"/>
          <w:b/>
          <w:i w:val="0"/>
          <w:color w:val="302C73"/>
          <w:sz w:val="34"/>
        </w:rPr>
        <w:t>Pruebas y criterios de aceptación</w:t>
      </w:r>
    </w:p>
    <w:p>
      <w:pPr>
        <w:keepLines/>
        <w:widowControl/>
        <w:spacing w:before="0" w:after="140" w:line="259" w:lineRule="auto"/>
      </w:pPr>
      <w:r>
        <w:rPr>
          <w:rFonts w:ascii="Aptos" w:hAnsi="Aptos" w:eastAsia="Aptos"/>
          <w:b w:val="0"/>
          <w:i/>
          <w:color w:val="62677A"/>
          <w:sz w:val="17"/>
        </w:rPr>
        <w:t>La implantación se considera completa solo con validación funcional y de regresión.</w:t>
      </w:r>
    </w:p>
    <w:p>
      <w:pPr>
        <w:keepLines/>
        <w:widowControl/>
        <w:spacing w:before="0" w:after="80" w:line="259" w:lineRule="auto"/>
      </w:pPr>
      <w:r>
        <w:rPr>
          <w:rFonts w:ascii="Aptos" w:hAnsi="Aptos" w:eastAsia="Aptos"/>
          <w:b/>
          <w:i w:val="0"/>
          <w:color w:val="302C73"/>
          <w:sz w:val="22"/>
        </w:rPr>
        <w:t>Cobertura automatizada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888AA0"/>
          <w:left w:val="single" w:sz="6" w:space="0" w:color="888AA0"/>
          <w:bottom w:val="single" w:sz="6" w:space="0" w:color="888AA0"/>
          <w:right w:val="single" w:sz="6" w:space="0" w:color="888AA0"/>
          <w:insideH w:val="single" w:sz="6" w:space="0" w:color="888AA0"/>
          <w:insideV w:val="single" w:sz="6" w:space="0" w:color="888AA0"/>
        </w:tblBorders>
      </w:tblPr>
      <w:tblGrid>
        <w:gridCol w:w="4860"/>
        <w:gridCol w:w="4860"/>
      </w:tblGrid>
      <w:tr>
        <w:trPr>
          <w:tblHeader w:val="true"/>
          <w:cantSplit/>
        </w:trPr>
        <w:tc>
          <w:tcPr>
            <w:tcW w:type="dxa" w:w="2268"/>
            <w:shd w:fill="302C73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keepLines w:val="0"/>
              <w:widowControl/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Área</w:t>
            </w:r>
          </w:p>
        </w:tc>
        <w:tc>
          <w:tcPr>
            <w:tcW w:type="dxa" w:w="6917"/>
            <w:shd w:fill="302C73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keepLines w:val="0"/>
              <w:widowControl/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Comprobación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EEEAFB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/>
                <w:i w:val="0"/>
                <w:color w:val="202334"/>
                <w:sz w:val="16"/>
              </w:rPr>
              <w:t>Modelo</w:t>
            </w:r>
          </w:p>
        </w:tc>
        <w:tc>
          <w:tcPr>
            <w:tcW w:type="dxa" w:w="691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6"/>
              </w:rPr>
              <w:t>Catálogo sembrado, relación con ticket e índices de consulta.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EEEAFB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/>
                <w:i w:val="0"/>
                <w:color w:val="202334"/>
                <w:sz w:val="16"/>
              </w:rPr>
              <w:t>Creación</w:t>
            </w:r>
          </w:p>
        </w:tc>
        <w:tc>
          <w:tcPr>
            <w:tcW w:type="dxa" w:w="691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7F6FC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6"/>
              </w:rPr>
              <w:t>Producto obligatorio y rechazo de valores inactivos o inexistentes.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EEEAFB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/>
                <w:i w:val="0"/>
                <w:color w:val="202334"/>
                <w:sz w:val="16"/>
              </w:rPr>
              <w:t>Auditoría</w:t>
            </w:r>
          </w:p>
        </w:tc>
        <w:tc>
          <w:tcPr>
            <w:tcW w:type="dxa" w:w="691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6"/>
              </w:rPr>
              <w:t>Evento al cambiar de producto.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EEEAFB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/>
                <w:i w:val="0"/>
                <w:color w:val="202334"/>
                <w:sz w:val="16"/>
              </w:rPr>
              <w:t>Filtros</w:t>
            </w:r>
          </w:p>
        </w:tc>
        <w:tc>
          <w:tcPr>
            <w:tcW w:type="dxa" w:w="691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7F6FC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6"/>
              </w:rPr>
              <w:t>Producto limita todas las zonas y el CSV con la misma semántica.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EEEAFB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/>
                <w:i w:val="0"/>
                <w:color w:val="202334"/>
                <w:sz w:val="16"/>
              </w:rPr>
              <w:t>Métricas</w:t>
            </w:r>
          </w:p>
        </w:tc>
        <w:tc>
          <w:tcPr>
            <w:tcW w:type="dxa" w:w="691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6"/>
              </w:rPr>
              <w:t>Seis visualizaciones y matriz ejecutiva agrupadas por producto.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EEEAFB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/>
                <w:i w:val="0"/>
                <w:color w:val="202334"/>
                <w:sz w:val="16"/>
              </w:rPr>
              <w:t>Comparativas</w:t>
            </w:r>
          </w:p>
        </w:tc>
        <w:tc>
          <w:tcPr>
            <w:tcW w:type="dxa" w:w="691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7F6FC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6"/>
              </w:rPr>
              <w:t>Rango anterior equivalente en KPIs y matriz.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EEEAFB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/>
                <w:i w:val="0"/>
                <w:color w:val="202334"/>
                <w:sz w:val="16"/>
              </w:rPr>
              <w:t>Fechas</w:t>
            </w:r>
          </w:p>
        </w:tc>
        <w:tc>
          <w:tcPr>
            <w:tcW w:type="dxa" w:w="691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6"/>
              </w:rPr>
              <w:t>Backlog y series históricas terminan en la fecha Hasta.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EEEAFB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/>
                <w:i w:val="0"/>
                <w:color w:val="202334"/>
                <w:sz w:val="16"/>
              </w:rPr>
              <w:t>Interfaz</w:t>
            </w:r>
          </w:p>
        </w:tc>
        <w:tc>
          <w:tcPr>
            <w:tcW w:type="dxa" w:w="691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7F6FC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6"/>
              </w:rPr>
              <w:t>No aparece Empresa en reporting; sí Producto / servicio.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EEEAFB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/>
                <w:i w:val="0"/>
                <w:color w:val="202334"/>
                <w:sz w:val="16"/>
              </w:rPr>
              <w:t>Regresión</w:t>
            </w:r>
          </w:p>
        </w:tc>
        <w:tc>
          <w:tcPr>
            <w:tcW w:type="dxa" w:w="691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6"/>
              </w:rPr>
              <w:t>Suite completa de la aplicación sobre base de pruebas aislada.</w:t>
            </w:r>
          </w:p>
        </w:tc>
      </w:tr>
    </w:tbl>
    <w:p>
      <w:pPr>
        <w:spacing w:after="20"/>
      </w:pPr>
    </w:p>
    <w:p>
      <w:pPr>
        <w:keepLines/>
        <w:widowControl/>
        <w:spacing w:before="120" w:after="60" w:line="259" w:lineRule="auto"/>
      </w:pPr>
      <w:r>
        <w:rPr>
          <w:rFonts w:ascii="Aptos" w:hAnsi="Aptos" w:eastAsia="Aptos"/>
          <w:b/>
          <w:i w:val="0"/>
          <w:color w:val="302C73"/>
          <w:sz w:val="22"/>
        </w:rPr>
        <w:t>Validación visual requerida</w:t>
      </w:r>
    </w:p>
    <w:p>
      <w:pPr>
        <w:keepLines w:val="0"/>
        <w:widowControl/>
        <w:spacing w:before="0" w:after="60" w:line="250" w:lineRule="auto"/>
        <w:ind w:left="312" w:hanging="198"/>
      </w:pPr>
      <w:r>
        <w:rPr>
          <w:rFonts w:ascii="Aptos" w:hAnsi="Aptos" w:eastAsia="Aptos"/>
          <w:b/>
          <w:i w:val="0"/>
          <w:color w:val="514AA5"/>
          <w:sz w:val="18"/>
        </w:rPr>
        <w:t xml:space="preserve">•  </w:t>
      </w:r>
      <w:r>
        <w:rPr>
          <w:rFonts w:ascii="Aptos" w:hAnsi="Aptos" w:eastAsia="Aptos"/>
          <w:b w:val="0"/>
          <w:i w:val="0"/>
          <w:color w:val="202334"/>
          <w:sz w:val="18"/>
        </w:rPr>
        <w:t>Escritorio y móvil: filtros, pestañas, ayudas, scroll de tablas y ausencia de solapes.</w:t>
      </w:r>
    </w:p>
    <w:p>
      <w:pPr>
        <w:keepLines w:val="0"/>
        <w:widowControl/>
        <w:spacing w:before="0" w:after="60" w:line="250" w:lineRule="auto"/>
        <w:ind w:left="312" w:hanging="198"/>
      </w:pPr>
      <w:r>
        <w:rPr>
          <w:rFonts w:ascii="Aptos" w:hAnsi="Aptos" w:eastAsia="Aptos"/>
          <w:b/>
          <w:i w:val="0"/>
          <w:color w:val="514AA5"/>
          <w:sz w:val="18"/>
        </w:rPr>
        <w:t xml:space="preserve">•  </w:t>
      </w:r>
      <w:r>
        <w:rPr>
          <w:rFonts w:ascii="Aptos" w:hAnsi="Aptos" w:eastAsia="Aptos"/>
          <w:b w:val="0"/>
          <w:i w:val="0"/>
          <w:color w:val="202334"/>
          <w:sz w:val="18"/>
        </w:rPr>
        <w:t>Modo claro y oscuro: contraste, colores de producto y legibilidad de tablas.</w:t>
      </w:r>
    </w:p>
    <w:p>
      <w:pPr>
        <w:keepLines w:val="0"/>
        <w:widowControl/>
        <w:spacing w:before="0" w:after="60" w:line="250" w:lineRule="auto"/>
        <w:ind w:left="312" w:hanging="198"/>
      </w:pPr>
      <w:r>
        <w:rPr>
          <w:rFonts w:ascii="Aptos" w:hAnsi="Aptos" w:eastAsia="Aptos"/>
          <w:b/>
          <w:i w:val="0"/>
          <w:color w:val="514AA5"/>
          <w:sz w:val="18"/>
        </w:rPr>
        <w:t xml:space="preserve">•  </w:t>
      </w:r>
      <w:r>
        <w:rPr>
          <w:rFonts w:ascii="Aptos" w:hAnsi="Aptos" w:eastAsia="Aptos"/>
          <w:b w:val="0"/>
          <w:i w:val="0"/>
          <w:color w:val="202334"/>
          <w:sz w:val="18"/>
        </w:rPr>
        <w:t>PDF: inspección de todas las páginas, valores directos, fondo blanco, tablas completas y ausencia de páginas huérfanas.</w:t>
      </w:r>
    </w:p>
    <w:p>
      <w:pPr>
        <w:keepLines w:val="0"/>
        <w:widowControl/>
        <w:spacing w:before="0" w:after="60" w:line="250" w:lineRule="auto"/>
        <w:ind w:left="312" w:hanging="198"/>
      </w:pPr>
      <w:r>
        <w:rPr>
          <w:rFonts w:ascii="Aptos" w:hAnsi="Aptos" w:eastAsia="Aptos"/>
          <w:b/>
          <w:i w:val="0"/>
          <w:color w:val="514AA5"/>
          <w:sz w:val="18"/>
        </w:rPr>
        <w:t xml:space="preserve">•  </w:t>
      </w:r>
      <w:r>
        <w:rPr>
          <w:rFonts w:ascii="Aptos" w:hAnsi="Aptos" w:eastAsia="Aptos"/>
          <w:b w:val="0"/>
          <w:i w:val="0"/>
          <w:color w:val="202334"/>
          <w:sz w:val="18"/>
        </w:rPr>
        <w:t>Control de consola: sin errores JavaScript ni peticiones fallidas en las nueve zonas.</w:t>
      </w:r>
    </w:p>
    <w:p>
      <w:r>
        <w:br w:type="page"/>
      </w:r>
    </w:p>
    <w:p>
      <w:pPr>
        <w:keepLines/>
        <w:widowControl/>
        <w:spacing w:before="60" w:after="100" w:line="259" w:lineRule="auto"/>
        <w:pBdr>
          <w:bottom w:val="single" w:sz="8" w:space="5" w:color="302C73"/>
        </w:pBdr>
      </w:pPr>
      <w:r>
        <w:rPr>
          <w:rFonts w:ascii="Aptos" w:hAnsi="Aptos" w:eastAsia="Aptos"/>
          <w:b/>
          <w:i w:val="0"/>
          <w:color w:val="514AA5"/>
          <w:sz w:val="28"/>
        </w:rPr>
        <w:t xml:space="preserve">07  </w:t>
      </w:r>
      <w:r>
        <w:rPr>
          <w:rFonts w:ascii="Aptos" w:hAnsi="Aptos" w:eastAsia="Aptos"/>
          <w:b/>
          <w:i w:val="0"/>
          <w:color w:val="302C73"/>
          <w:sz w:val="34"/>
        </w:rPr>
        <w:t>Matriz de implantación punto por punto</w:t>
      </w:r>
    </w:p>
    <w:p>
      <w:pPr>
        <w:keepLines/>
        <w:widowControl/>
        <w:spacing w:before="0" w:after="140" w:line="259" w:lineRule="auto"/>
      </w:pPr>
      <w:r>
        <w:rPr>
          <w:rFonts w:ascii="Aptos" w:hAnsi="Aptos" w:eastAsia="Aptos"/>
          <w:b w:val="0"/>
          <w:i/>
          <w:color w:val="62677A"/>
          <w:sz w:val="17"/>
        </w:rPr>
        <w:t>Trazabilidad entre el alcance acordado y la solución entregada.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888AA0"/>
          <w:left w:val="single" w:sz="6" w:space="0" w:color="888AA0"/>
          <w:bottom w:val="single" w:sz="6" w:space="0" w:color="888AA0"/>
          <w:right w:val="single" w:sz="6" w:space="0" w:color="888AA0"/>
          <w:insideH w:val="single" w:sz="6" w:space="0" w:color="888AA0"/>
          <w:insideV w:val="single" w:sz="6" w:space="0" w:color="888AA0"/>
        </w:tblBorders>
      </w:tblPr>
      <w:tblGrid>
        <w:gridCol w:w="3240"/>
        <w:gridCol w:w="3240"/>
        <w:gridCol w:w="3240"/>
      </w:tblGrid>
      <w:tr>
        <w:trPr>
          <w:tblHeader w:val="true"/>
          <w:cantSplit/>
        </w:trPr>
        <w:tc>
          <w:tcPr>
            <w:tcW w:type="dxa" w:w="1871"/>
            <w:shd w:fill="302C73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keepLines w:val="0"/>
              <w:widowControl/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5"/>
              </w:rPr>
              <w:t>Punto</w:t>
            </w:r>
          </w:p>
        </w:tc>
        <w:tc>
          <w:tcPr>
            <w:tcW w:type="dxa" w:w="5613"/>
            <w:shd w:fill="302C73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keepLines w:val="0"/>
              <w:widowControl/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5"/>
              </w:rPr>
              <w:t>Solución implantada</w:t>
            </w:r>
          </w:p>
        </w:tc>
        <w:tc>
          <w:tcPr>
            <w:tcW w:type="dxa" w:w="1701"/>
            <w:shd w:fill="302C73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keepLines w:val="0"/>
              <w:widowControl/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5"/>
              </w:rPr>
              <w:t>Estado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EEEAFB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/>
                <w:i w:val="0"/>
                <w:color w:val="202334"/>
                <w:sz w:val="15"/>
              </w:rPr>
              <w:t>Catálogo de productos</w:t>
            </w:r>
          </w:p>
        </w:tc>
        <w:tc>
          <w:tcPr>
            <w:tcW w:type="dxa" w:w="561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5"/>
              </w:rPr>
              <w:t>Entidad nativa, seis productos, color, icono, orden y activación.</w:t>
            </w:r>
          </w:p>
        </w:tc>
        <w:tc>
          <w:tcPr>
            <w:tcW w:type="dxa" w:w="170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5"/>
              </w:rPr>
              <w:t>IMPLEMENTADO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EEEAFB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/>
                <w:i w:val="0"/>
                <w:color w:val="202334"/>
                <w:sz w:val="15"/>
              </w:rPr>
              <w:t>Campo en ticket</w:t>
            </w:r>
          </w:p>
        </w:tc>
        <w:tc>
          <w:tcPr>
            <w:tcW w:type="dxa" w:w="561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7F6FC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5"/>
              </w:rPr>
              <w:t>Selector obligatorio en creación/edición manual y validación de servidor.</w:t>
            </w:r>
          </w:p>
        </w:tc>
        <w:tc>
          <w:tcPr>
            <w:tcW w:type="dxa" w:w="170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7F6FC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5"/>
              </w:rPr>
              <w:t>IMPLEMENTADO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EEEAFB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/>
                <w:i w:val="0"/>
                <w:color w:val="202334"/>
                <w:sz w:val="15"/>
              </w:rPr>
              <w:t>Histórico</w:t>
            </w:r>
          </w:p>
        </w:tc>
        <w:tc>
          <w:tcPr>
            <w:tcW w:type="dxa" w:w="561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5"/>
              </w:rPr>
              <w:t>Regularización solo con equivalencias inequívocas; resto Sin clasificar.</w:t>
            </w:r>
          </w:p>
        </w:tc>
        <w:tc>
          <w:tcPr>
            <w:tcW w:type="dxa" w:w="170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5"/>
              </w:rPr>
              <w:t>IMPLEMENTADO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EEEAFB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/>
                <w:i w:val="0"/>
                <w:color w:val="202334"/>
                <w:sz w:val="15"/>
              </w:rPr>
              <w:t>Filtro principal</w:t>
            </w:r>
          </w:p>
        </w:tc>
        <w:tc>
          <w:tcPr>
            <w:tcW w:type="dxa" w:w="561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7F6FC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5"/>
              </w:rPr>
              <w:t>Producto / servicio sustituye a Empresa y al Servicio operativo.</w:t>
            </w:r>
          </w:p>
        </w:tc>
        <w:tc>
          <w:tcPr>
            <w:tcW w:type="dxa" w:w="170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7F6FC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5"/>
              </w:rPr>
              <w:t>IMPLEMENTADO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EEEAFB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/>
                <w:i w:val="0"/>
                <w:color w:val="202334"/>
                <w:sz w:val="15"/>
              </w:rPr>
              <w:t>Resumen ejecutivo</w:t>
            </w:r>
          </w:p>
        </w:tc>
        <w:tc>
          <w:tcPr>
            <w:tcW w:type="dxa" w:w="561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5"/>
              </w:rPr>
              <w:t>Cinco KPIs globales, matriz por producto y dos gráficos de portada.</w:t>
            </w:r>
          </w:p>
        </w:tc>
        <w:tc>
          <w:tcPr>
            <w:tcW w:type="dxa" w:w="170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5"/>
              </w:rPr>
              <w:t>IMPLEMENTADO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EEEAFB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/>
                <w:i w:val="0"/>
                <w:color w:val="202334"/>
                <w:sz w:val="15"/>
              </w:rPr>
              <w:t>Demanda</w:t>
            </w:r>
          </w:p>
        </w:tc>
        <w:tc>
          <w:tcPr>
            <w:tcW w:type="dxa" w:w="561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7F6FC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5"/>
              </w:rPr>
              <w:t>Volumen y evolución temporal por producto.</w:t>
            </w:r>
          </w:p>
        </w:tc>
        <w:tc>
          <w:tcPr>
            <w:tcW w:type="dxa" w:w="170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7F6FC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5"/>
              </w:rPr>
              <w:t>IMPLEMENTADO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EEEAFB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/>
                <w:i w:val="0"/>
                <w:color w:val="202334"/>
                <w:sz w:val="15"/>
              </w:rPr>
              <w:t>Pendientes</w:t>
            </w:r>
          </w:p>
        </w:tc>
        <w:tc>
          <w:tcPr>
            <w:tcW w:type="dxa" w:w="561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5"/>
              </w:rPr>
              <w:t>Foto al cierre por producto.</w:t>
            </w:r>
          </w:p>
        </w:tc>
        <w:tc>
          <w:tcPr>
            <w:tcW w:type="dxa" w:w="170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5"/>
              </w:rPr>
              <w:t>IMPLEMENTADO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EEEAFB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/>
                <w:i w:val="0"/>
                <w:color w:val="202334"/>
                <w:sz w:val="15"/>
              </w:rPr>
              <w:t>Backlog</w:t>
            </w:r>
          </w:p>
        </w:tc>
        <w:tc>
          <w:tcPr>
            <w:tcW w:type="dxa" w:w="561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7F6FC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5"/>
              </w:rPr>
              <w:t>Serie semanal por producto anclada al rango.</w:t>
            </w:r>
          </w:p>
        </w:tc>
        <w:tc>
          <w:tcPr>
            <w:tcW w:type="dxa" w:w="170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7F6FC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5"/>
              </w:rPr>
              <w:t>IMPLEMENTADO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EEEAFB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/>
                <w:i w:val="0"/>
                <w:color w:val="202334"/>
                <w:sz w:val="15"/>
              </w:rPr>
              <w:t>Satisfacción</w:t>
            </w:r>
          </w:p>
        </w:tc>
        <w:tc>
          <w:tcPr>
            <w:tcW w:type="dxa" w:w="561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5"/>
              </w:rPr>
              <w:t>CSAT por producto con muestra visible.</w:t>
            </w:r>
          </w:p>
        </w:tc>
        <w:tc>
          <w:tcPr>
            <w:tcW w:type="dxa" w:w="170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5"/>
              </w:rPr>
              <w:t>IMPLEMENTADO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EEEAFB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/>
                <w:i w:val="0"/>
                <w:color w:val="202334"/>
                <w:sz w:val="15"/>
              </w:rPr>
              <w:t>SLA</w:t>
            </w:r>
          </w:p>
        </w:tc>
        <w:tc>
          <w:tcPr>
            <w:tcW w:type="dxa" w:w="561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7F6FC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5"/>
              </w:rPr>
              <w:t>Cumplimiento por producto y meses limitados por Hasta.</w:t>
            </w:r>
          </w:p>
        </w:tc>
        <w:tc>
          <w:tcPr>
            <w:tcW w:type="dxa" w:w="170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7F6FC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5"/>
              </w:rPr>
              <w:t>IMPLEMENTADO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EEEAFB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/>
                <w:i w:val="0"/>
                <w:color w:val="202334"/>
                <w:sz w:val="15"/>
              </w:rPr>
              <w:t>Comparativas</w:t>
            </w:r>
          </w:p>
        </w:tc>
        <w:tc>
          <w:tcPr>
            <w:tcW w:type="dxa" w:w="561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5"/>
              </w:rPr>
              <w:t>Deltas frente al periodo anterior en KPIs y matriz.</w:t>
            </w:r>
          </w:p>
        </w:tc>
        <w:tc>
          <w:tcPr>
            <w:tcW w:type="dxa" w:w="170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5"/>
              </w:rPr>
              <w:t>IMPLEMENTADO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EEEAFB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/>
                <w:i w:val="0"/>
                <w:color w:val="202334"/>
                <w:sz w:val="15"/>
              </w:rPr>
              <w:t>Nomenclatura</w:t>
            </w:r>
          </w:p>
        </w:tc>
        <w:tc>
          <w:tcPr>
            <w:tcW w:type="dxa" w:w="561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7F6FC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5"/>
              </w:rPr>
              <w:t>Pestañas e indicadores expresados en lenguaje de negocio.</w:t>
            </w:r>
          </w:p>
        </w:tc>
        <w:tc>
          <w:tcPr>
            <w:tcW w:type="dxa" w:w="170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7F6FC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5"/>
              </w:rPr>
              <w:t>IMPLEMENTADO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EEEAFB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/>
                <w:i w:val="0"/>
                <w:color w:val="202334"/>
                <w:sz w:val="15"/>
              </w:rPr>
              <w:t>Ayudas</w:t>
            </w:r>
          </w:p>
        </w:tc>
        <w:tc>
          <w:tcPr>
            <w:tcW w:type="dxa" w:w="561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5"/>
              </w:rPr>
              <w:t>Explicación breve en títulos, accesible por ratón y teclado.</w:t>
            </w:r>
          </w:p>
        </w:tc>
        <w:tc>
          <w:tcPr>
            <w:tcW w:type="dxa" w:w="170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5"/>
              </w:rPr>
              <w:t>IMPLEMENTADO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EEEAFB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/>
                <w:i w:val="0"/>
                <w:color w:val="202334"/>
                <w:sz w:val="15"/>
              </w:rPr>
              <w:t>PDF</w:t>
            </w:r>
          </w:p>
        </w:tc>
        <w:tc>
          <w:tcPr>
            <w:tcW w:type="dxa" w:w="561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7F6FC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5"/>
              </w:rPr>
              <w:t>Valores directos, fondo blanco, resumen ejecutivo y tablas compactadas.</w:t>
            </w:r>
          </w:p>
        </w:tc>
        <w:tc>
          <w:tcPr>
            <w:tcW w:type="dxa" w:w="170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7F6FC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5"/>
              </w:rPr>
              <w:t>IMPLEMENTADO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EEEAFB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/>
                <w:i w:val="0"/>
                <w:color w:val="202334"/>
                <w:sz w:val="15"/>
              </w:rPr>
              <w:t>Fecha</w:t>
            </w:r>
          </w:p>
        </w:tc>
        <w:tc>
          <w:tcPr>
            <w:tcW w:type="dxa" w:w="561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5"/>
              </w:rPr>
              <w:t>Series ancladas a la fecha Hasta seleccionada.</w:t>
            </w:r>
          </w:p>
        </w:tc>
        <w:tc>
          <w:tcPr>
            <w:tcW w:type="dxa" w:w="170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5"/>
              </w:rPr>
              <w:t>IMPLEMENTADO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EEEAFB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/>
                <w:i w:val="0"/>
                <w:color w:val="202334"/>
                <w:sz w:val="15"/>
              </w:rPr>
              <w:t>CSV</w:t>
            </w:r>
          </w:p>
        </w:tc>
        <w:tc>
          <w:tcPr>
            <w:tcW w:type="dxa" w:w="561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7F6FC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5"/>
              </w:rPr>
              <w:t>Producto incluido; sin Empresa; mismos filtros que la web.</w:t>
            </w:r>
          </w:p>
        </w:tc>
        <w:tc>
          <w:tcPr>
            <w:tcW w:type="dxa" w:w="170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7F6FC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5"/>
              </w:rPr>
              <w:t>IMPLEMENTADO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EEEAFB"/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/>
                <w:i w:val="0"/>
                <w:color w:val="202334"/>
                <w:sz w:val="15"/>
              </w:rPr>
              <w:t>Pruebas</w:t>
            </w:r>
          </w:p>
        </w:tc>
        <w:tc>
          <w:tcPr>
            <w:tcW w:type="dxa" w:w="561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5"/>
              </w:rPr>
              <w:t>Pruebas específicas y regresión completa de la aplicación.</w:t>
            </w:r>
          </w:p>
        </w:tc>
        <w:tc>
          <w:tcPr>
            <w:tcW w:type="dxa" w:w="1701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keepLines w:val="0"/>
              <w:widowControl/>
              <w:spacing w:before="0" w:after="0" w:line="245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5"/>
              </w:rPr>
              <w:t>VALIDADO</w:t>
            </w:r>
          </w:p>
        </w:tc>
      </w:tr>
    </w:tbl>
    <w:p>
      <w:pPr>
        <w:spacing w:after="20"/>
      </w:pPr>
    </w:p>
    <w:p>
      <w:pPr>
        <w:keepLines/>
        <w:widowControl/>
        <w:spacing w:before="140" w:after="60" w:line="259" w:lineRule="auto"/>
      </w:pPr>
      <w:r>
        <w:rPr>
          <w:rFonts w:ascii="Aptos" w:hAnsi="Aptos" w:eastAsia="Aptos"/>
          <w:b/>
          <w:i w:val="0"/>
          <w:color w:val="302C73"/>
          <w:sz w:val="22"/>
        </w:rPr>
        <w:t>Notas de despliegue</w:t>
      </w:r>
    </w:p>
    <w:p>
      <w:pPr>
        <w:keepLines w:val="0"/>
        <w:widowControl/>
        <w:spacing w:before="0" w:after="60" w:line="250" w:lineRule="auto"/>
        <w:ind w:left="312" w:hanging="198"/>
      </w:pPr>
      <w:r>
        <w:rPr>
          <w:rFonts w:ascii="Aptos" w:hAnsi="Aptos" w:eastAsia="Aptos"/>
          <w:b/>
          <w:i w:val="0"/>
          <w:color w:val="514AA5"/>
          <w:sz w:val="18"/>
        </w:rPr>
        <w:t xml:space="preserve">•  </w:t>
      </w:r>
      <w:r>
        <w:rPr>
          <w:rFonts w:ascii="Aptos" w:hAnsi="Aptos" w:eastAsia="Aptos"/>
          <w:b w:val="0"/>
          <w:i w:val="0"/>
          <w:color w:val="202334"/>
          <w:sz w:val="18"/>
        </w:rPr>
        <w:t>Aplicar migraciones 0054_product_line_reporting y 0055_backfill_product_line.</w:t>
      </w:r>
    </w:p>
    <w:p>
      <w:pPr>
        <w:keepLines w:val="0"/>
        <w:widowControl/>
        <w:spacing w:before="0" w:after="60" w:line="250" w:lineRule="auto"/>
        <w:ind w:left="312" w:hanging="198"/>
      </w:pPr>
      <w:r>
        <w:rPr>
          <w:rFonts w:ascii="Aptos" w:hAnsi="Aptos" w:eastAsia="Aptos"/>
          <w:b/>
          <w:i w:val="0"/>
          <w:color w:val="514AA5"/>
          <w:sz w:val="18"/>
        </w:rPr>
        <w:t xml:space="preserve">•  </w:t>
      </w:r>
      <w:r>
        <w:rPr>
          <w:rFonts w:ascii="Aptos" w:hAnsi="Aptos" w:eastAsia="Aptos"/>
          <w:b w:val="0"/>
          <w:i w:val="0"/>
          <w:color w:val="202334"/>
          <w:sz w:val="18"/>
        </w:rPr>
        <w:t>Revisar periódicamente la fila Sin clasificar y completar el producto desde el ticket.</w:t>
      </w:r>
    </w:p>
    <w:p>
      <w:pPr>
        <w:keepLines w:val="0"/>
        <w:widowControl/>
        <w:spacing w:before="0" w:after="60" w:line="250" w:lineRule="auto"/>
        <w:ind w:left="312" w:hanging="198"/>
      </w:pPr>
      <w:r>
        <w:rPr>
          <w:rFonts w:ascii="Aptos" w:hAnsi="Aptos" w:eastAsia="Aptos"/>
          <w:b/>
          <w:i w:val="0"/>
          <w:color w:val="514AA5"/>
          <w:sz w:val="18"/>
        </w:rPr>
        <w:t xml:space="preserve">•  </w:t>
      </w:r>
      <w:r>
        <w:rPr>
          <w:rFonts w:ascii="Aptos" w:hAnsi="Aptos" w:eastAsia="Aptos"/>
          <w:b w:val="0"/>
          <w:i w:val="0"/>
          <w:color w:val="202334"/>
          <w:sz w:val="18"/>
        </w:rPr>
        <w:t>Los colores e iconos se administran desde el catálogo sin modificar el código de los gráficos.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21"/>
      </w:tblGrid>
      <w:tr>
        <w:tc>
          <w:tcPr>
            <w:tcW w:type="dxa" w:w="9721"/>
            <w:shd w:fill="F3F1FB"/>
            <w:tcMar>
              <w:top w:w="120" w:type="dxa"/>
              <w:start w:w="145" w:type="dxa"/>
              <w:bottom w:w="120" w:type="dxa"/>
              <w:end w:w="145" w:type="dxa"/>
            </w:tcMar>
          </w:tcPr>
          <w:p>
            <w:pPr>
              <w:keepLines w:val="0"/>
              <w:widowControl/>
              <w:spacing w:before="0" w:after="40" w:line="245" w:lineRule="auto"/>
            </w:pPr>
            <w:r>
              <w:rPr>
                <w:rFonts w:ascii="Aptos" w:hAnsi="Aptos" w:eastAsia="Aptos"/>
                <w:b/>
                <w:i w:val="0"/>
                <w:color w:val="302C73"/>
                <w:sz w:val="18"/>
              </w:rPr>
              <w:t>Cierre</w:t>
            </w:r>
          </w:p>
          <w:p>
            <w:pPr>
              <w:keepLines w:val="0"/>
              <w:widowControl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02334"/>
                <w:sz w:val="17"/>
              </w:rPr>
              <w:t>El reporte queda preparado para operar sin dependencia de una marca o fuente externa: el producto es una propiedad estable del ticket y todas las salidas —web, CSV y PDF— comparten esa misma lectura.</w:t>
            </w:r>
          </w:p>
        </w:tc>
      </w:tr>
    </w:tbl>
    <w:p>
      <w:pPr>
        <w:spacing w:after="20"/>
      </w:pPr>
    </w:p>
    <w:sectPr w:rsidR="00443EF8">
      <w:footerReference w:type="default" r:id="rId7"/>
      <w:pgSz w:w="11909" w:h="16834"/>
      <w:pgMar w:top="994" w:right="1094" w:bottom="994" w:left="109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  <w:pBdr>
        <w:bottom w:val="single" w:sz="4" w:space="5" w:color="B6B8C4"/>
      </w:pBdr>
    </w:pPr>
    <w:r>
      <w:rPr>
        <w:rFonts w:ascii="Aptos" w:hAnsi="Aptos" w:eastAsia="Aptos"/>
        <w:b w:val="0"/>
        <w:i/>
        <w:color w:val="62677A"/>
        <w:sz w:val="14"/>
      </w:rPr>
      <w:t>TicketFlow · Alcance reporting por producto</w:t>
    </w:r>
    <w:r>
      <w:rPr>
        <w:rFonts w:ascii="Aptos" w:hAnsi="Aptos" w:eastAsia="Aptos"/>
        <w:b w:val="0"/>
        <w:i/>
        <w:color w:val="62677A"/>
        <w:sz w:val="14"/>
      </w:rPr>
      <w:t xml:space="preserve">                                                Página </w:t>
    </w:r>
    <w:r>
      <w:fldChar w:fldCharType="begin"/>
      <w:instrText xml:space="preserve">PAGE</w:instrText>
      <w:fldChar w:fldCharType="separate"/>
      <w:fldChar w:fldCharType="end"/>
    </w:r>
    <w:r>
      <w:rPr>
        <w:rFonts w:ascii="Aptos" w:hAnsi="Aptos" w:eastAsia="Aptos"/>
        <w:b w:val="0"/>
        <w:i/>
        <w:color w:val="62677A"/>
        <w:sz w:val="14"/>
      </w:rPr>
      <w:t xml:space="preserve"> de </w:t>
    </w:r>
    <w:r>
      <w:fldChar w:fldCharType="begin"/>
      <w:instrText xml:space="preserve">NUMPAGES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C212B1"/>
    <w:multiLevelType w:val="hybridMultilevel"/>
    <w:tmpl w:val="A39036D2"/>
    <w:lvl w:ilvl="0" w:tplc="8B42CC72">
      <w:start w:val="1"/>
      <w:numFmt w:val="decimal"/>
      <w:lvlText w:val="%1."/>
      <w:lvlJc w:val="left"/>
      <w:pPr>
        <w:ind w:left="400" w:hanging="300"/>
      </w:pPr>
    </w:lvl>
    <w:lvl w:ilvl="1" w:tplc="AA7CCB72">
      <w:numFmt w:val="decimal"/>
      <w:lvlText w:val=""/>
      <w:lvlJc w:val="left"/>
    </w:lvl>
    <w:lvl w:ilvl="2" w:tplc="68D671FE">
      <w:numFmt w:val="decimal"/>
      <w:lvlText w:val=""/>
      <w:lvlJc w:val="left"/>
    </w:lvl>
    <w:lvl w:ilvl="3" w:tplc="76EEF8C6">
      <w:numFmt w:val="decimal"/>
      <w:lvlText w:val=""/>
      <w:lvlJc w:val="left"/>
    </w:lvl>
    <w:lvl w:ilvl="4" w:tplc="4A7A9CCC">
      <w:numFmt w:val="decimal"/>
      <w:lvlText w:val=""/>
      <w:lvlJc w:val="left"/>
    </w:lvl>
    <w:lvl w:ilvl="5" w:tplc="CED2D772">
      <w:numFmt w:val="decimal"/>
      <w:lvlText w:val=""/>
      <w:lvlJc w:val="left"/>
    </w:lvl>
    <w:lvl w:ilvl="6" w:tplc="C862E278">
      <w:numFmt w:val="decimal"/>
      <w:lvlText w:val=""/>
      <w:lvlJc w:val="left"/>
    </w:lvl>
    <w:lvl w:ilvl="7" w:tplc="C1A69F96">
      <w:numFmt w:val="decimal"/>
      <w:lvlText w:val=""/>
      <w:lvlJc w:val="left"/>
    </w:lvl>
    <w:lvl w:ilvl="8" w:tplc="D1C2B330">
      <w:numFmt w:val="decimal"/>
      <w:lvlText w:val=""/>
      <w:lvlJc w:val="left"/>
    </w:lvl>
  </w:abstractNum>
  <w:abstractNum w:abstractNumId="1" w15:restartNumberingAfterBreak="0">
    <w:nsid w:val="371861E3"/>
    <w:multiLevelType w:val="hybridMultilevel"/>
    <w:tmpl w:val="F6EAFDFE"/>
    <w:lvl w:ilvl="0" w:tplc="8604DEA0">
      <w:start w:val="1"/>
      <w:numFmt w:val="bullet"/>
      <w:lvlText w:val="●"/>
      <w:lvlJc w:val="left"/>
      <w:pPr>
        <w:ind w:left="720" w:hanging="360"/>
      </w:pPr>
    </w:lvl>
    <w:lvl w:ilvl="1" w:tplc="1A9C48A8">
      <w:start w:val="1"/>
      <w:numFmt w:val="bullet"/>
      <w:lvlText w:val="○"/>
      <w:lvlJc w:val="left"/>
      <w:pPr>
        <w:ind w:left="1440" w:hanging="360"/>
      </w:pPr>
    </w:lvl>
    <w:lvl w:ilvl="2" w:tplc="AADEAADA">
      <w:start w:val="1"/>
      <w:numFmt w:val="bullet"/>
      <w:lvlText w:val="■"/>
      <w:lvlJc w:val="left"/>
      <w:pPr>
        <w:ind w:left="2160" w:hanging="360"/>
      </w:pPr>
    </w:lvl>
    <w:lvl w:ilvl="3" w:tplc="DE366D5A">
      <w:start w:val="1"/>
      <w:numFmt w:val="bullet"/>
      <w:lvlText w:val="●"/>
      <w:lvlJc w:val="left"/>
      <w:pPr>
        <w:ind w:left="2880" w:hanging="360"/>
      </w:pPr>
    </w:lvl>
    <w:lvl w:ilvl="4" w:tplc="73C26B1A">
      <w:start w:val="1"/>
      <w:numFmt w:val="bullet"/>
      <w:lvlText w:val="○"/>
      <w:lvlJc w:val="left"/>
      <w:pPr>
        <w:ind w:left="3600" w:hanging="360"/>
      </w:pPr>
    </w:lvl>
    <w:lvl w:ilvl="5" w:tplc="4E02F1C6">
      <w:start w:val="1"/>
      <w:numFmt w:val="bullet"/>
      <w:lvlText w:val="■"/>
      <w:lvlJc w:val="left"/>
      <w:pPr>
        <w:ind w:left="4320" w:hanging="360"/>
      </w:pPr>
    </w:lvl>
    <w:lvl w:ilvl="6" w:tplc="BB4262D6">
      <w:start w:val="1"/>
      <w:numFmt w:val="bullet"/>
      <w:lvlText w:val="●"/>
      <w:lvlJc w:val="left"/>
      <w:pPr>
        <w:ind w:left="5040" w:hanging="360"/>
      </w:pPr>
    </w:lvl>
    <w:lvl w:ilvl="7" w:tplc="0CA0C12C">
      <w:start w:val="1"/>
      <w:numFmt w:val="bullet"/>
      <w:lvlText w:val="●"/>
      <w:lvlJc w:val="left"/>
      <w:pPr>
        <w:ind w:left="5760" w:hanging="360"/>
      </w:pPr>
    </w:lvl>
    <w:lvl w:ilvl="8" w:tplc="5DE213A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E0508E9"/>
    <w:multiLevelType w:val="hybridMultilevel"/>
    <w:tmpl w:val="1DA6AE50"/>
    <w:lvl w:ilvl="0" w:tplc="B4D24900">
      <w:start w:val="1"/>
      <w:numFmt w:val="bullet"/>
      <w:lvlText w:val="•"/>
      <w:lvlJc w:val="left"/>
      <w:pPr>
        <w:ind w:left="360" w:hanging="260"/>
      </w:pPr>
    </w:lvl>
    <w:lvl w:ilvl="1" w:tplc="DF349168">
      <w:numFmt w:val="decimal"/>
      <w:lvlText w:val=""/>
      <w:lvlJc w:val="left"/>
    </w:lvl>
    <w:lvl w:ilvl="2" w:tplc="C43CC22C">
      <w:numFmt w:val="decimal"/>
      <w:lvlText w:val=""/>
      <w:lvlJc w:val="left"/>
    </w:lvl>
    <w:lvl w:ilvl="3" w:tplc="B0343F3A">
      <w:numFmt w:val="decimal"/>
      <w:lvlText w:val=""/>
      <w:lvlJc w:val="left"/>
    </w:lvl>
    <w:lvl w:ilvl="4" w:tplc="DE5E5EE8">
      <w:numFmt w:val="decimal"/>
      <w:lvlText w:val=""/>
      <w:lvlJc w:val="left"/>
    </w:lvl>
    <w:lvl w:ilvl="5" w:tplc="6AD85D30">
      <w:numFmt w:val="decimal"/>
      <w:lvlText w:val=""/>
      <w:lvlJc w:val="left"/>
    </w:lvl>
    <w:lvl w:ilvl="6" w:tplc="5BB82442">
      <w:numFmt w:val="decimal"/>
      <w:lvlText w:val=""/>
      <w:lvlJc w:val="left"/>
    </w:lvl>
    <w:lvl w:ilvl="7" w:tplc="802A30D8">
      <w:numFmt w:val="decimal"/>
      <w:lvlText w:val=""/>
      <w:lvlJc w:val="left"/>
    </w:lvl>
    <w:lvl w:ilvl="8" w:tplc="52329C58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3EF8"/>
    <w:rsid w:val="003C2AE7"/>
    <w:rsid w:val="00417227"/>
    <w:rsid w:val="00443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1A90ADB-EABF-4461-9935-C8DC3C44B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00" w:line="259" w:lineRule="auto"/>
    </w:pPr>
    <w:rPr>
      <w:rFonts w:ascii="Aptos" w:hAnsi="Aptos" w:eastAsia="Aptos"/>
      <w:sz w:val="18"/>
    </w:rPr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884</Words>
  <Characters>4868</Characters>
  <Application>Microsoft Office Word</Application>
  <DocSecurity>0</DocSecurity>
  <Lines>40</Lines>
  <Paragraphs>11</Paragraphs>
  <ScaleCrop>false</ScaleCrop>
  <Company>HP Inc.</Company>
  <LinksUpToDate>false</LinksUpToDate>
  <CharactersWithSpaces>5741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TicketFlow · Producto</dc:creator>
  <cp:lastModifiedBy>Enrique Vaño Julia</cp:lastModifiedBy>
  <cp:revision>3</cp:revision>
  <dcterms:created xsi:type="dcterms:W3CDTF">2026-09-01T09:03:00Z</dcterms:created>
  <dcterms:modified xsi:type="dcterms:W3CDTF">2026-09-01T09:07:00Z</dcterms:modified>
  <dc:title>Alcance de implementación · Reporting por producto</dc:title>
  <dc:subject>Alcance funcional, técnico y criterios de aceptación</dc:subject>
  <dc:description>Documento redactado sobre el alcance confirmado e implantado.</dc:description>
</cp:coreProperties>
</file>