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80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1">
            <w:pPr>
              <w:pStyle w:val="Title"/>
              <w:rPr>
                <w:rFonts w:ascii="Calibri" w:cs="Calibri" w:eastAsia="Calibri" w:hAnsi="Calibri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DANIEL may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4262 E Washington CT Gilbert AZ · (602) 550 5498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DLMAY10@GMAIL.COM</w:t>
            </w:r>
          </w:p>
        </w:tc>
      </w:tr>
    </w:tbl>
    <w:p w:rsidR="00000000" w:rsidDel="00000000" w:rsidP="00000000" w:rsidRDefault="00000000" w:rsidRPr="00000000" w14:paraId="00000004">
      <w:pPr>
        <w:pStyle w:val="Heading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Experience</w:t>
      </w:r>
    </w:p>
    <w:tbl>
      <w:tblPr>
        <w:tblStyle w:val="Table2"/>
        <w:tblW w:w="9290.0" w:type="dxa"/>
        <w:jc w:val="left"/>
        <w:tblInd w:w="72.0" w:type="dxa"/>
        <w:tblBorders>
          <w:top w:color="000000" w:space="0" w:sz="24" w:val="single"/>
          <w:left w:color="bfbfbf" w:space="0" w:sz="18" w:val="dotted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90"/>
        <w:tblGridChange w:id="0">
          <w:tblGrid>
            <w:gridCol w:w="9290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01/2014 TO 12/2018</w:t>
            </w:r>
          </w:p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6"/>
                <w:szCs w:val="26"/>
                <w:rtl w:val="0"/>
              </w:rPr>
              <w:t xml:space="preserve">Fleet Driver, AAA Arizona</w:t>
            </w:r>
          </w:p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Perform all duties in compliance with safety standards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Provide outstanding customer service to AAA members</w:t>
            </w:r>
          </w:p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Promote products and services offered by AAA</w:t>
            </w:r>
          </w:p>
        </w:tc>
      </w:tr>
      <w:tr>
        <w:tc>
          <w:tcPr>
            <w:tcMar>
              <w:top w:w="216.0" w:type="dxa"/>
            </w:tcMar>
          </w:tcPr>
          <w:p w:rsidR="00000000" w:rsidDel="00000000" w:rsidP="00000000" w:rsidRDefault="00000000" w:rsidRPr="00000000" w14:paraId="0000000A">
            <w:pPr>
              <w:pStyle w:val="Heading3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4/2008 to 01/2014</w:t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OWNER, LADS Automotive</w:t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Perform emergency road service, towing, accident recovery, and abandoned vehicle</w:t>
            </w:r>
          </w:p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recovery using assigned truck and towing equipment</w:t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Submit accurate invoices and appropriate payment on time for processing</w:t>
            </w:r>
          </w:p>
        </w:tc>
      </w:tr>
      <w:tr>
        <w:tc>
          <w:tcPr>
            <w:tcMar>
              <w:top w:w="216.0" w:type="dxa"/>
            </w:tcMar>
          </w:tcPr>
          <w:p w:rsidR="00000000" w:rsidDel="00000000" w:rsidP="00000000" w:rsidRDefault="00000000" w:rsidRPr="00000000" w14:paraId="0000000F">
            <w:pPr>
              <w:pStyle w:val="Heading3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06/2002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to 03/2007</w:t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[it support], lego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80" w:lineRule="auto"/>
              <w:ind w:left="144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Supporting users and network administrators over the telephone and by email. 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80" w:lineRule="auto"/>
              <w:ind w:left="144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Maintain the company’s network infrastructure. 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80" w:lineRule="auto"/>
              <w:ind w:left="144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Networking and providing support for Windows, Macintosh and Linux issues. 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80" w:lineRule="auto"/>
              <w:ind w:left="144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Configuration and testing of any new hardware and software.  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80" w:lineRule="auto"/>
              <w:ind w:left="144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Management of the daily data backup and retrieval scheme.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80" w:lineRule="auto"/>
              <w:ind w:left="144"/>
              <w:rPr>
                <w:color w:val="404040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Installing and operating Windows desktop and server operating systems.</w:t>
            </w:r>
            <w:r w:rsidDel="00000000" w:rsidR="00000000" w:rsidRPr="00000000">
              <w:rPr>
                <w:rFonts w:ascii="Cambria" w:cs="Cambria" w:eastAsia="Cambria" w:hAnsi="Cambria"/>
                <w:color w:val="40404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Education</w:t>
      </w:r>
    </w:p>
    <w:tbl>
      <w:tblPr>
        <w:tblStyle w:val="Table3"/>
        <w:tblW w:w="9290.0" w:type="dxa"/>
        <w:jc w:val="left"/>
        <w:tblInd w:w="72.0" w:type="dxa"/>
        <w:tblBorders>
          <w:top w:color="000000" w:space="0" w:sz="24" w:val="single"/>
          <w:left w:color="bfbfbf" w:space="0" w:sz="18" w:val="dotted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90"/>
        <w:tblGridChange w:id="0">
          <w:tblGrid>
            <w:gridCol w:w="9290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BYU PATHWAY |INFORMATION TECHNOLOGY |CURRENTLY ATTENDING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WOZ U | CERTIFICATION |CURRENTLY ATTENDING</w:t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AGILE DEVELOPMENT, FULL STACK DEVELOPER</w:t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Skills</w:t>
      </w:r>
    </w:p>
    <w:tbl>
      <w:tblPr>
        <w:tblStyle w:val="Table4"/>
        <w:tblW w:w="9242.0" w:type="dxa"/>
        <w:jc w:val="left"/>
        <w:tblInd w:w="72.0" w:type="dxa"/>
        <w:tblBorders>
          <w:top w:color="000000" w:space="0" w:sz="24" w:val="single"/>
          <w:left w:color="bfbfbf" w:space="0" w:sz="18" w:val="dotted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Tow Truck Driver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 Specialist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Special IT Skills</w:t>
      </w:r>
      <w:r w:rsidDel="00000000" w:rsidR="00000000" w:rsidRPr="00000000">
        <w:rPr>
          <w:rtl w:val="0"/>
        </w:rPr>
      </w:r>
    </w:p>
    <w:tbl>
      <w:tblPr>
        <w:tblStyle w:val="Table5"/>
        <w:tblW w:w="9290.0" w:type="dxa"/>
        <w:jc w:val="left"/>
        <w:tblInd w:w="72.0" w:type="dxa"/>
        <w:tblBorders>
          <w:top w:color="000000" w:space="0" w:sz="24" w:val="single"/>
          <w:left w:color="bfbfbf" w:space="0" w:sz="18" w:val="dotted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90"/>
        <w:tblGridChange w:id="0">
          <w:tblGrid>
            <w:gridCol w:w="9290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0"/>
                <w:szCs w:val="20"/>
                <w:rtl w:val="0"/>
              </w:rPr>
              <w:t xml:space="preserve">Windows Server 2012 R2 - planning, deploying, configuring and maintaining a Windows network infrastructure including Active Directory and Group Policy management /Windows 8.1 Client computer support and domain integration / Hyper-V Virtualization, Computer Troubleshooting, network tools including Wireshark, and network cabling 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rPr>
          <w:rFonts w:ascii="Calibri" w:cs="Calibri" w:eastAsia="Calibri" w:hAnsi="Calibri"/>
          <w:b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pgSz w:h="15840" w:w="12240"/>
      <w:pgMar w:bottom="1080" w:top="950" w:left="1440" w:right="1440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1727200</wp:posOffset>
              </wp:positionV>
              <wp:extent cx="7772400" cy="12700"/>
              <wp:effectExtent b="0" l="0" r="0" t="0"/>
              <wp:wrapSquare wrapText="bothSides" distB="0" distT="0" distL="0" distR="0"/>
              <wp:docPr descr="Header dividing line"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59800" y="378000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595959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1727200</wp:posOffset>
              </wp:positionV>
              <wp:extent cx="7772400" cy="12700"/>
              <wp:effectExtent b="0" l="0" r="0" t="0"/>
              <wp:wrapSquare wrapText="bothSides" distB="0" distT="0" distL="0" distR="0"/>
              <wp:docPr descr="Header dividing line" id="1" name="image1.png"/>
              <a:graphic>
                <a:graphicData uri="http://schemas.openxmlformats.org/drawingml/2006/picture">
                  <pic:pic>
                    <pic:nvPicPr>
                      <pic:cNvPr descr="Header dividing line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·"/>
      <w:lvlJc w:val="left"/>
      <w:pPr>
        <w:ind w:left="144" w:hanging="144"/>
      </w:pPr>
      <w:rPr>
        <w:rFonts w:ascii="Cambria" w:cs="Cambria" w:eastAsia="Cambria" w:hAnsi="Cambria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Rule="auto"/>
    </w:pPr>
    <w:rPr>
      <w:rFonts w:ascii="Georgia" w:cs="Georgia" w:eastAsia="Georgia" w:hAnsi="Georgia"/>
      <w:b w:val="1"/>
      <w:smallCaps w:val="1"/>
      <w:color w:val="262626"/>
      <w:sz w:val="28"/>
      <w:szCs w:val="28"/>
    </w:rPr>
  </w:style>
  <w:style w:type="paragraph" w:styleId="Heading2">
    <w:name w:val="heading 2"/>
    <w:basedOn w:val="Normal"/>
    <w:next w:val="Normal"/>
    <w:pPr>
      <w:spacing w:after="40" w:lineRule="auto"/>
    </w:pPr>
    <w:rPr>
      <w:b w:val="1"/>
      <w:smallCaps w:val="1"/>
      <w:color w:val="1d824c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i w:val="1"/>
      <w:color w:val="15613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156138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0e4025"/>
    </w:rPr>
  </w:style>
  <w:style w:type="paragraph" w:styleId="Title">
    <w:name w:val="Title"/>
    <w:basedOn w:val="Normal"/>
    <w:next w:val="Normal"/>
    <w:pPr>
      <w:jc w:val="center"/>
    </w:pPr>
    <w:rPr>
      <w:rFonts w:ascii="Georgia" w:cs="Georgia" w:eastAsia="Georgia" w:hAnsi="Georgia"/>
      <w:smallCaps w:val="1"/>
      <w:sz w:val="70"/>
      <w:szCs w:val="7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115.0" w:type="dxa"/>
        <w:right w:w="0.0" w:type="dxa"/>
      </w:tblCellMar>
    </w:tblPr>
    <w:tcPr>
      <w:shd w:fill="auto" w:val="clear"/>
    </w:tcPr>
  </w:style>
  <w:style w:type="table" w:styleId="Table2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576.0" w:type="dxa"/>
        <w:bottom w:w="0.0" w:type="dxa"/>
        <w:right w:w="0.0" w:type="dxa"/>
      </w:tblCellMar>
    </w:tblPr>
    <w:tcPr>
      <w:shd w:fill="auto" w:val="clear"/>
    </w:tcPr>
  </w:style>
  <w:style w:type="table" w:styleId="Table3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576.0" w:type="dxa"/>
        <w:bottom w:w="0.0" w:type="dxa"/>
        <w:right w:w="0.0" w:type="dxa"/>
      </w:tblCellMar>
    </w:tblPr>
    <w:tcPr>
      <w:shd w:fill="auto" w:val="clear"/>
    </w:tcPr>
  </w:style>
  <w:style w:type="table" w:styleId="Table4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576.0" w:type="dxa"/>
        <w:bottom w:w="0.0" w:type="dxa"/>
        <w:right w:w="0.0" w:type="dxa"/>
      </w:tblCellMar>
    </w:tblPr>
    <w:tcPr>
      <w:shd w:fill="auto" w:val="clear"/>
    </w:tcPr>
  </w:style>
  <w:style w:type="table" w:styleId="Table5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576.0" w:type="dxa"/>
        <w:bottom w:w="0.0" w:type="dxa"/>
        <w:right w:w="0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