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7CD3" w14:textId="77777777" w:rsidR="002A1988" w:rsidRDefault="00B541F4">
      <w:pPr>
        <w:spacing w:after="100"/>
        <w:jc w:val="center"/>
      </w:pPr>
      <w:r>
        <w:rPr>
          <w:b/>
          <w:bCs/>
          <w:sz w:val="36"/>
          <w:szCs w:val="36"/>
        </w:rPr>
        <w:t>QSAR Model Reporting Format (QMRF)</w:t>
      </w:r>
    </w:p>
    <w:p w14:paraId="01257B48" w14:textId="77777777" w:rsidR="002A1988" w:rsidRDefault="00B541F4">
      <w:pPr>
        <w:spacing w:after="400"/>
        <w:jc w:val="center"/>
      </w:pPr>
      <w:r>
        <w:rPr>
          <w:sz w:val="28"/>
          <w:szCs w:val="28"/>
        </w:rPr>
        <w:t>Skin Sensitization Prediction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A1988" w14:paraId="319AC4A0"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5F7175B" w14:textId="77777777" w:rsidR="002A1988" w:rsidRDefault="00B541F4">
            <w:r>
              <w:rPr>
                <w:b/>
                <w:bCs/>
              </w:rPr>
              <w:t>QMRF Identifier:</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47B941" w14:textId="6D0A2BBB" w:rsidR="002A1988" w:rsidRDefault="00B56864">
            <w:r>
              <w:t>Non</w:t>
            </w:r>
          </w:p>
        </w:tc>
      </w:tr>
      <w:tr w:rsidR="002A1988" w14:paraId="5006519F"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975ED5E" w14:textId="77777777" w:rsidR="002A1988" w:rsidRDefault="00B541F4">
            <w:r>
              <w:rPr>
                <w:b/>
                <w:bCs/>
              </w:rPr>
              <w:t>QMRF Title: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1FEE50" w14:textId="77777777" w:rsidR="002A1988" w:rsidRDefault="00B541F4">
            <w:r>
              <w:t>Skin Sensitization Model (RF-Avalon) version 1.0</w:t>
            </w:r>
          </w:p>
        </w:tc>
      </w:tr>
      <w:tr w:rsidR="002A1988" w14:paraId="588DF0E3"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D762372" w14:textId="77777777" w:rsidR="002A1988" w:rsidRDefault="00B541F4">
            <w:r>
              <w:rPr>
                <w:b/>
                <w:bCs/>
              </w:rPr>
              <w:t>Printing Date:</w:t>
            </w:r>
          </w:p>
        </w:tc>
        <w:tc>
          <w:tcPr>
            <w:tcW w:w="6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3A885B" w14:textId="77777777" w:rsidR="002A1988" w:rsidRDefault="00B541F4">
            <w:r>
              <w:t>February 2026</w:t>
            </w:r>
          </w:p>
        </w:tc>
      </w:tr>
    </w:tbl>
    <w:p w14:paraId="585F0889" w14:textId="77777777" w:rsidR="002A1988" w:rsidRDefault="00B541F4">
      <w:pPr>
        <w:pStyle w:val="Heading1"/>
        <w:shd w:val="clear" w:color="auto" w:fill="D5E8F0"/>
      </w:pPr>
      <w:r>
        <w:t>1. QSAR Identifier</w:t>
      </w:r>
    </w:p>
    <w:p w14:paraId="50D741F7" w14:textId="77777777" w:rsidR="002A1988" w:rsidRDefault="00B541F4">
      <w:pPr>
        <w:pStyle w:val="Heading2"/>
      </w:pPr>
      <w:r>
        <w:t>1.1. QSAR Identifier (Title)</w:t>
      </w:r>
    </w:p>
    <w:p w14:paraId="6D0A8488" w14:textId="77777777" w:rsidR="002A1988" w:rsidRDefault="00B541F4">
      <w:pPr>
        <w:spacing w:after="120"/>
      </w:pPr>
      <w:r>
        <w:t>Skin Sensitization Model (RF-Avalon) version 1.0</w:t>
      </w:r>
    </w:p>
    <w:p w14:paraId="478B5383" w14:textId="77777777" w:rsidR="002A1988" w:rsidRDefault="00B541F4">
      <w:pPr>
        <w:pStyle w:val="Heading2"/>
      </w:pPr>
      <w:r>
        <w:t>1.2. Other Related Models</w:t>
      </w:r>
    </w:p>
    <w:p w14:paraId="470F970A" w14:textId="77777777" w:rsidR="002A1988" w:rsidRDefault="00B541F4">
      <w:pPr>
        <w:spacing w:after="120"/>
      </w:pPr>
      <w:r>
        <w:t>This model was developed as part of a comparative analysis with K-Nearest Neighbors</w:t>
      </w:r>
      <w:r>
        <w:t xml:space="preserve"> (KNN) models using multiple molecular fingerprint approaches (MACCS, PubChem, Morgan, Atom Pair). The Random Forest model with Avalon fingerprints demonstrated superior performance.</w:t>
      </w:r>
    </w:p>
    <w:p w14:paraId="3C223B4A" w14:textId="77777777" w:rsidR="002A1988" w:rsidRDefault="00B541F4">
      <w:pPr>
        <w:pStyle w:val="Heading2"/>
      </w:pPr>
      <w:r>
        <w:t>1.3. Software Coding the Model</w:t>
      </w:r>
    </w:p>
    <w:p w14:paraId="08496BDD" w14:textId="77777777" w:rsidR="002A1988" w:rsidRDefault="00B541F4">
      <w:pPr>
        <w:spacing w:after="120"/>
      </w:pPr>
      <w:r>
        <w:t>Python scikit-learn framework (version 1.3.1) with Random Forest classifier implementation. Molecular fingerprints generated using RDKit cheminformatics package (version 2022.09.5). Model available via GitHub repository: https://github.com/DaniChinwendu/skin-sensitization-prediction</w:t>
      </w:r>
    </w:p>
    <w:p w14:paraId="03BBB8EF" w14:textId="77777777" w:rsidR="002A1988" w:rsidRDefault="00B541F4">
      <w:pPr>
        <w:pStyle w:val="Heading1"/>
        <w:shd w:val="clear" w:color="auto" w:fill="D5E8F0"/>
      </w:pPr>
      <w:r>
        <w:t>2. General Information</w:t>
      </w:r>
    </w:p>
    <w:p w14:paraId="53B24C6A" w14:textId="77777777" w:rsidR="002A1988" w:rsidRDefault="00B541F4">
      <w:pPr>
        <w:pStyle w:val="Heading2"/>
      </w:pPr>
      <w:r>
        <w:t>2.1. Date of QMRF</w:t>
      </w:r>
    </w:p>
    <w:p w14:paraId="7A2A630F" w14:textId="77777777" w:rsidR="002A1988" w:rsidRDefault="00B541F4">
      <w:pPr>
        <w:spacing w:after="120"/>
      </w:pPr>
      <w:r>
        <w:t>February 2026</w:t>
      </w:r>
    </w:p>
    <w:p w14:paraId="47272D83" w14:textId="77777777" w:rsidR="002A1988" w:rsidRDefault="00B541F4">
      <w:pPr>
        <w:pStyle w:val="Heading2"/>
      </w:pPr>
      <w:r>
        <w:t>2.2. QMRF Author(s) and Contact Details</w:t>
      </w:r>
    </w:p>
    <w:p w14:paraId="4509C631" w14:textId="77777777" w:rsidR="002A1988" w:rsidRDefault="00B541F4">
      <w:pPr>
        <w:spacing w:after="120"/>
      </w:pPr>
      <w:r>
        <w:t>[1] Daniel C. Ukaegbu, Center for Alternatives to Animal Testing (CAAT), Johns Hopkins Bloomberg School of Public Health, Baltimore, Maryland 21205, United States</w:t>
      </w:r>
    </w:p>
    <w:p w14:paraId="23052A35" w14:textId="77777777" w:rsidR="002A1988" w:rsidRDefault="00B541F4">
      <w:pPr>
        <w:spacing w:after="120"/>
      </w:pPr>
      <w:r>
        <w:t>[2] Karolina Kopańska, Center for Alternatives to Animal Testing (CAAT), Johns Hopkins Bloomberg School of Public Health, Baltimore, Maryland 21205, United States</w:t>
      </w:r>
    </w:p>
    <w:p w14:paraId="1830F605" w14:textId="77777777" w:rsidR="002A1988" w:rsidRDefault="00B541F4">
      <w:pPr>
        <w:spacing w:after="120"/>
      </w:pPr>
      <w:r>
        <w:t>[3] Peter Ranslow, Consortium for Environmental Risk Management (CERM), Hallowell, Maine 04347, United States</w:t>
      </w:r>
    </w:p>
    <w:p w14:paraId="295ACB3A" w14:textId="77777777" w:rsidR="002A1988" w:rsidRDefault="00B541F4">
      <w:pPr>
        <w:spacing w:after="120"/>
      </w:pPr>
      <w:r>
        <w:t>[4] Alexandra Maertens (Correspondence), Center for Alternatives to Animal Testing (CAAT), Johns Hopkins Bloomberg School of Public Health, amaerte1@jhu.edu</w:t>
      </w:r>
    </w:p>
    <w:p w14:paraId="1B332665" w14:textId="77777777" w:rsidR="002A1988" w:rsidRDefault="00B541F4">
      <w:pPr>
        <w:pStyle w:val="Heading2"/>
      </w:pPr>
      <w:r>
        <w:t>2.3. Date of QMRF Update(s)</w:t>
      </w:r>
    </w:p>
    <w:p w14:paraId="1454BE9F" w14:textId="77777777" w:rsidR="002A1988" w:rsidRDefault="00B541F4">
      <w:pPr>
        <w:spacing w:after="120"/>
      </w:pPr>
      <w:r>
        <w:lastRenderedPageBreak/>
        <w:t>NA (Initial version)</w:t>
      </w:r>
    </w:p>
    <w:p w14:paraId="122189A5" w14:textId="77777777" w:rsidR="002A1988" w:rsidRDefault="00B541F4">
      <w:pPr>
        <w:pStyle w:val="Heading2"/>
      </w:pPr>
      <w:r>
        <w:t>2.4. QMRF Update(s)</w:t>
      </w:r>
    </w:p>
    <w:p w14:paraId="2BAA350B" w14:textId="77777777" w:rsidR="002A1988" w:rsidRDefault="00B541F4">
      <w:pPr>
        <w:spacing w:after="120"/>
      </w:pPr>
      <w:r>
        <w:t>NA</w:t>
      </w:r>
    </w:p>
    <w:p w14:paraId="3BC1A004" w14:textId="77777777" w:rsidR="002A1988" w:rsidRDefault="00B541F4">
      <w:pPr>
        <w:pStyle w:val="Heading2"/>
      </w:pPr>
      <w:r>
        <w:t>2.5. Model Developer(s) and Contact Details</w:t>
      </w:r>
    </w:p>
    <w:p w14:paraId="0E249C10" w14:textId="77777777" w:rsidR="002A1988" w:rsidRDefault="00B541F4">
      <w:pPr>
        <w:spacing w:after="120"/>
      </w:pPr>
      <w:r>
        <w:t>[1] Daniel C. Ukaegbu, Center for Alternatives to Animal Testing (CAAT), Johns Hopkins Bloomberg School of Public Health, Baltimore, Maryland 21205, United States</w:t>
      </w:r>
    </w:p>
    <w:p w14:paraId="2D83C6CA" w14:textId="77777777" w:rsidR="002A1988" w:rsidRDefault="00B541F4">
      <w:pPr>
        <w:spacing w:after="120"/>
      </w:pPr>
      <w:r>
        <w:t>[2] Alexandra Maertens, Center for Alternatives to Animal Testing (CAAT), Johns Hopkins Bloomberg School of Public Health, amaerte1@jhu.edu</w:t>
      </w:r>
    </w:p>
    <w:p w14:paraId="336DF6F8" w14:textId="77777777" w:rsidR="002A1988" w:rsidRDefault="00B541F4">
      <w:pPr>
        <w:pStyle w:val="Heading2"/>
      </w:pPr>
      <w:r>
        <w:t>2.6. Date of Model Development and/or Publication</w:t>
      </w:r>
    </w:p>
    <w:p w14:paraId="1CA85BCB" w14:textId="77777777" w:rsidR="002A1988" w:rsidRDefault="00B541F4">
      <w:pPr>
        <w:spacing w:after="120"/>
      </w:pPr>
      <w:r>
        <w:t>2025-2026</w:t>
      </w:r>
    </w:p>
    <w:p w14:paraId="01D62A1B" w14:textId="77777777" w:rsidR="002A1988" w:rsidRDefault="00B541F4">
      <w:pPr>
        <w:pStyle w:val="Heading2"/>
      </w:pPr>
      <w:r>
        <w:t>2.7. Reference(s) to Main Scientific Papers and/or Software Package</w:t>
      </w:r>
    </w:p>
    <w:p w14:paraId="1019F97F" w14:textId="77777777" w:rsidR="002A1988" w:rsidRDefault="00B541F4">
      <w:pPr>
        <w:spacing w:after="120"/>
      </w:pPr>
      <w:r>
        <w:t>[1] Ukaegbu, D.C., Kopańska, K., Ranslow, P., &amp; Maertens, A. Optimizing Skin Sensitization Prediction: A Comparative Analysis of K-Nearest Neighbours vs Random Forest. (Manuscript in preparation)</w:t>
      </w:r>
    </w:p>
    <w:p w14:paraId="4F852CA5" w14:textId="77777777" w:rsidR="002A1988" w:rsidRDefault="00B541F4">
      <w:pPr>
        <w:spacing w:after="120"/>
      </w:pPr>
      <w:r>
        <w:t>[2] Golden, E., Ukaegbu, D.C., Ranslow, P., Brown, R.H., Hartung, T., &amp; Maertens, A. (2023). The Good, The Bad, and The Perplexing: Structural Alerts and Read-Across for Predicting Skin Sensitization Using Human Data. Chemical Research in Toxicology, 36(5), 734-746.</w:t>
      </w:r>
    </w:p>
    <w:p w14:paraId="430E8690" w14:textId="77777777" w:rsidR="002A1988" w:rsidRDefault="00B541F4">
      <w:pPr>
        <w:spacing w:after="120"/>
      </w:pPr>
      <w:r>
        <w:t>[3] Breiman, L. (2001). Random Forests. Machine Learning, 45(1), 5-32.</w:t>
      </w:r>
    </w:p>
    <w:p w14:paraId="1F4D2D3D" w14:textId="77777777" w:rsidR="002A1988" w:rsidRDefault="00B541F4">
      <w:pPr>
        <w:spacing w:after="120"/>
      </w:pPr>
      <w:r>
        <w:t>[4] Pedregosa, F. et al. (2011). Scikit-learn: Machine Learning in Python. JMLR, 12, 2825-2830.</w:t>
      </w:r>
    </w:p>
    <w:p w14:paraId="6ECD385A" w14:textId="77777777" w:rsidR="002A1988" w:rsidRDefault="00B541F4">
      <w:pPr>
        <w:pStyle w:val="Heading2"/>
      </w:pPr>
      <w:r>
        <w:t>2.8. Availability of Information About the Model</w:t>
      </w:r>
    </w:p>
    <w:p w14:paraId="51F7C191" w14:textId="77777777" w:rsidR="002A1988" w:rsidRDefault="00B541F4">
      <w:pPr>
        <w:spacing w:after="120"/>
      </w:pPr>
      <w:r>
        <w:t>The model is non-proprietary. Training and test datasets, source code, and Colab notebooks are publicly available via GitHub: https://github.com/DaniChinwendu/skin-sensitization-prediction</w:t>
      </w:r>
    </w:p>
    <w:p w14:paraId="28C9AEAB" w14:textId="77777777" w:rsidR="002A1988" w:rsidRDefault="00B541F4">
      <w:pPr>
        <w:pStyle w:val="Heading2"/>
      </w:pPr>
      <w:r>
        <w:t>2.9. Availability of Another QMRF for Exactly the Same Model</w:t>
      </w:r>
    </w:p>
    <w:p w14:paraId="5C3EAB8A" w14:textId="77777777" w:rsidR="002A1988" w:rsidRDefault="00B541F4">
      <w:pPr>
        <w:spacing w:after="120"/>
      </w:pPr>
      <w:r>
        <w:t>NA</w:t>
      </w:r>
    </w:p>
    <w:p w14:paraId="6B47A9AB" w14:textId="77777777" w:rsidR="002A1988" w:rsidRDefault="00B541F4">
      <w:pPr>
        <w:pStyle w:val="Heading1"/>
        <w:shd w:val="clear" w:color="auto" w:fill="D5E8F0"/>
      </w:pPr>
      <w:r>
        <w:t>3. Defining the Endpoint - OECD Principle 1</w:t>
      </w:r>
    </w:p>
    <w:p w14:paraId="3744EB79" w14:textId="77777777" w:rsidR="002A1988" w:rsidRDefault="00B541F4">
      <w:pPr>
        <w:pStyle w:val="Heading2"/>
      </w:pPr>
      <w:r>
        <w:t>3.1. Species</w:t>
      </w:r>
    </w:p>
    <w:p w14:paraId="6A0A5F97" w14:textId="77777777" w:rsidR="002A1988" w:rsidRDefault="00B541F4">
      <w:pPr>
        <w:spacing w:after="120"/>
      </w:pPr>
      <w:r>
        <w:t>Multiple species: CBA mice (Local Lymph Node Assay - LLNA), Guinea pig (Buehler Test, Guinea Pig Maximization Test), and Human (Human Patch Test data)</w:t>
      </w:r>
    </w:p>
    <w:p w14:paraId="2B020D82" w14:textId="77777777" w:rsidR="002A1988" w:rsidRDefault="00B541F4">
      <w:pPr>
        <w:pStyle w:val="Heading2"/>
      </w:pPr>
      <w:r>
        <w:t>3.2. Endpoint</w:t>
      </w:r>
    </w:p>
    <w:p w14:paraId="08CCEC0D" w14:textId="76030F52" w:rsidR="002A1988" w:rsidRDefault="00B541F4">
      <w:pPr>
        <w:spacing w:after="120"/>
      </w:pPr>
      <w:r>
        <w:lastRenderedPageBreak/>
        <w:t>Skin sensitization hazard (binary classification: sensitizer/non-sensitizer). Data primarily from in vivo studies including LLNA (OECD TG 429), Buehler Test (OECD TG 406), Guinea Pig Maximization Test, and human patch test results</w:t>
      </w:r>
      <w:r w:rsidR="00895F6B">
        <w:fldChar w:fldCharType="begin"/>
      </w:r>
      <w:r w:rsidR="00895F6B">
        <w:instrText xml:space="preserve"> ADDIN ZOTERO_ITEM CSL_CITATION {"citationID":"5FeXNxh7","properties":{"formattedCitation":"(Bunne et al., 2024)","plainCitation":"(Bunne et al., 2024)","noteIndex":0},"citationItems":[{"id":1080,"uris":["http://zotero.org/users/17568995/items/EQ8H63Q5"],"itemData":{"id":1080,"type":"article-journal","container-title":"Cell","DOI":"10.1016/j.cell.2024.11.015","ISSN":"00928674","issue":"25","journalAbbreviation":"Cell","language":"en","page":"7045-7063","source":"DOI.org (Crossref)","title":"How to build the virtual cell with artificial intelligence: Priorities and opportunities","title-short":"How to build the virtual cell with artificial intelligence","volume":"187","author":[{"family":"Bunne","given":"Charlotte"},{"family":"Roohani","given":"Yusuf"},{"family":"Rosen","given":"Yanay"},{"family":"Gupta","given":"Ankit"},{"family":"Zhang","given":"Xikun"},{"family":"Roed","given":"Marcel"},{"family":"Alexandrov","given":"Theo"},{"family":"AlQuraishi","given":"Mohammed"},{"family":"Brennan","given":"Patricia"},{"family":"Burkhardt","given":"Daniel B."},{"family":"Califano","given":"Andrea"},{"family":"Cool","given":"Jonah"},{"family":"Dernburg","given":"Abby F."},{"family":"Ewing","given":"Kirsty"},{"family":"Fox","given":"Emily B."},{"family":"Haury","given":"Matthias"},{"family":"Herr","given":"Amy E."},{"family":"Horvitz","given":"Eric"},{"family":"Hsu","given":"Patrick D."},{"family":"Jain","given":"Viren"},{"family":"Johnson","given":"Gregory R."},{"family":"Kalil","given":"Thomas"},{"family":"Kelley","given":"David R."},{"family":"Kelley","given":"Shana O."},{"family":"Kreshuk","given":"Anna"},{"family":"Mitchison","given":"Tim"},{"family":"Otte","given":"Stephani"},{"family":"Shendure","given":"Jay"},{"family":"Sofroniew","given":"Nicholas J."},{"family":"Theis","given":"Fabian"},{"family":"Theodoris","given":"Christina V."},{"family":"Upadhyayula","given":"Srigokul"},{"family":"Valer","given":"Marc"},{"family":"Wang","given":"Bo"},{"family":"Xing","given":"Eric"},{"family":"Yeung-Levy","given":"Serena"},{"family":"Zitnik","given":"Marinka"},{"family":"Karaletsos","given":"Theofanis"},{"family":"Regev","given":"Aviv"},{"family":"Lundberg","given":"Emma"},{"family":"Leskovec","given":"Jure"},{"family":"Quake","given":"Stephen R."}],"issued":{"date-parts":[["2024",12]]}}}],"schema":"https://github.com/citation-style-language/schema/raw/master/csl-citation.json"} </w:instrText>
      </w:r>
      <w:r w:rsidR="00895F6B">
        <w:fldChar w:fldCharType="separate"/>
      </w:r>
      <w:r w:rsidR="00895F6B" w:rsidRPr="00895F6B">
        <w:t>(Bunne et al., 2024)</w:t>
      </w:r>
      <w:r w:rsidR="00895F6B">
        <w:fldChar w:fldCharType="end"/>
      </w:r>
      <w:r>
        <w:t>.</w:t>
      </w:r>
    </w:p>
    <w:p w14:paraId="38886E90" w14:textId="77777777" w:rsidR="002A1988" w:rsidRDefault="00B541F4">
      <w:pPr>
        <w:pStyle w:val="Heading2"/>
      </w:pPr>
      <w:r>
        <w:t>3.3. Comment on Endpoint</w:t>
      </w:r>
    </w:p>
    <w:p w14:paraId="65065ADC" w14:textId="77777777" w:rsidR="002A1988" w:rsidRDefault="00B541F4">
      <w:pPr>
        <w:spacing w:after="120"/>
      </w:pPr>
      <w:r>
        <w:t>Skin sensitizers are substances able to elicit an allergic response following contact with the skin, termed Allergic Contact Dermatitis (ACD) in humans. The model predicts binary classification: sensitizer or non-sensitizer. This endpoint corresponds to the Molecular Initiating Event (MIE) in the Adverse Outcome Pathway (AOP) for skin sensitization, specifically covalent binding to skin proteins.</w:t>
      </w:r>
    </w:p>
    <w:p w14:paraId="3FD88DE0" w14:textId="77777777" w:rsidR="002A1988" w:rsidRDefault="00B541F4">
      <w:pPr>
        <w:pStyle w:val="Heading2"/>
      </w:pPr>
      <w:r>
        <w:t>3.4. Endpoint Units</w:t>
      </w:r>
    </w:p>
    <w:p w14:paraId="71C7B00D" w14:textId="77777777" w:rsidR="002A1988" w:rsidRDefault="00B541F4">
      <w:pPr>
        <w:spacing w:after="120"/>
      </w:pPr>
      <w:r>
        <w:t>Dimensionless (binary classification: 1 = sensitizer, 0 = non-sensitizer)</w:t>
      </w:r>
    </w:p>
    <w:p w14:paraId="14B9CF39" w14:textId="77777777" w:rsidR="002A1988" w:rsidRDefault="00B541F4">
      <w:pPr>
        <w:pStyle w:val="Heading2"/>
      </w:pPr>
      <w:r>
        <w:t>3.5. Dependent Variable</w:t>
      </w:r>
    </w:p>
    <w:p w14:paraId="374F71C8" w14:textId="77777777" w:rsidR="002A1988" w:rsidRDefault="00B541F4">
      <w:pPr>
        <w:spacing w:after="120"/>
      </w:pPr>
      <w:r>
        <w:t>Binary skin sensitization status (sensitizer/non-sensitizer) determined from experimental data including LLNA results, CLP classifications, and human patch test data where available.</w:t>
      </w:r>
    </w:p>
    <w:p w14:paraId="7DCCE8B5" w14:textId="77777777" w:rsidR="002A1988" w:rsidRDefault="00B541F4">
      <w:pPr>
        <w:pStyle w:val="Heading2"/>
      </w:pPr>
      <w:r>
        <w:t>3.6. Experimental Protocol</w:t>
      </w:r>
    </w:p>
    <w:p w14:paraId="39086CE7" w14:textId="77777777" w:rsidR="002A1988" w:rsidRDefault="00B541F4">
      <w:pPr>
        <w:spacing w:after="120"/>
      </w:pPr>
      <w:r>
        <w:t>Training data compiled from multiple sources: (1) OECD TG 429 Local Lymph Node Assay (LLNA) - radioactive labeling to measure proliferating cells in draining auricular lymph nodes; (2) OECD TG 406 Buehler Test and Guinea Pig Maximization Test; (3) Human patch test data; (4) Classification, Labelling and Packaging (CLP) annotations from ECHA dossiers.</w:t>
      </w:r>
    </w:p>
    <w:p w14:paraId="1346AB38" w14:textId="77777777" w:rsidR="002A1988" w:rsidRDefault="00B541F4">
      <w:pPr>
        <w:pStyle w:val="Heading2"/>
      </w:pPr>
      <w:r>
        <w:t>3.7. Endpoint Data Quality and Variability</w:t>
      </w:r>
    </w:p>
    <w:p w14:paraId="192339E5" w14:textId="34F0B17C" w:rsidR="002A1988" w:rsidRDefault="00B541F4">
      <w:pPr>
        <w:spacing w:after="120"/>
      </w:pPr>
      <w:r>
        <w:t>Data were compiled from e-Chemportal (initial query: 2626 chemicals), ECHA dossier database (CLP classifications and experimental results), Golden et al. (2021) negative chemicals, and USEPA high-production volume chemical database</w:t>
      </w:r>
      <w:r w:rsidR="00477D22">
        <w:t xml:space="preserve"> from which provisional negatives were obtained from</w:t>
      </w:r>
      <w:r>
        <w:t>. After rigorous curation including removal of invalid CAS numbers, metals/metal salts, and quality checks, the final dataset contained 1174 mono-constituent organic compounds (656 sensitizers, 518 non-sensitizers). High concordance was observed between experimental results and CLP classifications.</w:t>
      </w:r>
    </w:p>
    <w:p w14:paraId="7770C2A8" w14:textId="77777777" w:rsidR="002A1988" w:rsidRDefault="00B541F4">
      <w:pPr>
        <w:pStyle w:val="Heading1"/>
        <w:shd w:val="clear" w:color="auto" w:fill="D5E8F0"/>
      </w:pPr>
      <w:r>
        <w:t>4. Defining the Algorithm - OECD Principle 2</w:t>
      </w:r>
    </w:p>
    <w:p w14:paraId="3BE89746" w14:textId="77777777" w:rsidR="002A1988" w:rsidRDefault="00B541F4">
      <w:pPr>
        <w:pStyle w:val="Heading2"/>
      </w:pPr>
      <w:r>
        <w:t>4.1. Type of Model</w:t>
      </w:r>
    </w:p>
    <w:p w14:paraId="6500362A" w14:textId="77777777" w:rsidR="002A1988" w:rsidRDefault="00B541F4">
      <w:pPr>
        <w:spacing w:after="120"/>
      </w:pPr>
      <w:r>
        <w:t>Random Forest ensemble classifier using integrated molecular descriptors. The model combines: (1) Avalon molecular fingerprints (1024 bits) - a hybrid approach combining predefined structural features with hash-based encoding; (2) Physicochemical properties: Log P (lipophilicity), Water Solubility (log mol/L), Vapor Pressure (log mmHg); (3) Structural alerts from Toxtree skin sensitization module (Michael acceptor, Acyl transfer, SN2, SNAr, Schiff base formation).</w:t>
      </w:r>
    </w:p>
    <w:p w14:paraId="542ACC03" w14:textId="77777777" w:rsidR="002A1988" w:rsidRDefault="00B541F4">
      <w:pPr>
        <w:pStyle w:val="Heading2"/>
      </w:pPr>
      <w:r>
        <w:t>4.2. Explicit Algorithm</w:t>
      </w:r>
    </w:p>
    <w:p w14:paraId="08E1785E" w14:textId="64854D71" w:rsidR="002A1988" w:rsidRDefault="00B541F4">
      <w:pPr>
        <w:spacing w:after="120"/>
      </w:pPr>
      <w:r>
        <w:lastRenderedPageBreak/>
        <w:t xml:space="preserve">Random Forest is a supervised ensemble learning method that constructs multiple decision trees during training and outputs the class that is the mode of the classes of individual trees. The implementation uses scikit-learn RandomForestClassifier with the following optimized parameters: n_estimators </w:t>
      </w:r>
      <w:r w:rsidR="00A00DBE">
        <w:t>55</w:t>
      </w:r>
      <w:r>
        <w:t xml:space="preserve"> trees, with random state optimization </w:t>
      </w:r>
      <w:r w:rsidR="00A00DBE">
        <w:t xml:space="preserve">was set to 9 </w:t>
      </w:r>
      <w:r>
        <w:t>for reproducibility. Classification is determined by majority vote across all trees in the forest.</w:t>
      </w:r>
    </w:p>
    <w:p w14:paraId="4CD3697E" w14:textId="77777777" w:rsidR="002A1988" w:rsidRDefault="00B541F4">
      <w:pPr>
        <w:spacing w:after="120"/>
      </w:pPr>
      <w:r>
        <w:t>Feature integration follows a hierarchical approach: Level 1 - Avalon fingerprints alone; Level 2 - fingerprints + structural alerts; Level 3 - fully integrated (fingerprints + alerts + physicochemical properties). The fully integrated model achieved optimal performance.</w:t>
      </w:r>
    </w:p>
    <w:p w14:paraId="6582DB37" w14:textId="77777777" w:rsidR="002A1988" w:rsidRDefault="00B541F4">
      <w:pPr>
        <w:pStyle w:val="Heading2"/>
      </w:pPr>
      <w:r>
        <w:t>4.3. Descriptors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A1988" w14:paraId="2126B812" w14:textId="77777777">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820C204" w14:textId="77777777" w:rsidR="002A1988" w:rsidRDefault="00B541F4">
            <w:r>
              <w:rPr>
                <w:b/>
                <w:bCs/>
              </w:rPr>
              <w:t>Descriptor Type</w:t>
            </w:r>
          </w:p>
        </w:tc>
        <w:tc>
          <w:tcPr>
            <w:tcW w:w="6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BC00904" w14:textId="77777777" w:rsidR="002A1988" w:rsidRDefault="00B541F4">
            <w:r>
              <w:rPr>
                <w:b/>
                <w:bCs/>
              </w:rPr>
              <w:t>Description</w:t>
            </w:r>
          </w:p>
        </w:tc>
      </w:tr>
      <w:tr w:rsidR="002A1988" w14:paraId="1BD57C76"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70474E" w14:textId="77777777" w:rsidR="002A1988" w:rsidRDefault="00B541F4">
            <w:r>
              <w:t>Avalon FP</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6C6117" w14:textId="77777777" w:rsidR="002A1988" w:rsidRDefault="00B541F4">
            <w:r>
              <w:t>1024-bit hybrid fingerprint combining predefined structural features with hash-based encoding (RDKit)</w:t>
            </w:r>
          </w:p>
        </w:tc>
      </w:tr>
      <w:tr w:rsidR="002A1988" w14:paraId="7010B71B"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46AD2" w14:textId="77777777" w:rsidR="002A1988" w:rsidRDefault="00B541F4">
            <w:r>
              <w:t>Log P</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52DDB7" w14:textId="77777777" w:rsidR="002A1988" w:rsidRDefault="00B541F4">
            <w:r>
              <w:t>Lipophilicity (OPERA/DataWarrior)</w:t>
            </w:r>
          </w:p>
        </w:tc>
      </w:tr>
      <w:tr w:rsidR="002A1988" w14:paraId="22E82786"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4D69F0" w14:textId="77777777" w:rsidR="002A1988" w:rsidRDefault="00B541F4">
            <w:r>
              <w:t>Water Solubility</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60204" w14:textId="77777777" w:rsidR="002A1988" w:rsidRDefault="00B541F4">
            <w:r>
              <w:t>log mol/L (OPERA/ChemBCPP)</w:t>
            </w:r>
          </w:p>
        </w:tc>
      </w:tr>
      <w:tr w:rsidR="002A1988" w14:paraId="42F59674"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4111E0" w14:textId="77777777" w:rsidR="002A1988" w:rsidRDefault="00B541F4">
            <w:r>
              <w:t>Vapor Pressure</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57A22E" w14:textId="77777777" w:rsidR="002A1988" w:rsidRDefault="00B541F4">
            <w:r>
              <w:t>log mmHg (OPERA/ChemBCPP</w:t>
            </w:r>
            <w:r>
              <w:t>) - identified by SHAP as most important physicochemical predictor</w:t>
            </w:r>
          </w:p>
        </w:tc>
      </w:tr>
      <w:tr w:rsidR="002A1988" w14:paraId="000598AE" w14:textId="77777777">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99AE84" w14:textId="77777777" w:rsidR="002A1988" w:rsidRDefault="00B541F4">
            <w:r>
              <w:t>Structural Alerts</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C8D7A5" w14:textId="77777777" w:rsidR="002A1988" w:rsidRDefault="00B541F4">
            <w:r>
              <w:t>Toxtree v3.10: Michael acceptor, Acyl transfer, SN2, SNAr, Schiff base formation</w:t>
            </w:r>
          </w:p>
        </w:tc>
      </w:tr>
    </w:tbl>
    <w:p w14:paraId="71BF067A" w14:textId="77777777" w:rsidR="002A1988" w:rsidRDefault="00B541F4">
      <w:pPr>
        <w:pStyle w:val="Heading2"/>
      </w:pPr>
      <w:r>
        <w:t>4.4. Descriptor Selection</w:t>
      </w:r>
    </w:p>
    <w:p w14:paraId="48686A29" w14:textId="77777777" w:rsidR="002A1988" w:rsidRDefault="00B541F4">
      <w:pPr>
        <w:spacing w:after="120"/>
      </w:pPr>
      <w:r>
        <w:t>Descriptors were selected based on mechanistic relevance to the skin sensitization AOP and empirical performance evaluation. Avalon fingerprints were selected after systematic comparison of five fingerprint types (MACCS, PubChem, Morgan, Atom Pair, Avalon), demonstrating optimal performance across all evaluation metrics. The hybrid design of Avalon combines interpretability of dictionary-based features with flexibility of hash-based encoding.</w:t>
      </w:r>
    </w:p>
    <w:p w14:paraId="68BD87A0" w14:textId="77777777" w:rsidR="002A1988" w:rsidRDefault="00B541F4">
      <w:pPr>
        <w:spacing w:after="120"/>
      </w:pPr>
      <w:r>
        <w:t>SHAP (Shapley Additive Explanations) analysis was employed for feature importance evaluation. Key findings: (1) Vapor pressure emerged as the most consistently important physicochemical predictor across all fingerprint approaches; (2) Michael acceptor alerts were consistently identified as high-importance features; (3) Nitrogen-containing functionalities were most frequently represented among important fingerprint bits (33.9%), followed by oxygen-containing groups (19.1%).</w:t>
      </w:r>
    </w:p>
    <w:p w14:paraId="4A08F212" w14:textId="77777777" w:rsidR="002A1988" w:rsidRDefault="00B541F4">
      <w:pPr>
        <w:pStyle w:val="Heading2"/>
      </w:pPr>
      <w:r>
        <w:t>4.5. Algorithm and Descriptor Generation</w:t>
      </w:r>
    </w:p>
    <w:p w14:paraId="543B7A6C" w14:textId="77777777" w:rsidR="002A1988" w:rsidRDefault="00B541F4">
      <w:pPr>
        <w:spacing w:after="120"/>
      </w:pPr>
      <w:r>
        <w:t>Molecular fingerprints: RDKit cheminformatics package v2022.09.5. Physicochemical properties: OPERA (Open Structure-activity/property Relationship Model) as primary source (58% coverage), with ChemBCPP for vapor pressure and water solubility gap-filling, and DataWarrior for LogP values. Structural alerts: Toxtree desktop v3.10 skin sensitization decision tree. All properties standardized using scikit-learn StandardScaler.</w:t>
      </w:r>
    </w:p>
    <w:p w14:paraId="08D471EE" w14:textId="77777777" w:rsidR="002A1988" w:rsidRDefault="00B541F4">
      <w:pPr>
        <w:pStyle w:val="Heading2"/>
      </w:pPr>
      <w:r>
        <w:t>4.6. Software Name and Version for Descriptor Generation</w:t>
      </w:r>
    </w:p>
    <w:p w14:paraId="59237221" w14:textId="77777777" w:rsidR="002A1988" w:rsidRDefault="00B541F4">
      <w:pPr>
        <w:spacing w:after="120"/>
      </w:pPr>
      <w:r>
        <w:lastRenderedPageBreak/>
        <w:t>RDKit v2022.09.5 (fingerprints), OPERA (physicochemical - primary), ChemBCPP (physicochemical - secondary), DataWarrior (LogP), Toxtree</w:t>
      </w:r>
      <w:r>
        <w:t xml:space="preserve"> v3.10 (structural alerts), scikit-learn v1.3.1 (model training and standardization)</w:t>
      </w:r>
    </w:p>
    <w:p w14:paraId="3FDE3E72" w14:textId="77777777" w:rsidR="002A1988" w:rsidRDefault="00B541F4">
      <w:pPr>
        <w:pStyle w:val="Heading2"/>
      </w:pPr>
      <w:r>
        <w:t>4.7. Chemicals/Descriptors Ratio</w:t>
      </w:r>
    </w:p>
    <w:p w14:paraId="4C0E68D1" w14:textId="192DADFA" w:rsidR="002A1988" w:rsidRDefault="00B541F4">
      <w:pPr>
        <w:spacing w:after="120"/>
      </w:pPr>
      <w:r>
        <w:t>939 training chemicals / ~</w:t>
      </w:r>
      <w:r w:rsidR="007B73F8">
        <w:t>520</w:t>
      </w:r>
      <w:r>
        <w:t xml:space="preserve"> integrated features (</w:t>
      </w:r>
      <w:r w:rsidR="00D16393">
        <w:t xml:space="preserve">512 </w:t>
      </w:r>
      <w:r>
        <w:t xml:space="preserve">Avalon bits + 3 physicochemical + 5 structural alerts) </w:t>
      </w:r>
    </w:p>
    <w:p w14:paraId="5FD7E5C0" w14:textId="77777777" w:rsidR="002A1988" w:rsidRDefault="00B541F4">
      <w:pPr>
        <w:pStyle w:val="Heading1"/>
        <w:shd w:val="clear" w:color="auto" w:fill="D5E8F0"/>
      </w:pPr>
      <w:r>
        <w:t>5. Defining the Applicability Domain - OECD Principle 3</w:t>
      </w:r>
    </w:p>
    <w:p w14:paraId="7895F00E" w14:textId="77777777" w:rsidR="002A1988" w:rsidRDefault="00B541F4">
      <w:pPr>
        <w:pStyle w:val="Heading2"/>
      </w:pPr>
      <w:r>
        <w:t>5.1. Description of the Applicability Domain of the Model</w:t>
      </w:r>
    </w:p>
    <w:p w14:paraId="2B274C36" w14:textId="77777777" w:rsidR="002A1988" w:rsidRDefault="00B541F4">
      <w:pPr>
        <w:spacing w:after="120"/>
      </w:pPr>
      <w:r>
        <w:t>The applicability domain (AD) is assessed using a similarity-based approach based on Tanimoto similarity between Avalon molecular fingerprints (2048 bits). This methodology evaluates whether test compounds fall within the chemical space represented by the training set.</w:t>
      </w:r>
    </w:p>
    <w:p w14:paraId="1DA388AA" w14:textId="77777777" w:rsidR="002A1988" w:rsidRDefault="00B541F4">
      <w:pPr>
        <w:spacing w:after="120"/>
      </w:pPr>
      <w:r>
        <w:t>A similarity threshold (S_T) is calculated from the training set: S_T = γ̄ + Zσ, where γ̄ is the average pairwise Tanimoto similarity, σ is the standard deviation, and Z=0.5 (liberal threshold balancing coverage with reliability).</w:t>
      </w:r>
    </w:p>
    <w:p w14:paraId="25BE9B74" w14:textId="77777777" w:rsidR="002A1988" w:rsidRDefault="00B541F4">
      <w:pPr>
        <w:spacing w:after="120"/>
      </w:pPr>
      <w:r>
        <w:t>For each test compound, Tanimoto similarity to all training compounds is computed. The average similarity to the k=5 most similar training compounds is compared to the threshold. Compounds exceeding the threshold are considered within the AD; those falling below are flagged for potentially less reliable predictions.</w:t>
      </w:r>
    </w:p>
    <w:p w14:paraId="1C5E85BD" w14:textId="77777777" w:rsidR="002A1988" w:rsidRDefault="00B541F4">
      <w:pPr>
        <w:pStyle w:val="Heading2"/>
      </w:pPr>
      <w:r>
        <w:t>5.2. Method Used to Assess the Applicability Domain</w:t>
      </w:r>
    </w:p>
    <w:p w14:paraId="713D59E8" w14:textId="77777777" w:rsidR="002A1988" w:rsidRDefault="00B541F4">
      <w:pPr>
        <w:spacing w:after="120"/>
      </w:pPr>
      <w:r>
        <w:t>Tanimoto similarity-based k-nearest neighbor approach. AD coverage visualized using t-distributed Stochastic Neighbor Embedding (t-SNE) projection of high-dimensional fingerprint space into two dimensions, allowing assessment of chemical space overlap between training and test sets.</w:t>
      </w:r>
    </w:p>
    <w:p w14:paraId="59AF069A" w14:textId="77777777" w:rsidR="002A1988" w:rsidRDefault="00B541F4">
      <w:pPr>
        <w:pStyle w:val="Heading2"/>
      </w:pPr>
      <w:r>
        <w:t>5.3. Software Name and Version for Applicability Domain Assessment</w:t>
      </w:r>
    </w:p>
    <w:p w14:paraId="2A9D1C63" w14:textId="77777777" w:rsidR="002A1988" w:rsidRDefault="00B541F4">
      <w:pPr>
        <w:spacing w:after="120"/>
      </w:pPr>
      <w:r>
        <w:t>RDKit v2022.09.5 (Tanimoto similarity calculation), scikit-learn (t-SNE visualization), custom Python implementation available in GitHub repository</w:t>
      </w:r>
    </w:p>
    <w:p w14:paraId="6856BEA8" w14:textId="77777777" w:rsidR="002A1988" w:rsidRDefault="00B541F4">
      <w:pPr>
        <w:pStyle w:val="Heading2"/>
      </w:pPr>
      <w:r>
        <w:t>5.4. Limits of Applicability</w:t>
      </w:r>
    </w:p>
    <w:p w14:paraId="62DD11D0" w14:textId="69BDA3E5" w:rsidR="002A1988" w:rsidRDefault="00B541F4">
      <w:pPr>
        <w:spacing w:after="120"/>
      </w:pPr>
      <w:r>
        <w:t>The model is not applicable to: (1) Inorganic chemicals and metal salts - excluded during training as they do not follow the organic chemical AOP; (2) Substances with elements other than C, H, O, N, S, P, halogens; (3) Mixtures and multi-constituent substances</w:t>
      </w:r>
    </w:p>
    <w:p w14:paraId="56015026" w14:textId="77777777" w:rsidR="002A1988" w:rsidRDefault="00B541F4">
      <w:pPr>
        <w:pStyle w:val="Heading1"/>
        <w:shd w:val="clear" w:color="auto" w:fill="D5E8F0"/>
      </w:pPr>
      <w:r>
        <w:t>6. Internal Validation - OECD Principle 4</w:t>
      </w:r>
    </w:p>
    <w:p w14:paraId="0B6C97C0" w14:textId="77777777" w:rsidR="002A1988" w:rsidRDefault="00B541F4">
      <w:pPr>
        <w:pStyle w:val="Heading2"/>
      </w:pPr>
      <w:r>
        <w:t>6.1. Availability of the Training Set</w:t>
      </w:r>
    </w:p>
    <w:p w14:paraId="60066156" w14:textId="77777777" w:rsidR="002A1988" w:rsidRDefault="00B541F4">
      <w:pPr>
        <w:spacing w:after="120"/>
      </w:pPr>
      <w:r>
        <w:t>Yes - publicly available via GitHub repository</w:t>
      </w:r>
    </w:p>
    <w:p w14:paraId="6FD1101C" w14:textId="77777777" w:rsidR="002A1988" w:rsidRDefault="00B541F4">
      <w:pPr>
        <w:pStyle w:val="Heading2"/>
      </w:pPr>
      <w:r>
        <w:lastRenderedPageBreak/>
        <w:t>6.2. Available Information for the Training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A1988" w14:paraId="2D95A1A0" w14:textId="7777777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63E347" w14:textId="77777777" w:rsidR="002A1988" w:rsidRDefault="00B541F4">
            <w:r>
              <w:t>CAS RN: Yes</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130438" w14:textId="77777777" w:rsidR="002A1988" w:rsidRDefault="00B541F4">
            <w:r>
              <w:t>Chemical Name: Yes</w:t>
            </w:r>
          </w:p>
        </w:tc>
      </w:tr>
      <w:tr w:rsidR="002A1988" w14:paraId="652A31B4" w14:textId="7777777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664353" w14:textId="77777777" w:rsidR="002A1988" w:rsidRDefault="00B541F4">
            <w:r>
              <w:t>SMILES: Yes</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31BCF0" w14:textId="77777777" w:rsidR="002A1988" w:rsidRDefault="00B541F4">
            <w:r>
              <w:t>InChI Key: Yes</w:t>
            </w:r>
          </w:p>
        </w:tc>
      </w:tr>
      <w:tr w:rsidR="002A1988" w14:paraId="05B8BCB4" w14:textId="77777777">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1C386" w14:textId="77777777" w:rsidR="002A1988" w:rsidRDefault="00B541F4">
            <w:r>
              <w:t>Formula: No</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6AC32" w14:textId="77777777" w:rsidR="002A1988" w:rsidRDefault="00B541F4">
            <w:r>
              <w:t>MOL file: No</w:t>
            </w:r>
          </w:p>
        </w:tc>
      </w:tr>
    </w:tbl>
    <w:p w14:paraId="1B2C0442" w14:textId="77777777" w:rsidR="002A1988" w:rsidRDefault="00B541F4">
      <w:pPr>
        <w:pStyle w:val="Heading2"/>
      </w:pPr>
      <w:r>
        <w:t>6.3. Data for Each Descriptor Variable for the Training Set</w:t>
      </w:r>
    </w:p>
    <w:p w14:paraId="02AC1AAB" w14:textId="77777777" w:rsidR="002A1988" w:rsidRDefault="00B541F4">
      <w:pPr>
        <w:spacing w:after="120"/>
      </w:pPr>
      <w:r>
        <w:t>All descriptor data available in supplementary materials and GitHub repository</w:t>
      </w:r>
    </w:p>
    <w:p w14:paraId="1F87B890" w14:textId="77777777" w:rsidR="002A1988" w:rsidRDefault="00B541F4">
      <w:pPr>
        <w:pStyle w:val="Heading2"/>
      </w:pPr>
      <w:r>
        <w:t>6.4. Data for the Dependent Variable for the Training Set</w:t>
      </w:r>
    </w:p>
    <w:p w14:paraId="34C026C3" w14:textId="77777777" w:rsidR="002A1988" w:rsidRDefault="00B541F4">
      <w:pPr>
        <w:spacing w:after="120"/>
      </w:pPr>
      <w:r>
        <w:t>All sensitization classifications available with source documentation</w:t>
      </w:r>
    </w:p>
    <w:p w14:paraId="4A9BC508" w14:textId="77777777" w:rsidR="002A1988" w:rsidRDefault="00B541F4">
      <w:pPr>
        <w:pStyle w:val="Heading2"/>
      </w:pPr>
      <w:r>
        <w:t>6.5. Other Information About the Training Set</w:t>
      </w:r>
    </w:p>
    <w:p w14:paraId="54E2949A" w14:textId="77777777" w:rsidR="002A1988" w:rsidRDefault="00B541F4">
      <w:pPr>
        <w:spacing w:after="120"/>
      </w:pPr>
      <w:r>
        <w:t>Training set: n=939 compounds (80% of total dataset). Composition: 524 sensitizers (55.8%), 415 non-sensitizers (44.2%). Dataset balanced to reduce bias from original imbalanced data. Sources include e-Chemportal, ECHA dossiers, Golden et al. (2021), and USEPA HPVC database.</w:t>
      </w:r>
    </w:p>
    <w:p w14:paraId="136BC9D7" w14:textId="77777777" w:rsidR="002A1988" w:rsidRDefault="00B541F4">
      <w:pPr>
        <w:pStyle w:val="Heading2"/>
      </w:pPr>
      <w:r>
        <w:t>6.6. Pre-processing of Data Before Modelling</w:t>
      </w:r>
    </w:p>
    <w:p w14:paraId="292AF42E" w14:textId="77777777" w:rsidR="002A1988" w:rsidRDefault="00B541F4">
      <w:pPr>
        <w:spacing w:after="120"/>
      </w:pPr>
      <w:r>
        <w:t>(1) Chemical structure validation and standardization; (2) Removal of metals, metal salts, and inorganic compounds; (3) SMILES verification via PubChem REST API; (4) Physicochemical properties log-transformed to match ChemBCPP output format; (5) All features standardized using scikit-learn StandardScaler; (6) Stratified 80/20 train-test split to maintain class proportions.</w:t>
      </w:r>
    </w:p>
    <w:p w14:paraId="6FE64F97" w14:textId="77777777" w:rsidR="002A1988" w:rsidRDefault="00B541F4">
      <w:pPr>
        <w:pStyle w:val="Heading2"/>
      </w:pPr>
      <w:r>
        <w:t>6.7. Statistics for Goodness-of-Fit</w:t>
      </w:r>
    </w:p>
    <w:p w14:paraId="71884D9C" w14:textId="77777777" w:rsidR="002A1988" w:rsidRDefault="00B541F4">
      <w:pPr>
        <w:spacing w:after="120"/>
      </w:pPr>
      <w:r>
        <w:t>Performance on Test Set (n=235) - RF-Avalon Fully Integrated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A1988" w14:paraId="535D584E" w14:textId="77777777">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5166052" w14:textId="77777777" w:rsidR="002A1988" w:rsidRDefault="00B541F4">
            <w:r>
              <w:rPr>
                <w:b/>
                <w:bCs/>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679ED01" w14:textId="77777777" w:rsidR="002A1988" w:rsidRDefault="00B541F4">
            <w:r>
              <w:rPr>
                <w:b/>
                <w:bCs/>
              </w:rPr>
              <w:t>Value</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E85F037" w14:textId="77777777" w:rsidR="002A1988" w:rsidRDefault="00B541F4">
            <w:r>
              <w:rPr>
                <w:b/>
                <w:bCs/>
              </w:rPr>
              <w:t>Description</w:t>
            </w:r>
          </w:p>
        </w:tc>
      </w:tr>
      <w:tr w:rsidR="002A1988" w14:paraId="7CDA8452"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117882" w14:textId="77777777" w:rsidR="002A1988" w:rsidRDefault="00B541F4">
            <w:r>
              <w:t>Accuracy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48FAB4" w14:textId="77777777" w:rsidR="002A1988" w:rsidRDefault="00B541F4">
            <w:r>
              <w:t>81%</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C69F50" w14:textId="77777777" w:rsidR="002A1988" w:rsidRDefault="00B541F4">
            <w:r>
              <w:t>(TP+TN)/Total</w:t>
            </w:r>
          </w:p>
        </w:tc>
      </w:tr>
      <w:tr w:rsidR="002A1988" w14:paraId="42B26EC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1329D5" w14:textId="77777777" w:rsidR="002A1988" w:rsidRDefault="00B541F4">
            <w:r>
              <w:t>Balanced Accuracy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38CDE3" w14:textId="77777777" w:rsidR="002A1988" w:rsidRDefault="00B541F4">
            <w:r>
              <w:t>81%</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3F3A76" w14:textId="77777777" w:rsidR="002A1988" w:rsidRDefault="00B541F4">
            <w:r>
              <w:t>(</w:t>
            </w:r>
            <w:r>
              <w:t>Sensitivity+Specificity)/2</w:t>
            </w:r>
          </w:p>
        </w:tc>
      </w:tr>
      <w:tr w:rsidR="002A1988" w14:paraId="6D56713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516F36" w14:textId="77777777" w:rsidR="002A1988" w:rsidRDefault="00B541F4">
            <w:r>
              <w:t>Sensitivity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244210" w14:textId="77777777" w:rsidR="002A1988" w:rsidRDefault="00B541F4">
            <w:r>
              <w:t>High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071251" w14:textId="77777777" w:rsidR="002A1988" w:rsidRDefault="00B541F4">
            <w:r>
              <w:t>True positive rate</w:t>
            </w:r>
          </w:p>
        </w:tc>
      </w:tr>
      <w:tr w:rsidR="002A1988" w14:paraId="022DC2BC"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42F366" w14:textId="77777777" w:rsidR="002A1988" w:rsidRDefault="00B541F4">
            <w:r>
              <w:t>Specificity</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05969" w14:textId="77777777" w:rsidR="002A1988" w:rsidRDefault="00B541F4">
            <w:r>
              <w:t>High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2E450" w14:textId="77777777" w:rsidR="002A1988" w:rsidRDefault="00B541F4">
            <w:r>
              <w:t>True negative rate</w:t>
            </w:r>
          </w:p>
        </w:tc>
      </w:tr>
      <w:tr w:rsidR="00DD01A3" w14:paraId="36EE931F"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981E6" w14:textId="72F64AAB" w:rsidR="00DD01A3" w:rsidRDefault="00DD01A3">
            <w:r>
              <w:t>Recall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291930" w14:textId="4EBC95FE" w:rsidR="00DD01A3" w:rsidRDefault="00DD01A3">
            <w:r>
              <w:t>High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B82EF6" w14:textId="22CFE2BB" w:rsidR="00DD01A3" w:rsidRDefault="004B34E3">
            <w:r w:rsidRPr="004B34E3">
              <w:t>Sensitivity, True Positive Rate (TPR)</w:t>
            </w:r>
          </w:p>
        </w:tc>
      </w:tr>
      <w:tr w:rsidR="00DD01A3" w14:paraId="3492F502"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349EB5" w14:textId="6EE50234" w:rsidR="00DD01A3" w:rsidRDefault="00DD01A3">
            <w:r>
              <w:t>F1</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B95208" w14:textId="57ADBBA5" w:rsidR="00DD01A3" w:rsidRDefault="00DD01A3">
            <w:r>
              <w:t>High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8CD34D" w14:textId="4D052628" w:rsidR="00DD01A3" w:rsidRDefault="00F47F78">
            <w:r w:rsidRPr="00F47F78">
              <w:t>F1-Score, F-measure, Harmonic mean of Precision and Recall</w:t>
            </w:r>
          </w:p>
        </w:tc>
      </w:tr>
      <w:tr w:rsidR="00F47F78" w14:paraId="7A5CF359" w14:textId="77777777">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14A9E" w14:textId="596C0595" w:rsidR="00F47F78" w:rsidRDefault="00F47F78">
            <w:r>
              <w:t xml:space="preserve">Precision </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852E9" w14:textId="5964E205" w:rsidR="00F47F78" w:rsidRDefault="00C04007">
            <w:r w:rsidRPr="00C04007">
              <w:t>High</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D1815F" w14:textId="58AD58FC" w:rsidR="00F47F78" w:rsidRPr="00F47F78" w:rsidRDefault="00C04007">
            <w:r w:rsidRPr="00C04007">
              <w:t>Positive Predictive Value (PPV)</w:t>
            </w:r>
          </w:p>
        </w:tc>
      </w:tr>
    </w:tbl>
    <w:p w14:paraId="3094488A" w14:textId="77777777" w:rsidR="002A1988" w:rsidRDefault="00B541F4">
      <w:pPr>
        <w:pStyle w:val="Heading2"/>
      </w:pPr>
      <w:r>
        <w:lastRenderedPageBreak/>
        <w:t>6.8. Robustness - Statistics Obtained by Leave-One-Out Cross-Validation</w:t>
      </w:r>
    </w:p>
    <w:p w14:paraId="43AFB059" w14:textId="77777777" w:rsidR="002A1988" w:rsidRDefault="00B541F4">
      <w:pPr>
        <w:spacing w:after="120"/>
      </w:pPr>
      <w:r>
        <w:t>NA</w:t>
      </w:r>
    </w:p>
    <w:p w14:paraId="460D2B7C" w14:textId="77777777" w:rsidR="002A1988" w:rsidRDefault="00B541F4">
      <w:pPr>
        <w:pStyle w:val="Heading2"/>
      </w:pPr>
      <w:r>
        <w:t>6.9. Robustness - Statistics Obtained by Leave-Many-Out Cross-Validation</w:t>
      </w:r>
    </w:p>
    <w:p w14:paraId="024A1622" w14:textId="7FFE27A2" w:rsidR="002A1988" w:rsidRDefault="00B541F4">
      <w:pPr>
        <w:spacing w:after="120"/>
      </w:pPr>
      <w:r>
        <w:t xml:space="preserve">10-fold cross-validation on complete feature integration: Accuracy </w:t>
      </w:r>
      <w:r w:rsidR="00983712">
        <w:t>74</w:t>
      </w:r>
      <w:r>
        <w:t>%, Precision 7</w:t>
      </w:r>
      <w:r w:rsidR="00983712">
        <w:t>4</w:t>
      </w:r>
      <w:r>
        <w:t xml:space="preserve">%, Recall </w:t>
      </w:r>
      <w:r w:rsidR="00983712">
        <w:t>73</w:t>
      </w:r>
      <w:r>
        <w:t xml:space="preserve">%, F1-score </w:t>
      </w:r>
      <w:r w:rsidR="00983712">
        <w:t>73</w:t>
      </w:r>
      <w:r>
        <w:t>%</w:t>
      </w:r>
    </w:p>
    <w:p w14:paraId="6F3FC0E9" w14:textId="77777777" w:rsidR="002A1988" w:rsidRDefault="00B541F4">
      <w:pPr>
        <w:pStyle w:val="Heading2"/>
      </w:pPr>
      <w:r>
        <w:t>6.10. Robustness - Statistics Obtained by Y-Scrambling</w:t>
      </w:r>
    </w:p>
    <w:p w14:paraId="7BD88B14" w14:textId="77777777" w:rsidR="002A1988" w:rsidRDefault="00B541F4">
      <w:pPr>
        <w:spacing w:after="120"/>
      </w:pPr>
      <w:r>
        <w:t>NA</w:t>
      </w:r>
    </w:p>
    <w:p w14:paraId="3D5C6657" w14:textId="77777777" w:rsidR="002A1988" w:rsidRDefault="00B541F4">
      <w:pPr>
        <w:pStyle w:val="Heading2"/>
      </w:pPr>
      <w:r>
        <w:t>6.11. Robustness - Statistics Obtained by Bootstrap</w:t>
      </w:r>
    </w:p>
    <w:p w14:paraId="1CCEFCFC" w14:textId="77777777" w:rsidR="002A1988" w:rsidRDefault="00B541F4">
      <w:pPr>
        <w:spacing w:after="120"/>
      </w:pPr>
      <w:r>
        <w:t>NA</w:t>
      </w:r>
    </w:p>
    <w:p w14:paraId="4BCC202B" w14:textId="77777777" w:rsidR="002A1988" w:rsidRDefault="00B541F4">
      <w:pPr>
        <w:pStyle w:val="Heading2"/>
      </w:pPr>
      <w:r>
        <w:t>6.12. Robustness - Statistics Obtained by Other Methods</w:t>
      </w:r>
    </w:p>
    <w:p w14:paraId="70FAFC8B" w14:textId="77777777" w:rsidR="002A1988" w:rsidRDefault="00B541F4">
      <w:pPr>
        <w:spacing w:after="120"/>
      </w:pPr>
      <w:r>
        <w:t>Chemical similarity analysis using Tanimoto similarity maps (≥70% threshold) demonstrated superior handling of activity cliffs compared to KNN. RF correctly predicted sensitization status for structurally similar compounds with discordant experimental outcomes, particularly in cases involving shared structural alerts.</w:t>
      </w:r>
    </w:p>
    <w:p w14:paraId="67B7420D" w14:textId="77777777" w:rsidR="002A1988" w:rsidRDefault="00B541F4">
      <w:pPr>
        <w:pStyle w:val="Heading1"/>
        <w:shd w:val="clear" w:color="auto" w:fill="D5E8F0"/>
      </w:pPr>
      <w:r>
        <w:t>7. External Validation - OECD Principle 4</w:t>
      </w:r>
    </w:p>
    <w:p w14:paraId="7C6DD9BD" w14:textId="77777777" w:rsidR="002A1988" w:rsidRDefault="00B541F4">
      <w:pPr>
        <w:pStyle w:val="Heading2"/>
      </w:pPr>
      <w:r>
        <w:t>7.1. Availability of the External Validation Set</w:t>
      </w:r>
    </w:p>
    <w:p w14:paraId="4F77A818" w14:textId="77777777" w:rsidR="002A1988" w:rsidRDefault="00B541F4">
      <w:pPr>
        <w:pStyle w:val="Heading2"/>
      </w:pPr>
      <w:r>
        <w:t>7.2. Available Information for the External Validation Set</w:t>
      </w:r>
    </w:p>
    <w:p w14:paraId="783B8C80" w14:textId="77777777" w:rsidR="002A1988" w:rsidRDefault="00B541F4">
      <w:pPr>
        <w:pStyle w:val="Heading2"/>
      </w:pPr>
      <w:r>
        <w:t>7.3. Data for Each Descriptor Variable for the External Validation Set</w:t>
      </w:r>
    </w:p>
    <w:p w14:paraId="0EB24297" w14:textId="77777777" w:rsidR="002A1988" w:rsidRDefault="00B541F4">
      <w:pPr>
        <w:pStyle w:val="Heading2"/>
      </w:pPr>
      <w:r>
        <w:t>7.4. Data for the Dependent Variable for the External Validation Set</w:t>
      </w:r>
    </w:p>
    <w:p w14:paraId="19BD718B" w14:textId="77777777" w:rsidR="002A1988" w:rsidRDefault="00B541F4">
      <w:pPr>
        <w:pStyle w:val="Heading2"/>
      </w:pPr>
      <w:r>
        <w:t>7.5. Other Information About the External Validation Set</w:t>
      </w:r>
    </w:p>
    <w:p w14:paraId="52B73911" w14:textId="77777777" w:rsidR="002A1988" w:rsidRDefault="00B541F4">
      <w:pPr>
        <w:pStyle w:val="Heading2"/>
      </w:pPr>
      <w:r>
        <w:t>7.6. Experimental Design of Test Set</w:t>
      </w:r>
    </w:p>
    <w:p w14:paraId="778650F1" w14:textId="77777777" w:rsidR="002A1988" w:rsidRDefault="00B541F4">
      <w:pPr>
        <w:pStyle w:val="Heading2"/>
      </w:pPr>
      <w:r>
        <w:t>7.7. Predictivity - Statistics Obtained by External Validation</w:t>
      </w:r>
    </w:p>
    <w:p w14:paraId="74282112" w14:textId="77777777" w:rsidR="002A1988" w:rsidRDefault="00B541F4">
      <w:pPr>
        <w:pStyle w:val="Heading2"/>
      </w:pPr>
      <w:r>
        <w:t>7.8. Predictivity - Assessment of the External Validation Set</w:t>
      </w:r>
    </w:p>
    <w:p w14:paraId="4289B43D" w14:textId="4287DBCE" w:rsidR="002A1988" w:rsidRDefault="00B541F4">
      <w:pPr>
        <w:spacing w:after="120"/>
      </w:pPr>
      <w:r>
        <w:t xml:space="preserve">External validation </w:t>
      </w:r>
      <w:r w:rsidR="000159DA">
        <w:t xml:space="preserve">with test set </w:t>
      </w:r>
      <w:r w:rsidR="00A638E3">
        <w:t xml:space="preserve">shows </w:t>
      </w:r>
      <w:r>
        <w:t>model su</w:t>
      </w:r>
      <w:r>
        <w:t>p</w:t>
      </w:r>
      <w:r>
        <w:t>e</w:t>
      </w:r>
      <w:r>
        <w:t>r</w:t>
      </w:r>
      <w:r>
        <w:t>i</w:t>
      </w:r>
      <w:r>
        <w:t>o</w:t>
      </w:r>
      <w:r>
        <w:t>r</w:t>
      </w:r>
      <w:r w:rsidR="00A638E3">
        <w:t xml:space="preserve"> </w:t>
      </w:r>
      <w:r w:rsidR="00FF6150">
        <w:t xml:space="preserve">performance </w:t>
      </w:r>
      <w:r>
        <w:t>over existing in silico tools</w:t>
      </w:r>
      <w:r w:rsidR="00FF6150">
        <w:t xml:space="preserve"> within defined applicability domain</w:t>
      </w:r>
      <w:r>
        <w:t>. Comparative analysis with VEGA models (CAESAR v2.1.7, IRFMN v1.0.1)</w:t>
      </w:r>
      <w:r w:rsidR="000159DA">
        <w:t>,</w:t>
      </w:r>
      <w:r>
        <w:t xml:space="preserve"> </w:t>
      </w:r>
      <w:r w:rsidR="000159DA">
        <w:t xml:space="preserve">SbD4Skin </w:t>
      </w:r>
      <w:r>
        <w:t>and Toxtree demonstrated consistently higher balanced accuracy. The RF-Avalon model provides better balance between sensitivity and specificity compared to CAESAR (over-prediction tendency) and Toxtree (under-prediction of sensitizers).</w:t>
      </w:r>
    </w:p>
    <w:p w14:paraId="37D45603" w14:textId="77777777" w:rsidR="002A1988" w:rsidRDefault="00B541F4">
      <w:pPr>
        <w:pStyle w:val="Heading2"/>
      </w:pPr>
      <w:r>
        <w:t>7.9. Comments on the External Validation of the Model</w:t>
      </w:r>
    </w:p>
    <w:p w14:paraId="0DE398E2" w14:textId="3535B04B" w:rsidR="00D52846" w:rsidRPr="00D52846" w:rsidRDefault="00D52846">
      <w:pPr>
        <w:pStyle w:val="Heading2"/>
        <w:rPr>
          <w:b w:val="0"/>
          <w:bCs w:val="0"/>
        </w:rPr>
      </w:pPr>
      <w:r w:rsidRPr="00D52846">
        <w:rPr>
          <w:b w:val="0"/>
          <w:bCs w:val="0"/>
        </w:rPr>
        <w:lastRenderedPageBreak/>
        <w:t xml:space="preserve">External validation was performed by comparing the performance of AVALON_RF against established </w:t>
      </w:r>
      <w:r w:rsidRPr="00D52846">
        <w:rPr>
          <w:b w:val="0"/>
          <w:bCs w:val="0"/>
          <w:i/>
          <w:iCs/>
        </w:rPr>
        <w:t>in silico</w:t>
      </w:r>
      <w:r w:rsidRPr="00D52846">
        <w:rPr>
          <w:b w:val="0"/>
          <w:bCs w:val="0"/>
        </w:rPr>
        <w:t xml:space="preserve"> skin sensitization prediction tools (Toxtree, CAESAR, IRFMN, and SbD4Skin) using the test set (n=235).</w:t>
      </w:r>
    </w:p>
    <w:p w14:paraId="29ED505F" w14:textId="77777777" w:rsidR="002A1988" w:rsidRDefault="00B541F4">
      <w:pPr>
        <w:pStyle w:val="Heading1"/>
        <w:shd w:val="clear" w:color="auto" w:fill="D5E8F0"/>
      </w:pPr>
      <w:r>
        <w:t>8. Providing a Mechanistic Interpretation - OECD Principle 5</w:t>
      </w:r>
    </w:p>
    <w:p w14:paraId="10310529" w14:textId="77777777" w:rsidR="002A1988" w:rsidRDefault="00B541F4">
      <w:pPr>
        <w:pStyle w:val="Heading2"/>
      </w:pPr>
      <w:r>
        <w:t>8.1. Mechanistic Basis of the Model</w:t>
      </w:r>
    </w:p>
    <w:p w14:paraId="439FB5A9" w14:textId="77777777" w:rsidR="002A1988" w:rsidRDefault="00B541F4">
      <w:pPr>
        <w:spacing w:after="120"/>
      </w:pPr>
      <w:r>
        <w:t>The model aligns with the OECD Adverse Outcome Pathway (AOP) for skin sensitization initiated by covalent binding to proteins. Key mechanistic elements captured:</w:t>
      </w:r>
    </w:p>
    <w:p w14:paraId="6108DDF9" w14:textId="77777777" w:rsidR="002A1988" w:rsidRDefault="00B541F4">
      <w:pPr>
        <w:spacing w:after="120"/>
      </w:pPr>
      <w:r>
        <w:t>(1) Molecular Initiating Event (MIE): Structural alerts identify electrophilic moieties capable of covalent binding (Michael acceptors, Schiff base formers, acyl transfer agents, SN2/SNAr reactive groups);</w:t>
      </w:r>
    </w:p>
    <w:p w14:paraId="2C388189" w14:textId="2B3E1587" w:rsidR="002A1988" w:rsidRDefault="00B541F4">
      <w:pPr>
        <w:spacing w:after="120"/>
      </w:pPr>
      <w:r>
        <w:t xml:space="preserve">(2) Bioavailability: Physicochemical properties (LogP, water solubility, vapor pressure) relate to skin penetration and compound residence time on skin </w:t>
      </w:r>
      <w:r w:rsidR="000A4C60">
        <w:t>surface.</w:t>
      </w:r>
    </w:p>
    <w:p w14:paraId="0ECE23B6" w14:textId="77777777" w:rsidR="002A1988" w:rsidRDefault="00B541F4">
      <w:pPr>
        <w:spacing w:after="120"/>
      </w:pPr>
      <w:r>
        <w:t>(3) SHAP analysis identified mechanistically relevant features including aldehydes, epoxides, nitrogen-containing functionalities, and sulfur-containing moieties consistent with known sensitization mechanisms.</w:t>
      </w:r>
    </w:p>
    <w:p w14:paraId="153CC6C6" w14:textId="77777777" w:rsidR="002A1988" w:rsidRDefault="00B541F4">
      <w:pPr>
        <w:pStyle w:val="Heading2"/>
      </w:pPr>
      <w:r>
        <w:t>8.2. A Priori or A Posteriori Mechanistic Interpretation</w:t>
      </w:r>
    </w:p>
    <w:p w14:paraId="57A2629C" w14:textId="77777777" w:rsidR="002A1988" w:rsidRDefault="00B541F4">
      <w:pPr>
        <w:spacing w:after="120"/>
      </w:pPr>
      <w:r>
        <w:t>Both: (1) A priori - structural alerts derived from mechanistic understanding of electrophilic reactivity; (2) A posteriori - SHAP interpretability analysis confirmed alignment of important features with known sensitization mechanisms.</w:t>
      </w:r>
    </w:p>
    <w:p w14:paraId="0BADDBDB" w14:textId="77777777" w:rsidR="002A1988" w:rsidRDefault="00B541F4">
      <w:pPr>
        <w:pStyle w:val="Heading2"/>
      </w:pPr>
      <w:r>
        <w:t>8.3. Other Information About the Mechanistic Interpretation</w:t>
      </w:r>
    </w:p>
    <w:p w14:paraId="27D82A97" w14:textId="77777777" w:rsidR="002A1988" w:rsidRDefault="00B541F4">
      <w:pPr>
        <w:spacing w:after="120"/>
      </w:pPr>
      <w:r>
        <w:t>SHAP analysis revealed: (1) Vapor pressure as consistently important - biologically relates to compound residence time on skin surface critical for stratum corneum penetration; (2) Michael acceptor alerts consistently high-importance across all fingerprints, supporting established electrophilic reactivity mechanism; (3) Nitrogen-containing functionalities most prevalent among important features (33.9%), followed by oxygen-containing groups (19.1%), consistent with known reactive species. However, SHAP impor</w:t>
      </w:r>
      <w:r>
        <w:t>tance is influenced by dataset prevalence and fingerprint encoding - mechanistic interpretation requires domain knowledge contextualization.</w:t>
      </w:r>
    </w:p>
    <w:p w14:paraId="2AE6A804" w14:textId="77777777" w:rsidR="002A1988" w:rsidRDefault="00B541F4">
      <w:pPr>
        <w:pStyle w:val="Heading1"/>
        <w:shd w:val="clear" w:color="auto" w:fill="D5E8F0"/>
      </w:pPr>
      <w:r>
        <w:t>9. Miscellaneous Information</w:t>
      </w:r>
    </w:p>
    <w:p w14:paraId="6DC86E07" w14:textId="77777777" w:rsidR="002A1988" w:rsidRDefault="00B541F4">
      <w:pPr>
        <w:pStyle w:val="Heading2"/>
      </w:pPr>
      <w:r>
        <w:t>9.1. Comments</w:t>
      </w:r>
    </w:p>
    <w:p w14:paraId="3D31F4CF" w14:textId="77777777" w:rsidR="002A1988" w:rsidRDefault="00B541F4">
      <w:pPr>
        <w:spacing w:after="120"/>
      </w:pPr>
      <w:r>
        <w:t>Limitations: (1) Avalon fingerprint bits cannot currently be mapped to interpretable chemical substructures in RDKit, limiting detailed mechanistic interpretation; (2) Model performance may be reduced for compounds with multiple structural alerts (systematic underprediction observed); (3) Dataset includes ~30 provisional negatives based on CLP classifications rather than experimental data (comprising &lt;2% of test set with minimal impact on performance).</w:t>
      </w:r>
    </w:p>
    <w:p w14:paraId="40898330" w14:textId="2AB5B51E" w:rsidR="002A1988" w:rsidRDefault="00B541F4">
      <w:pPr>
        <w:spacing w:after="120"/>
      </w:pPr>
      <w:r>
        <w:t>Strengths: (1) Superior activity cliff handling compared to KNN and existing tools; (2) Publicly available code and data for reproducibility; (3) Mechanistic interpretability via SHAP analysis; (4) Outperforms established QSAR tools (CAESAR, IRFMN,</w:t>
      </w:r>
      <w:r w:rsidR="00473D5B">
        <w:t xml:space="preserve"> SbD4SKin</w:t>
      </w:r>
      <w:r>
        <w:t xml:space="preserve"> Toxtree)</w:t>
      </w:r>
      <w:r w:rsidR="00473D5B">
        <w:t xml:space="preserve"> on out test set</w:t>
      </w:r>
      <w:r>
        <w:t>.</w:t>
      </w:r>
    </w:p>
    <w:p w14:paraId="767AA80B" w14:textId="77777777" w:rsidR="002A1988" w:rsidRDefault="00B541F4">
      <w:pPr>
        <w:pStyle w:val="Heading2"/>
      </w:pPr>
      <w:r>
        <w:lastRenderedPageBreak/>
        <w:t>9.2. Bibliography</w:t>
      </w:r>
    </w:p>
    <w:p w14:paraId="5A8DA581" w14:textId="77777777" w:rsidR="002A1988" w:rsidRDefault="00B541F4">
      <w:pPr>
        <w:spacing w:after="120"/>
      </w:pPr>
      <w:r>
        <w:t>[1] Ukaegbu, D.C., Kopańska, K., Ranslow, P., &amp; Maertens, A. Optimizing Skin Sensitization Prediction: A Comparative Analysis of K-Nearest Neighbours vs Random Forest. (Manuscript)</w:t>
      </w:r>
    </w:p>
    <w:p w14:paraId="07133B48" w14:textId="77777777" w:rsidR="002A1988" w:rsidRDefault="00B541F4">
      <w:pPr>
        <w:spacing w:after="120"/>
      </w:pPr>
      <w:r>
        <w:t>[2] Golden, E. et al. (2023). Chem. Res. Toxicol. 36(5), 734-746.</w:t>
      </w:r>
    </w:p>
    <w:p w14:paraId="07D5DE79" w14:textId="77777777" w:rsidR="002A1988" w:rsidRDefault="00B541F4">
      <w:pPr>
        <w:spacing w:after="120"/>
      </w:pPr>
      <w:r>
        <w:t>[3] Breiman</w:t>
      </w:r>
      <w:r>
        <w:t>, L. (2001). Machine Learning 45(1), 5-32.</w:t>
      </w:r>
    </w:p>
    <w:p w14:paraId="32C48CF8" w14:textId="77777777" w:rsidR="002A1988" w:rsidRDefault="00B541F4">
      <w:pPr>
        <w:spacing w:after="120"/>
      </w:pPr>
      <w:r>
        <w:t>[4] Gedeck, P. et al. (2006). J. Chem. Inf. Model. 46(5), 1924-1936.</w:t>
      </w:r>
    </w:p>
    <w:p w14:paraId="3960C4BC" w14:textId="77777777" w:rsidR="002A1988" w:rsidRDefault="00B541F4">
      <w:pPr>
        <w:spacing w:after="120"/>
      </w:pPr>
      <w:r>
        <w:t>[5] Mansouri, K. et al. (2018). J. Cheminform. 10(1), 10.</w:t>
      </w:r>
    </w:p>
    <w:p w14:paraId="50683471" w14:textId="77777777" w:rsidR="002A1988" w:rsidRDefault="00B541F4">
      <w:pPr>
        <w:spacing w:after="120"/>
      </w:pPr>
      <w:r>
        <w:t>[6] Patlewicz, G. et al. (2008). SAR QSAR Environ. Res. 19(5-6), 495-524.</w:t>
      </w:r>
    </w:p>
    <w:p w14:paraId="48B0AC37" w14:textId="77777777" w:rsidR="002A1988" w:rsidRDefault="00B541F4">
      <w:pPr>
        <w:spacing w:after="120"/>
      </w:pPr>
      <w:r>
        <w:t>[7] Lundberg, S.M. &amp; Lee, S.-I. (2017). NIPS, Vol. 30.</w:t>
      </w:r>
    </w:p>
    <w:p w14:paraId="3CCB99AA" w14:textId="77777777" w:rsidR="002A1988" w:rsidRDefault="00B541F4">
      <w:pPr>
        <w:spacing w:after="120"/>
      </w:pPr>
      <w:r>
        <w:t>[8] OECD (2012). AOP for skin sensitisation. Series on Testing and Assessment, No. 168.</w:t>
      </w:r>
    </w:p>
    <w:p w14:paraId="69D2E6DF" w14:textId="77777777" w:rsidR="002A1988" w:rsidRDefault="00B541F4">
      <w:pPr>
        <w:pStyle w:val="Heading2"/>
      </w:pPr>
      <w:r>
        <w:t>9.3. Supporting Information</w:t>
      </w:r>
    </w:p>
    <w:p w14:paraId="5AEFEA3A" w14:textId="77777777" w:rsidR="002A1988" w:rsidRDefault="00B541F4">
      <w:pPr>
        <w:spacing w:after="120"/>
      </w:pPr>
      <w:r>
        <w:t>Training set, test set, source code, Colab notebooks, and supplementary figures available at: https://github.com/DaniChinwendu/skin-sensitization-prediction</w:t>
      </w:r>
    </w:p>
    <w:p w14:paraId="40F99E85" w14:textId="77777777" w:rsidR="002A1988" w:rsidRDefault="00B541F4">
      <w:pPr>
        <w:spacing w:after="120"/>
      </w:pPr>
      <w:r>
        <w:t>Funding: European Union Horizon 2020 research and innovation program, grant agreement No. 963845 (ONTOX).</w:t>
      </w:r>
    </w:p>
    <w:p w14:paraId="434319ED" w14:textId="77777777" w:rsidR="002A1988" w:rsidRDefault="00B541F4">
      <w:pPr>
        <w:pStyle w:val="Heading1"/>
        <w:shd w:val="clear" w:color="auto" w:fill="D5E8F0"/>
      </w:pPr>
      <w:r>
        <w:t>10. Summary (JRC QSAR Model Database)</w:t>
      </w:r>
    </w:p>
    <w:p w14:paraId="00466920" w14:textId="77777777" w:rsidR="002A1988" w:rsidRDefault="00B541F4">
      <w:pPr>
        <w:pStyle w:val="Heading2"/>
      </w:pPr>
      <w:r>
        <w:t>10.1. QMRF Number</w:t>
      </w:r>
    </w:p>
    <w:p w14:paraId="736A7E30" w14:textId="47D7ED8B" w:rsidR="00F2746E" w:rsidRDefault="00F2746E">
      <w:pPr>
        <w:pStyle w:val="Heading2"/>
      </w:pPr>
      <w:r>
        <w:t>Non</w:t>
      </w:r>
    </w:p>
    <w:p w14:paraId="1307CBA4" w14:textId="77777777" w:rsidR="002A1988" w:rsidRDefault="00B541F4">
      <w:pPr>
        <w:pStyle w:val="Heading2"/>
      </w:pPr>
      <w:r>
        <w:t>10.2. Publication Date</w:t>
      </w:r>
    </w:p>
    <w:p w14:paraId="19F153D5" w14:textId="07E91716" w:rsidR="00F2746E" w:rsidRDefault="00F2746E">
      <w:pPr>
        <w:pStyle w:val="Heading2"/>
      </w:pPr>
      <w:r>
        <w:t>Non</w:t>
      </w:r>
    </w:p>
    <w:p w14:paraId="25F06678" w14:textId="77777777" w:rsidR="002A1988" w:rsidRDefault="00B541F4">
      <w:pPr>
        <w:pStyle w:val="Heading2"/>
      </w:pPr>
      <w:r>
        <w:t>10.3. Keywords</w:t>
      </w:r>
    </w:p>
    <w:p w14:paraId="1297CB75" w14:textId="77777777" w:rsidR="002A1988" w:rsidRDefault="00B541F4">
      <w:pPr>
        <w:spacing w:after="120"/>
      </w:pPr>
      <w:r>
        <w:t>Skin sensitization, Random Forest, machine learning, molecular fingerprint, Avalon, QSAR, activity cliffs, structural alerts, SHAP, regulatory toxicology, alternatives to animal testing</w:t>
      </w:r>
    </w:p>
    <w:p w14:paraId="64651461" w14:textId="77777777" w:rsidR="002A1988" w:rsidRDefault="00B541F4">
      <w:pPr>
        <w:pStyle w:val="Heading2"/>
      </w:pPr>
      <w:r>
        <w:t>10.4. Comments</w:t>
      </w:r>
    </w:p>
    <w:p w14:paraId="14CBB504" w14:textId="14276808" w:rsidR="002A1988" w:rsidRDefault="002A1988">
      <w:pPr>
        <w:spacing w:after="120"/>
      </w:pPr>
    </w:p>
    <w:sectPr w:rsidR="002A19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D882" w14:textId="77777777" w:rsidR="00B541F4" w:rsidRDefault="00B541F4">
      <w:r>
        <w:separator/>
      </w:r>
    </w:p>
  </w:endnote>
  <w:endnote w:type="continuationSeparator" w:id="0">
    <w:p w14:paraId="787C4C0A" w14:textId="77777777" w:rsidR="00B541F4" w:rsidRDefault="00B54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2B5" w14:textId="77777777" w:rsidR="002A1988" w:rsidRDefault="00B541F4">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B125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4682" w14:textId="77777777" w:rsidR="00B541F4" w:rsidRDefault="00B541F4">
      <w:r>
        <w:separator/>
      </w:r>
    </w:p>
  </w:footnote>
  <w:footnote w:type="continuationSeparator" w:id="0">
    <w:p w14:paraId="69A2A608" w14:textId="77777777" w:rsidR="00B541F4" w:rsidRDefault="00B54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792F" w14:textId="77777777" w:rsidR="002A1988" w:rsidRDefault="00B541F4">
    <w:pPr>
      <w:jc w:val="right"/>
    </w:pPr>
    <w:r>
      <w:rPr>
        <w:i/>
        <w:iCs/>
        <w:sz w:val="20"/>
        <w:szCs w:val="20"/>
      </w:rPr>
      <w:t>QMRF: Skin Sensitization Model (RF-Avalon)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CD8"/>
    <w:multiLevelType w:val="hybridMultilevel"/>
    <w:tmpl w:val="D3A85F34"/>
    <w:lvl w:ilvl="0" w:tplc="C688F8CE">
      <w:start w:val="1"/>
      <w:numFmt w:val="bullet"/>
      <w:lvlText w:val="●"/>
      <w:lvlJc w:val="left"/>
      <w:pPr>
        <w:ind w:left="720" w:hanging="360"/>
      </w:pPr>
    </w:lvl>
    <w:lvl w:ilvl="1" w:tplc="80B6481E">
      <w:start w:val="1"/>
      <w:numFmt w:val="bullet"/>
      <w:lvlText w:val="○"/>
      <w:lvlJc w:val="left"/>
      <w:pPr>
        <w:ind w:left="1440" w:hanging="360"/>
      </w:pPr>
    </w:lvl>
    <w:lvl w:ilvl="2" w:tplc="37C60568">
      <w:start w:val="1"/>
      <w:numFmt w:val="bullet"/>
      <w:lvlText w:val="■"/>
      <w:lvlJc w:val="left"/>
      <w:pPr>
        <w:ind w:left="2160" w:hanging="360"/>
      </w:pPr>
    </w:lvl>
    <w:lvl w:ilvl="3" w:tplc="E8D279A0">
      <w:start w:val="1"/>
      <w:numFmt w:val="bullet"/>
      <w:lvlText w:val="●"/>
      <w:lvlJc w:val="left"/>
      <w:pPr>
        <w:ind w:left="2880" w:hanging="360"/>
      </w:pPr>
    </w:lvl>
    <w:lvl w:ilvl="4" w:tplc="8DA67C3C">
      <w:start w:val="1"/>
      <w:numFmt w:val="bullet"/>
      <w:lvlText w:val="○"/>
      <w:lvlJc w:val="left"/>
      <w:pPr>
        <w:ind w:left="3600" w:hanging="360"/>
      </w:pPr>
    </w:lvl>
    <w:lvl w:ilvl="5" w:tplc="75ACCB9A">
      <w:start w:val="1"/>
      <w:numFmt w:val="bullet"/>
      <w:lvlText w:val="■"/>
      <w:lvlJc w:val="left"/>
      <w:pPr>
        <w:ind w:left="4320" w:hanging="360"/>
      </w:pPr>
    </w:lvl>
    <w:lvl w:ilvl="6" w:tplc="6F3CB8C0">
      <w:start w:val="1"/>
      <w:numFmt w:val="bullet"/>
      <w:lvlText w:val="●"/>
      <w:lvlJc w:val="left"/>
      <w:pPr>
        <w:ind w:left="5040" w:hanging="360"/>
      </w:pPr>
    </w:lvl>
    <w:lvl w:ilvl="7" w:tplc="0B4A7EF8">
      <w:start w:val="1"/>
      <w:numFmt w:val="bullet"/>
      <w:lvlText w:val="●"/>
      <w:lvlJc w:val="left"/>
      <w:pPr>
        <w:ind w:left="5760" w:hanging="360"/>
      </w:pPr>
    </w:lvl>
    <w:lvl w:ilvl="8" w:tplc="63CE5926">
      <w:start w:val="1"/>
      <w:numFmt w:val="bullet"/>
      <w:lvlText w:val="●"/>
      <w:lvlJc w:val="left"/>
      <w:pPr>
        <w:ind w:left="6480" w:hanging="360"/>
      </w:pPr>
    </w:lvl>
  </w:abstractNum>
  <w:num w:numId="1" w16cid:durableId="31151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988"/>
    <w:rsid w:val="0001009E"/>
    <w:rsid w:val="000159DA"/>
    <w:rsid w:val="00084481"/>
    <w:rsid w:val="000856C1"/>
    <w:rsid w:val="000A4C60"/>
    <w:rsid w:val="001D30A2"/>
    <w:rsid w:val="00210271"/>
    <w:rsid w:val="00252C5F"/>
    <w:rsid w:val="002A1988"/>
    <w:rsid w:val="002B1253"/>
    <w:rsid w:val="00473D5B"/>
    <w:rsid w:val="00477D22"/>
    <w:rsid w:val="004B34E3"/>
    <w:rsid w:val="00653B35"/>
    <w:rsid w:val="007B73F8"/>
    <w:rsid w:val="0083175B"/>
    <w:rsid w:val="00895F6B"/>
    <w:rsid w:val="008C4565"/>
    <w:rsid w:val="00902AC4"/>
    <w:rsid w:val="0093403E"/>
    <w:rsid w:val="00983712"/>
    <w:rsid w:val="00A00DBE"/>
    <w:rsid w:val="00A638E3"/>
    <w:rsid w:val="00B541F4"/>
    <w:rsid w:val="00B56864"/>
    <w:rsid w:val="00C04007"/>
    <w:rsid w:val="00CA1D51"/>
    <w:rsid w:val="00D16393"/>
    <w:rsid w:val="00D41370"/>
    <w:rsid w:val="00D52846"/>
    <w:rsid w:val="00D82C01"/>
    <w:rsid w:val="00D90E23"/>
    <w:rsid w:val="00DD01A3"/>
    <w:rsid w:val="00F10BDC"/>
    <w:rsid w:val="00F2746E"/>
    <w:rsid w:val="00F47F78"/>
    <w:rsid w:val="00FF615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3489"/>
  <w15:docId w15:val="{3092DD6C-50E5-48B4-B2AB-75FDB3D1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300" w:after="15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TotalTime>
  <Pages>9</Pages>
  <Words>3075</Words>
  <Characters>17534</Characters>
  <Application>Microsoft Office Word</Application>
  <DocSecurity>0</DocSecurity>
  <Lines>146</Lines>
  <Paragraphs>41</Paragraphs>
  <ScaleCrop>false</ScaleCrop>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Ukaegbu</cp:lastModifiedBy>
  <cp:revision>30</cp:revision>
  <dcterms:created xsi:type="dcterms:W3CDTF">2026-02-05T13:51:00Z</dcterms:created>
  <dcterms:modified xsi:type="dcterms:W3CDTF">2026-02-12T18:22:00Z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id="DFyI5f8I"/&gt;&lt;style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