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TRABAJO FIN DE MÁSTER · MEMORIA DE PROYECTO</w:t>
      </w:r>
    </w:p>
    <w:p>
      <w:pPr>
        <w:pStyle w:val="Title"/>
      </w:pPr>
      <w:r>
        <w:rPr>
          <w:color w:val="000000"/>
        </w:rPr>
        <w:t>De la idea al diseño aprobado</w:t>
      </w:r>
    </w:p>
    <w:p>
      <w:pPr>
        <w:pStyle w:val="Subtitle"/>
      </w:pPr>
      <w:r>
        <w:rPr>
          <w:color w:val="000000"/>
        </w:rPr>
        <w:t>Memoria razonada de ideación, análisis del producto y toma de decisiones funcionales y técnicas</w:t>
      </w:r>
    </w:p>
    <w:p>
      <w:r>
        <w:t>SaaS de gestión económica, fiscal y documental para autónomos y asesorías</w:t>
      </w:r>
    </w:p>
    <w:p>
      <w:r>
        <w:t>Versión 1.1 · 18 de octubre de 2026</w:t>
      </w:r>
    </w:p>
    <w:p>
      <w:pPr>
        <w:pStyle w:val="Smallnote"/>
      </w:pPr>
      <w:r>
        <w:t>Estado: alcance funcional aprobado · especificación técnica aprobada en sus 11 apartados · inicio de implementación pendiente</w:t>
      </w:r>
    </w:p>
    <w:p/>
    <w:p>
      <w:pPr>
        <w:pStyle w:val="Heading1"/>
        <w:keepNext/>
      </w:pPr>
      <w:r>
        <w:rPr>
          <w:color w:val="000000"/>
        </w:rPr>
        <w:t>Propósito del documento</w:t>
      </w:r>
    </w:p>
    <w:p>
      <w:r>
        <w:t>Recoger de forma trazable cómo evolucionó la idea inicial hasta convertirse en un producto definido: opciones consideradas, decisiones aprobadas, cambios introducidos durante la conversación y alcance comprometido para el Trabajo Fin de Máster (TFM). El texto sintetiza y ordena las conversaciones, no reproduce literalmente todos los mensajes.</w:t>
      </w:r>
    </w:p>
    <w:p>
      <w:r>
        <w:t>La presente memoria constituye el primer documento histórico del proyecto. Las especificaciones de bajo nivel, diagramas definitivos, contratos OpenAPI, migraciones y archivos AGENTS.md se elaborarán como entregables posteriores.</w:t>
      </w:r>
    </w:p>
    <w:p>
      <w:pPr>
        <w:pStyle w:val="Heading1"/>
        <w:keepNext/>
      </w:pPr>
      <w:r>
        <w:rPr>
          <w:color w:val="000000"/>
        </w:rPr>
        <w:t>Ficha del proyecto</w:t>
      </w:r>
    </w:p>
    <w:tbl>
      <w:tblPr>
        <w:tblStyle w:val="LightShading-Accent1"/>
        <w:tblW w:type="auto" w:w="0"/>
        <w:jc w:val="center"/>
        <w:tblLook w:firstColumn="1" w:firstRow="1" w:lastColumn="0" w:lastRow="0" w:noHBand="0" w:noVBand="1" w:val="04A0"/>
      </w:tblPr>
      <w:tblGrid>
        <w:gridCol w:w="4874"/>
        <w:gridCol w:w="4874"/>
      </w:tblGrid>
      <w:tr>
        <w:tc>
          <w:tcPr>
            <w:tcW w:type="dxa" w:w="4874"/>
            <w:vAlign w:val="center"/>
          </w:tcPr>
          <w:p>
            <w:pPr>
              <w:spacing w:after="40"/>
            </w:pPr>
            <w:r>
              <w:rPr>
                <w:b/>
                <w:color w:val="133B52"/>
                <w:sz w:val="16"/>
              </w:rPr>
              <w:t>Aspecto</w:t>
            </w:r>
          </w:p>
        </w:tc>
        <w:tc>
          <w:tcPr>
            <w:tcW w:type="dxa" w:w="4874"/>
            <w:vAlign w:val="center"/>
          </w:tcPr>
          <w:p>
            <w:pPr>
              <w:spacing w:after="40"/>
            </w:pPr>
            <w:r>
              <w:rPr>
                <w:b/>
                <w:color w:val="133B52"/>
                <w:sz w:val="16"/>
              </w:rPr>
              <w:t>Definición aprobada</w:t>
            </w:r>
          </w:p>
        </w:tc>
      </w:tr>
      <w:tr>
        <w:tc>
          <w:tcPr>
            <w:tcW w:type="dxa" w:w="4874"/>
            <w:vAlign w:val="center"/>
          </w:tcPr>
          <w:p>
            <w:pPr>
              <w:spacing w:after="40"/>
            </w:pPr>
            <w:r>
              <w:rPr>
                <w:sz w:val="16"/>
              </w:rPr>
              <w:t>Producto</w:t>
            </w:r>
          </w:p>
        </w:tc>
        <w:tc>
          <w:tcPr>
            <w:tcW w:type="dxa" w:w="4874"/>
            <w:vAlign w:val="center"/>
          </w:tcPr>
          <w:p>
            <w:pPr>
              <w:spacing w:after="40"/>
            </w:pPr>
            <w:r>
              <w:rPr>
                <w:sz w:val="16"/>
              </w:rPr>
              <w:t>SaaS multiplataforma para registrar ingresos, gastos y documentos, facilitar el trabajo de asesorías y ofrecer previsiones fiscales.</w:t>
            </w:r>
          </w:p>
        </w:tc>
      </w:tr>
      <w:tr>
        <w:tc>
          <w:tcPr>
            <w:tcW w:type="dxa" w:w="4874"/>
            <w:vAlign w:val="center"/>
          </w:tcPr>
          <w:p>
            <w:pPr>
              <w:spacing w:after="40"/>
            </w:pPr>
            <w:r>
              <w:rPr>
                <w:sz w:val="16"/>
              </w:rPr>
              <w:t>Usuarios</w:t>
            </w:r>
          </w:p>
        </w:tc>
        <w:tc>
          <w:tcPr>
            <w:tcW w:type="dxa" w:w="4874"/>
            <w:vAlign w:val="center"/>
          </w:tcPr>
          <w:p>
            <w:pPr>
              <w:spacing w:after="40"/>
            </w:pPr>
            <w:r>
              <w:rPr>
                <w:sz w:val="16"/>
              </w:rPr>
              <w:t>Autónomos, empleados y administradores de asesorías, y superadministración de plataforma.</w:t>
            </w:r>
          </w:p>
        </w:tc>
      </w:tr>
      <w:tr>
        <w:tc>
          <w:tcPr>
            <w:tcW w:type="dxa" w:w="4874"/>
            <w:vAlign w:val="center"/>
          </w:tcPr>
          <w:p>
            <w:pPr>
              <w:spacing w:after="40"/>
            </w:pPr>
            <w:r>
              <w:rPr>
                <w:sz w:val="16"/>
              </w:rPr>
              <w:t>Clientes</w:t>
            </w:r>
          </w:p>
        </w:tc>
        <w:tc>
          <w:tcPr>
            <w:tcW w:type="dxa" w:w="4874"/>
            <w:vAlign w:val="center"/>
          </w:tcPr>
          <w:p>
            <w:pPr>
              <w:spacing w:after="40"/>
            </w:pPr>
            <w:r>
              <w:rPr>
                <w:sz w:val="16"/>
              </w:rPr>
              <w:t>Aplicación Flutter Android inicial e iOS en roadmap y web Symfony/Twig/Bootstrap.</w:t>
            </w:r>
          </w:p>
        </w:tc>
      </w:tr>
      <w:tr>
        <w:tc>
          <w:tcPr>
            <w:tcW w:type="dxa" w:w="4874"/>
            <w:vAlign w:val="center"/>
          </w:tcPr>
          <w:p>
            <w:pPr>
              <w:spacing w:after="40"/>
            </w:pPr>
            <w:r>
              <w:rPr>
                <w:sz w:val="16"/>
              </w:rPr>
              <w:t>Servidor</w:t>
            </w:r>
          </w:p>
        </w:tc>
        <w:tc>
          <w:tcPr>
            <w:tcW w:type="dxa" w:w="4874"/>
            <w:vAlign w:val="center"/>
          </w:tcPr>
          <w:p>
            <w:pPr>
              <w:spacing w:after="40"/>
            </w:pPr>
            <w:r>
              <w:rPr>
                <w:sz w:val="16"/>
              </w:rPr>
              <w:t>API REST en PHP 8.4 / Symfony 7.4 LTS; MySQL 8.4 LTS.</w:t>
            </w:r>
          </w:p>
        </w:tc>
      </w:tr>
      <w:tr>
        <w:tc>
          <w:tcPr>
            <w:tcW w:type="dxa" w:w="4874"/>
            <w:vAlign w:val="center"/>
          </w:tcPr>
          <w:p>
            <w:pPr>
              <w:spacing w:after="40"/>
            </w:pPr>
            <w:r>
              <w:rPr>
                <w:sz w:val="16"/>
              </w:rPr>
              <w:t>Arquitectura</w:t>
            </w:r>
          </w:p>
        </w:tc>
        <w:tc>
          <w:tcPr>
            <w:tcW w:type="dxa" w:w="4874"/>
            <w:vAlign w:val="center"/>
          </w:tcPr>
          <w:p>
            <w:pPr>
              <w:spacing w:after="40"/>
            </w:pPr>
            <w:r>
              <w:rPr>
                <w:sz w:val="16"/>
              </w:rPr>
              <w:t>Monolito modular; hexagonal en módulos complejos y dependencias Clean Architecture.</w:t>
            </w:r>
          </w:p>
        </w:tc>
      </w:tr>
      <w:tr>
        <w:tc>
          <w:tcPr>
            <w:tcW w:type="dxa" w:w="4874"/>
            <w:vAlign w:val="center"/>
          </w:tcPr>
          <w:p>
            <w:pPr>
              <w:spacing w:after="40"/>
            </w:pPr>
            <w:r>
              <w:rPr>
                <w:sz w:val="16"/>
              </w:rPr>
              <w:t>Estado</w:t>
            </w:r>
          </w:p>
        </w:tc>
        <w:tc>
          <w:tcPr>
            <w:tcW w:type="dxa" w:w="4874"/>
            <w:vAlign w:val="center"/>
          </w:tcPr>
          <w:p>
            <w:pPr>
              <w:spacing w:after="40"/>
            </w:pPr>
            <w:r>
              <w:rPr>
                <w:sz w:val="16"/>
              </w:rPr>
              <w:t>Definición funcional y arquitectura técnica aprobadas; programación aún no iniciada en esta memoria.</w:t>
            </w:r>
          </w:p>
        </w:tc>
      </w:tr>
    </w:tbl>
    <w:p/>
    <w:p>
      <w:r>
        <w:br w:type="page"/>
      </w:r>
    </w:p>
    <w:p>
      <w:pPr>
        <w:pStyle w:val="Heading1"/>
        <w:keepNext/>
      </w:pPr>
      <w:r>
        <w:rPr>
          <w:color w:val="000000"/>
        </w:rPr>
        <w:t>Índice de contenidos</w:t>
      </w:r>
    </w:p>
    <w:p>
      <w:r>
        <w:t>1. Origen, problema y visión</w:t>
      </w:r>
    </w:p>
    <w:p>
      <w:r>
        <w:t>2. Evolución de la idea y modelo de negocio</w:t>
      </w:r>
    </w:p>
    <w:p>
      <w:r>
        <w:t>3. Método de toma de decisiones</w:t>
      </w:r>
    </w:p>
    <w:p>
      <w:r>
        <w:t>4. Registro funcional aprobado: módulos 1–13</w:t>
      </w:r>
    </w:p>
    <w:p>
      <w:r>
        <w:t>5. Congelación del alcance: módulo 14</w:t>
      </w:r>
    </w:p>
    <w:p>
      <w:r>
        <w:t>6. Registro técnico aprobado: módulo 15</w:t>
      </w:r>
    </w:p>
    <w:p>
      <w:r>
        <w:t>7. Arquitectura resultante y estrategia Git</w:t>
      </w:r>
    </w:p>
    <w:p>
      <w:r>
        <w:t>8. Decisiones revisadas y cambios de criterio</w:t>
      </w:r>
    </w:p>
    <w:p>
      <w:r>
        <w:t>9. Límites, riesgos, validaciones pendientes y próximos entregables</w:t>
      </w:r>
    </w:p>
    <w:p>
      <w:r>
        <w:t>Anexo A. Matriz compacta de decisiones</w:t>
      </w:r>
    </w:p>
    <w:p>
      <w:r>
        <w:t>Anexo B. Terminología y trazabilidad</w:t>
      </w:r>
    </w:p>
    <w:p>
      <w:r>
        <w:br w:type="page"/>
      </w:r>
    </w:p>
    <w:p>
      <w:pPr>
        <w:pStyle w:val="Heading1"/>
        <w:keepNext/>
      </w:pPr>
      <w:r>
        <w:rPr>
          <w:color w:val="000000"/>
        </w:rPr>
        <w:t>1. Origen, problema y visión</w:t>
      </w:r>
    </w:p>
    <w:p>
      <w:r>
        <w:t>La idea surge como alternativa para el TFM a un CRM SaaS de mayor amplitud funcional. El punto de partida es una aplicación sencilla orientada a autónomos que necesitan mantener ordenados ingresos, gastos y justificantes y facilitar el envío o acceso a esa documentación por parte de su asesoría.</w:t>
      </w:r>
    </w:p>
    <w:p>
      <w:r>
        <w:t>Se propone una aplicación móvil en Flutter (Android e iOS), una API centralizada en PHP/Symfony/MySQL y una aplicación web que comparta backend. El autónomo registrará facturas emitidas y gastos; podrá fotografiar tickets o adjuntar PDFs; la IA extraerá campos y sugerirá clasificación; el usuario revisará y confirmará. Las asesorías consultarán clientes autorizados, revisarán operaciones, solicitarán información y realizarán exportaciones.</w:t>
      </w:r>
    </w:p>
    <w:p>
      <w:pPr>
        <w:pStyle w:val="Heading2"/>
        <w:keepNext/>
      </w:pPr>
      <w:r>
        <w:rPr>
          <w:color w:val="000000"/>
        </w:rPr>
        <w:t>1.1. Necesidades que se pretenden resolver</w:t>
      </w:r>
    </w:p>
    <w:p>
      <w:pPr>
        <w:pStyle w:val="ListBullet"/>
      </w:pPr>
      <w:r>
        <w:t>Documentos dispersos entre correo, mensajería, carpetas y formatos distintos.</w:t>
      </w:r>
    </w:p>
    <w:p>
      <w:pPr>
        <w:pStyle w:val="ListBullet"/>
      </w:pPr>
      <w:r>
        <w:t>Introducción manual y repetitiva de tickets y facturas.</w:t>
      </w:r>
    </w:p>
    <w:p>
      <w:pPr>
        <w:pStyle w:val="ListBullet"/>
      </w:pPr>
      <w:r>
        <w:t>Falta de visibilidad inmediata de ingresos, gastos, cobros, pagos y previsión fiscal.</w:t>
      </w:r>
    </w:p>
    <w:p>
      <w:pPr>
        <w:pStyle w:val="ListBullet"/>
      </w:pPr>
      <w:r>
        <w:t>Intercambio ineficiente de información entre autónomo y asesoría.</w:t>
      </w:r>
    </w:p>
    <w:p>
      <w:pPr>
        <w:pStyle w:val="ListBullet"/>
      </w:pPr>
      <w:r>
        <w:t>Necesidad de herramientas accesibles para autónomos sin conocimientos contables avanzados.</w:t>
      </w:r>
    </w:p>
    <w:p>
      <w:pPr>
        <w:pStyle w:val="Heading2"/>
        <w:keepNext/>
      </w:pPr>
      <w:r>
        <w:rPr>
          <w:color w:val="000000"/>
        </w:rPr>
        <w:t>1.2. Propuesta de valor</w:t>
      </w:r>
    </w:p>
    <w:p>
      <w:r>
        <w:t>“Tus facturas y gastos, organizados automáticamente. Tu asesoría siempre al día. Y tú sabiendo cuánto dinero tienes y cuánto deberías reservar para impuestos”. La propuesta enfatiza simplicidad, digitalización documental, colaboración y previsiones orientativas; no promete sustituir al profesional fiscal.</w:t>
      </w:r>
    </w:p>
    <w:p>
      <w:pPr>
        <w:pStyle w:val="Heading2"/>
        <w:keepNext/>
      </w:pPr>
      <w:r>
        <w:rPr>
          <w:color w:val="000000"/>
        </w:rPr>
        <w:t>1.3. Flujo ejemplar del producto</w:t>
      </w:r>
    </w:p>
    <w:p>
      <w:r>
        <w:t>Captura de ticket → subida privada → procesamiento IA asíncrono → JSON estructurado → validación determinista → revisión humana → registro del gasto → actualización de informes y de estimaciones cuando sean calculables → acceso de la asesoría vinculada.</w:t>
      </w:r>
    </w:p>
    <w:p>
      <w:pPr>
        <w:pStyle w:val="Heading1"/>
        <w:keepNext/>
      </w:pPr>
      <w:r>
        <w:rPr>
          <w:color w:val="000000"/>
        </w:rPr>
        <w:t>2. Evolución de la idea y modelo de negocio</w:t>
      </w:r>
    </w:p>
    <w:p>
      <w:pPr>
        <w:pStyle w:val="Heading2"/>
        <w:keepNext/>
      </w:pPr>
      <w:r>
        <w:rPr>
          <w:color w:val="000000"/>
        </w:rPr>
        <w:t>2.1. Del concepto de app a plataforma SaaS</w:t>
      </w:r>
    </w:p>
    <w:p>
      <w:r>
        <w:t>La definición evolucionó de una herramienta móvil para autónomos a una plataforma colaborativa para autónomos y asesorías. Se mantuvo el derecho del autónomo a utilizarla de forma independiente, vincular una única asesoría activa o cambiar de asesoría conservando su información.</w:t>
      </w:r>
    </w:p>
    <w:p>
      <w:pPr>
        <w:pStyle w:val="Heading2"/>
        <w:keepNext/>
      </w:pPr>
      <w:r>
        <w:rPr>
          <w:color w:val="000000"/>
        </w:rPr>
        <w:t>2.2. Canales comerciales explorados</w:t>
      </w:r>
    </w:p>
    <w:p>
      <w:r>
        <w:t>Se compararon captación directa de autónomos (B2C), venta a asesorías (B2B) y un modelo híbrido B2B2C. Se recomendó el modelo híbrido, con las asesorías como canal de distribución principal y la posibilidad de que autónomos individuales inviten a sus despachos. Es una hipótesis comercial y no una condición técnica obligatoria.</w:t>
      </w:r>
    </w:p>
    <w:p>
      <w:pPr>
        <w:pStyle w:val="Heading2"/>
        <w:keepNext/>
      </w:pPr>
      <w:r>
        <w:rPr>
          <w:color w:val="000000"/>
        </w:rPr>
        <w:t>2.3. Precios y escenarios discutidos (no aprobados como tarifas definitivas)</w:t>
      </w:r>
    </w:p>
    <w:tbl>
      <w:tblPr>
        <w:tblStyle w:val="LightShading-Accent1"/>
        <w:tblW w:type="auto" w:w="0"/>
        <w:jc w:val="center"/>
        <w:tblLook w:firstColumn="1" w:firstRow="1" w:lastColumn="0" w:lastRow="0" w:noHBand="0" w:noVBand="1" w:val="04A0"/>
      </w:tblPr>
      <w:tblGrid>
        <w:gridCol w:w="4874"/>
        <w:gridCol w:w="4874"/>
      </w:tblGrid>
      <w:tr>
        <w:tc>
          <w:tcPr>
            <w:tcW w:type="dxa" w:w="4874"/>
            <w:vAlign w:val="center"/>
          </w:tcPr>
          <w:p>
            <w:pPr>
              <w:spacing w:after="40"/>
            </w:pPr>
            <w:r>
              <w:rPr>
                <w:b/>
                <w:color w:val="133B52"/>
                <w:sz w:val="16"/>
              </w:rPr>
              <w:t>Concepto</w:t>
            </w:r>
          </w:p>
        </w:tc>
        <w:tc>
          <w:tcPr>
            <w:tcW w:type="dxa" w:w="4874"/>
            <w:vAlign w:val="center"/>
          </w:tcPr>
          <w:p>
            <w:pPr>
              <w:spacing w:after="40"/>
            </w:pPr>
            <w:r>
              <w:rPr>
                <w:b/>
                <w:color w:val="133B52"/>
                <w:sz w:val="16"/>
              </w:rPr>
              <w:t>Hipótesis de trabajo</w:t>
            </w:r>
          </w:p>
        </w:tc>
      </w:tr>
      <w:tr>
        <w:tc>
          <w:tcPr>
            <w:tcW w:type="dxa" w:w="4874"/>
            <w:vAlign w:val="center"/>
          </w:tcPr>
          <w:p>
            <w:pPr>
              <w:spacing w:after="40"/>
            </w:pPr>
            <w:r>
              <w:rPr>
                <w:sz w:val="16"/>
              </w:rPr>
              <w:t>Plan individual</w:t>
            </w:r>
          </w:p>
        </w:tc>
        <w:tc>
          <w:tcPr>
            <w:tcW w:type="dxa" w:w="4874"/>
            <w:vAlign w:val="center"/>
          </w:tcPr>
          <w:p>
            <w:pPr>
              <w:spacing w:after="40"/>
            </w:pPr>
            <w:r>
              <w:rPr>
                <w:sz w:val="16"/>
              </w:rPr>
              <w:t>9,90 €/mes, impuestos indirectos no incluidos.</w:t>
            </w:r>
          </w:p>
        </w:tc>
      </w:tr>
      <w:tr>
        <w:tc>
          <w:tcPr>
            <w:tcW w:type="dxa" w:w="4874"/>
            <w:vAlign w:val="center"/>
          </w:tcPr>
          <w:p>
            <w:pPr>
              <w:spacing w:after="40"/>
            </w:pPr>
            <w:r>
              <w:rPr>
                <w:sz w:val="16"/>
              </w:rPr>
              <w:t>Asesoría</w:t>
            </w:r>
          </w:p>
        </w:tc>
        <w:tc>
          <w:tcPr>
            <w:tcW w:type="dxa" w:w="4874"/>
            <w:vAlign w:val="center"/>
          </w:tcPr>
          <w:p>
            <w:pPr>
              <w:spacing w:after="40"/>
            </w:pPr>
            <w:r>
              <w:rPr>
                <w:sz w:val="16"/>
              </w:rPr>
              <w:t>4,90 €/autónomo/mes a determinado volumen; escala de descuentos exploratoria.</w:t>
            </w:r>
          </w:p>
        </w:tc>
      </w:tr>
      <w:tr>
        <w:tc>
          <w:tcPr>
            <w:tcW w:type="dxa" w:w="4874"/>
            <w:vAlign w:val="center"/>
          </w:tcPr>
          <w:p>
            <w:pPr>
              <w:spacing w:after="40"/>
            </w:pPr>
            <w:r>
              <w:rPr>
                <w:sz w:val="16"/>
              </w:rPr>
              <w:t>Uso IA</w:t>
            </w:r>
          </w:p>
        </w:tc>
        <w:tc>
          <w:tcPr>
            <w:tcW w:type="dxa" w:w="4874"/>
            <w:vAlign w:val="center"/>
          </w:tcPr>
          <w:p>
            <w:pPr>
              <w:spacing w:after="40"/>
            </w:pPr>
            <w:r>
              <w:rPr>
                <w:sz w:val="16"/>
              </w:rPr>
              <w:t>50 análisis por entidad fiscal y mes: sí quedó aprobado como límite funcional inicial.</w:t>
            </w:r>
          </w:p>
        </w:tc>
      </w:tr>
      <w:tr>
        <w:tc>
          <w:tcPr>
            <w:tcW w:type="dxa" w:w="4874"/>
            <w:vAlign w:val="center"/>
          </w:tcPr>
          <w:p>
            <w:pPr>
              <w:spacing w:after="40"/>
            </w:pPr>
            <w:r>
              <w:rPr>
                <w:sz w:val="16"/>
              </w:rPr>
              <w:t>Ingresos de negocio</w:t>
            </w:r>
          </w:p>
        </w:tc>
        <w:tc>
          <w:tcPr>
            <w:tcW w:type="dxa" w:w="4874"/>
            <w:vAlign w:val="center"/>
          </w:tcPr>
          <w:p>
            <w:pPr>
              <w:spacing w:after="40"/>
            </w:pPr>
            <w:r>
              <w:rPr>
                <w:sz w:val="16"/>
              </w:rPr>
              <w:t>Simulaciones con cientos o miles de clientes; no constituyen previsiones verificadas.</w:t>
            </w:r>
          </w:p>
        </w:tc>
      </w:tr>
      <w:tr>
        <w:tc>
          <w:tcPr>
            <w:tcW w:type="dxa" w:w="4874"/>
            <w:vAlign w:val="center"/>
          </w:tcPr>
          <w:p>
            <w:pPr>
              <w:spacing w:after="40"/>
            </w:pPr>
            <w:r>
              <w:rPr>
                <w:sz w:val="16"/>
              </w:rPr>
              <w:t>Venta a Defisoft</w:t>
            </w:r>
          </w:p>
        </w:tc>
        <w:tc>
          <w:tcPr>
            <w:tcW w:type="dxa" w:w="4874"/>
            <w:vAlign w:val="center"/>
          </w:tcPr>
          <w:p>
            <w:pPr>
              <w:spacing w:after="40"/>
            </w:pPr>
            <w:r>
              <w:rPr>
                <w:sz w:val="16"/>
              </w:rPr>
              <w:t>Se exploraron ventas completas, licencias y royalties; no hubo acuerdo ni valoración formal.</w:t>
            </w:r>
          </w:p>
        </w:tc>
      </w:tr>
    </w:tbl>
    <w:p/>
    <w:p>
      <w:r>
        <w:t>Se reflexionó sobre la potencial comercialización futura a Defisoft, diferenciando cesión completa de derechos y licencia de explotación. Se advirtió que, por tratarse de un proyecto de un empleado, debía verificarse la titularidad del software y lo dispuesto en el contrato laboral antes de negociar. No se tomó decisión de venta.</w:t>
      </w:r>
    </w:p>
    <w:p>
      <w:pPr>
        <w:pStyle w:val="Heading2"/>
        <w:keepNext/>
      </w:pPr>
      <w:r>
        <w:rPr>
          <w:color w:val="000000"/>
        </w:rPr>
        <w:t>2.4. Del mercado canario al ámbito nacional</w:t>
      </w:r>
    </w:p>
    <w:p>
      <w:r>
        <w:t>Inicialmente se recomendó un MVP fiscal enfocado en Canarias para contener complejidad. Posteriormente se modificó expresamente el alcance del producto para abarcar toda España. Se decidió diferenciar tres niveles: posibilidad de registro, configuración del régimen y cálculo fiscal automatizado validado. La cobertura comercial nacional es un objetivo; el MVP no ofrecerá cálculo automático de todos los regímenes desde su primera entrega.</w:t>
      </w:r>
    </w:p>
    <w:p>
      <w:pPr>
        <w:pStyle w:val="Heading1"/>
        <w:keepNext/>
      </w:pPr>
      <w:r>
        <w:rPr>
          <w:color w:val="000000"/>
        </w:rPr>
        <w:t>3. Método de toma de decisiones</w:t>
      </w:r>
    </w:p>
    <w:p>
      <w:r>
        <w:t>Se adoptó una secuencia de módulos, cada uno presentado con propuestas numeradas. El responsable del proyecto respondió punto por punto con aprobación o modificación. Los módulos se cerraron únicamente cuando sus decisiones quedaron resueltas, y se pasó a arquitectura técnica una vez congelado el alcance funcional.</w:t>
      </w:r>
    </w:p>
    <w:p>
      <w:r>
        <w:t>Criterio de trazabilidad: “aprobado” designa decisión adoptada; “fase posterior” designa requisito reconocido pero pospuesto; “hipótesis” designa propuestas comerciales o técnicas todavía no validadas empíricamente. Una definición arquitectónica aprobada no implica que el código ya exista ni que la solución fiscal esté certificada.</w:t>
      </w:r>
    </w:p>
    <w:p>
      <w:pPr>
        <w:pStyle w:val="Heading1"/>
        <w:keepNext/>
      </w:pPr>
      <w:r>
        <w:rPr>
          <w:color w:val="000000"/>
        </w:rPr>
        <w:t>4. Registro funcional aprobado: módulos 1–13</w:t>
      </w:r>
    </w:p>
    <w:p>
      <w:pPr>
        <w:pStyle w:val="Heading2"/>
        <w:keepNext/>
      </w:pPr>
      <w:r>
        <w:rPr>
          <w:color w:val="000000"/>
        </w:rPr>
        <w:t>1. Usuarios y asesorías</w:t>
      </w:r>
    </w:p>
    <w:p>
      <w:pPr>
        <w:pStyle w:val="ListBullet"/>
      </w:pPr>
      <w:r>
        <w:t>Cuatro roles: superadministrador, autónomo, administrador de asesoría y empleado; un usuario puede tener varios roles según su contexto.</w:t>
      </w:r>
    </w:p>
    <w:p>
      <w:pPr>
        <w:pStyle w:val="ListBullet"/>
      </w:pPr>
      <w:r>
        <w:t>Usuarios separados de entidades fiscales; una persona puede gestionar varias entidades con datos independientes.</w:t>
      </w:r>
    </w:p>
    <w:p>
      <w:pPr>
        <w:pStyle w:val="ListBullet"/>
      </w:pPr>
      <w:r>
        <w:t>Una sola asesoría activa por entidad fiscal, o ninguna; registro directo y alta mediante invitaciones.</w:t>
      </w:r>
    </w:p>
    <w:p>
      <w:pPr>
        <w:pStyle w:val="ListBullet"/>
      </w:pPr>
      <w:r>
        <w:t>Todos los empleados de asesoría acceden por defecto al conjunto de clientes; el administrador puede configurar permisos individuales.</w:t>
      </w:r>
    </w:p>
    <w:p>
      <w:pPr>
        <w:pStyle w:val="ListBullet"/>
      </w:pPr>
      <w:r>
        <w:t>Dos modalidades de licencia: autónomo o asesoría como pagador.</w:t>
      </w:r>
    </w:p>
    <w:p>
      <w:r>
        <w:rPr>
          <w:b/>
        </w:rPr>
        <w:t xml:space="preserve">Ajustes o decisiones relevantes: </w:t>
      </w:r>
      <w:r>
        <w:t>La capacidad de restringir permisos funcionales por empleado se añadió posteriormente en el módulo 10.</w:t>
      </w:r>
    </w:p>
    <w:p>
      <w:pPr>
        <w:pStyle w:val="Heading2"/>
        <w:keepNext/>
      </w:pPr>
      <w:r>
        <w:rPr>
          <w:color w:val="000000"/>
        </w:rPr>
        <w:t>2. Autenticación</w:t>
      </w:r>
    </w:p>
    <w:p>
      <w:pPr>
        <w:pStyle w:val="ListBullet"/>
      </w:pPr>
      <w:r>
        <w:t>Solo correo y contraseña en el MVP; inicio con Google/Microsoft reservado para evolución.</w:t>
      </w:r>
    </w:p>
    <w:p>
      <w:pPr>
        <w:pStyle w:val="ListBullet"/>
      </w:pPr>
      <w:r>
        <w:t>Email verificado obligatoriamente; recuperación mediante enlace de un solo uso de 30 minutos.</w:t>
      </w:r>
    </w:p>
    <w:p>
      <w:pPr>
        <w:pStyle w:val="ListBullet"/>
      </w:pPr>
      <w:r>
        <w:t>TOTP opcional para autónomos y obligatorio para asesorías y superadministradores.</w:t>
      </w:r>
    </w:p>
    <w:p>
      <w:pPr>
        <w:pStyle w:val="ListBullet"/>
      </w:pPr>
      <w:r>
        <w:t>Sesiones web caducan tras 2 horas de inactividad; móvil persistente seguro y dispositivos revocables.</w:t>
      </w:r>
    </w:p>
    <w:p>
      <w:pPr>
        <w:pStyle w:val="ListBullet"/>
      </w:pPr>
      <w:r>
        <w:t>Selector de entidad fiscal; contraseña robusta, protección de accesos y registro de eventos relevantes.</w:t>
      </w:r>
    </w:p>
    <w:p>
      <w:pPr>
        <w:pStyle w:val="Heading2"/>
        <w:keepNext/>
      </w:pPr>
      <w:r>
        <w:rPr>
          <w:color w:val="000000"/>
        </w:rPr>
        <w:t>3. Ingresos</w:t>
      </w:r>
    </w:p>
    <w:p>
      <w:pPr>
        <w:pStyle w:val="ListBullet"/>
      </w:pPr>
      <w:r>
        <w:t>Registro de facturas emitidas, ingresos sin factura individual y otros ingresos, con tratamientos diferenciados.</w:t>
      </w:r>
    </w:p>
    <w:p>
      <w:pPr>
        <w:pStyle w:val="ListBullet"/>
      </w:pPr>
      <w:r>
        <w:t>Factura con cliente, número, fechas, varias líneas, impuestos, retenciones y adjuntos.</w:t>
      </w:r>
    </w:p>
    <w:p>
      <w:pPr>
        <w:pStyle w:val="ListBullet"/>
      </w:pPr>
      <w:r>
        <w:t>Directorio de clientes y datos históricos inmutables de cada operación.</w:t>
      </w:r>
    </w:p>
    <w:p>
      <w:pPr>
        <w:pStyle w:val="ListBullet"/>
      </w:pPr>
      <w:r>
        <w:t>Cobros pendientes, parciales y completos, con varios cobros y métodos.</w:t>
      </w:r>
    </w:p>
    <w:p>
      <w:pPr>
        <w:pStyle w:val="ListBullet"/>
      </w:pPr>
      <w:r>
        <w:t>Detección de posibles duplicados, edición con historial y restricciones en periodos cerrados.</w:t>
      </w:r>
    </w:p>
    <w:p>
      <w:pPr>
        <w:pStyle w:val="ListBullet"/>
      </w:pPr>
      <w:r>
        <w:t>Importación CSV; emisión de facturas nuevas pospuesta.</w:t>
      </w:r>
    </w:p>
    <w:p>
      <w:pPr>
        <w:pStyle w:val="Heading2"/>
        <w:keepNext/>
      </w:pPr>
      <w:r>
        <w:rPr>
          <w:color w:val="000000"/>
        </w:rPr>
        <w:t>4. Gastos</w:t>
      </w:r>
    </w:p>
    <w:p>
      <w:pPr>
        <w:pStyle w:val="ListBullet"/>
      </w:pPr>
      <w:r>
        <w:t>Facturas recibidas, tickets/facturas simplificadas y gastos con otros justificantes.</w:t>
      </w:r>
    </w:p>
    <w:p>
      <w:pPr>
        <w:pStyle w:val="ListBullet"/>
      </w:pPr>
      <w:r>
        <w:t>Captura fotográfica, carga de archivo, entrada manual e importación CSV.</w:t>
      </w:r>
    </w:p>
    <w:p>
      <w:pPr>
        <w:pStyle w:val="ListBullet"/>
      </w:pPr>
      <w:r>
        <w:t>Proveedor, fechas, conceptos, líneas, impuestos, categoría, afectación y documentos.</w:t>
      </w:r>
    </w:p>
    <w:p>
      <w:pPr>
        <w:pStyle w:val="ListBullet"/>
      </w:pPr>
      <w:r>
        <w:t>Directorio de proveedores, gastos recurrentes y pagos parciales o totales.</w:t>
      </w:r>
    </w:p>
    <w:p>
      <w:pPr>
        <w:pStyle w:val="ListBullet"/>
      </w:pPr>
      <w:r>
        <w:t>Deducibilidad del gasto y del IGIC/IVA tratadas por separado; clasificación no determina deducibilidad.</w:t>
      </w:r>
    </w:p>
    <w:p>
      <w:pPr>
        <w:pStyle w:val="ListBullet"/>
      </w:pPr>
      <w:r>
        <w:t>Revisión documental, incidencias, duplicados y varias líneas; reparto avanzado entre entidades pospuesto.</w:t>
      </w:r>
    </w:p>
    <w:p>
      <w:r>
        <w:rPr>
          <w:b/>
        </w:rPr>
        <w:t xml:space="preserve">Ajustes o decisiones relevantes: </w:t>
      </w:r>
      <w:r>
        <w:t>Se añadió explícitamente el método de pago en los datos del gasto y en cada pago parcial.</w:t>
      </w:r>
    </w:p>
    <w:p>
      <w:pPr>
        <w:pStyle w:val="Heading2"/>
        <w:keepNext/>
      </w:pPr>
      <w:r>
        <w:rPr>
          <w:color w:val="000000"/>
        </w:rPr>
        <w:t>5. Documentos</w:t>
      </w:r>
    </w:p>
    <w:p>
      <w:pPr>
        <w:pStyle w:val="ListBullet"/>
      </w:pPr>
      <w:r>
        <w:t>Facturas, tickets, justificantes y documentos generales no asociados a movimiento.</w:t>
      </w:r>
    </w:p>
    <w:p>
      <w:pPr>
        <w:pStyle w:val="ListBullet"/>
      </w:pPr>
      <w:r>
        <w:t>PDF/JPG/JPEG/PNG/WEBP hasta 20 MB por archivo y documentos multipágina.</w:t>
      </w:r>
    </w:p>
    <w:p>
      <w:pPr>
        <w:pStyle w:val="ListBullet"/>
      </w:pPr>
      <w:r>
        <w:t>Organización lógica automática y bandeja para documentos sin clasificar.</w:t>
      </w:r>
    </w:p>
    <w:p>
      <w:pPr>
        <w:pStyle w:val="ListBullet"/>
      </w:pPr>
      <w:r>
        <w:t>Varias asociaciones controladas, búsqueda avanzada y descargas individuales/ZIP.</w:t>
      </w:r>
    </w:p>
    <w:p>
      <w:pPr>
        <w:pStyle w:val="ListBullet"/>
      </w:pPr>
      <w:r>
        <w:t>Acceso de asesorías vinculado a permisos; conservación regulada, trazabilidad y borrado apropiado.</w:t>
      </w:r>
    </w:p>
    <w:p>
      <w:pPr>
        <w:pStyle w:val="ListBullet"/>
      </w:pPr>
      <w:r>
        <w:t>Cuota inicial: 5 GB por entidad fiscal.</w:t>
      </w:r>
    </w:p>
    <w:p>
      <w:pPr>
        <w:pStyle w:val="Heading2"/>
        <w:keepNext/>
      </w:pPr>
      <w:r>
        <w:rPr>
          <w:color w:val="000000"/>
        </w:rPr>
        <w:t>6. Inteligencia artificial</w:t>
      </w:r>
    </w:p>
    <w:p>
      <w:pPr>
        <w:pStyle w:val="ListBullet"/>
      </w:pPr>
      <w:r>
        <w:t>Extracción, clasificación, anomalías y reconocimiento de proveedores y clientes.</w:t>
      </w:r>
    </w:p>
    <w:p>
      <w:pPr>
        <w:pStyle w:val="ListBullet"/>
      </w:pPr>
      <w:r>
        <w:t>Datos fiscales y de líneas de factura; campos no presentes deben declararse desconocidos.</w:t>
      </w:r>
    </w:p>
    <w:p>
      <w:pPr>
        <w:pStyle w:val="ListBullet"/>
      </w:pPr>
      <w:r>
        <w:t>Confirmación humana obligatoria y posibilidad de corrección.</w:t>
      </w:r>
    </w:p>
    <w:p>
      <w:pPr>
        <w:pStyle w:val="ListBullet"/>
      </w:pPr>
      <w:r>
        <w:t>Procesamiento asíncrono y por lotes; errores y advertencias diferenciados.</w:t>
      </w:r>
    </w:p>
    <w:p>
      <w:pPr>
        <w:pStyle w:val="ListBullet"/>
      </w:pPr>
      <w:r>
        <w:t>Preferencias aprendidas desde datos confirmados sin entrenamiento propio obligatorio.</w:t>
      </w:r>
    </w:p>
    <w:p>
      <w:pPr>
        <w:pStyle w:val="ListBullet"/>
      </w:pPr>
      <w:r>
        <w:t>50 análisis mensuales por entidad; diseño intercambiable de proveedores y garantías de privacidad.</w:t>
      </w:r>
    </w:p>
    <w:p>
      <w:pPr>
        <w:pStyle w:val="Heading2"/>
        <w:keepNext/>
      </w:pPr>
      <w:r>
        <w:rPr>
          <w:color w:val="000000"/>
        </w:rPr>
        <w:t>7. Categorías</w:t>
      </w:r>
    </w:p>
    <w:p>
      <w:pPr>
        <w:pStyle w:val="ListBullet"/>
      </w:pPr>
      <w:r>
        <w:t>Catálogos iniciales separados para ingresos y gastos.</w:t>
      </w:r>
    </w:p>
    <w:p>
      <w:pPr>
        <w:pStyle w:val="ListBullet"/>
      </w:pPr>
      <w:r>
        <w:t>Categorías personalizadas por entidad con un nivel de subcategoría.</w:t>
      </w:r>
    </w:p>
    <w:p>
      <w:pPr>
        <w:pStyle w:val="ListBullet"/>
      </w:pPr>
      <w:r>
        <w:t>Clasificación separada de la deducibilidad fiscal.</w:t>
      </w:r>
    </w:p>
    <w:p>
      <w:pPr>
        <w:pStyle w:val="ListBullet"/>
      </w:pPr>
      <w:r>
        <w:t>IA recomienda según documento, contacto e historial confirmado.</w:t>
      </w:r>
    </w:p>
    <w:p>
      <w:pPr>
        <w:pStyle w:val="ListBullet"/>
      </w:pPr>
      <w:r>
        <w:t>Reclasificación individual o masiva, informes por categoría y desactivación sin pérdida histórica.</w:t>
      </w:r>
    </w:p>
    <w:p>
      <w:pPr>
        <w:pStyle w:val="Heading2"/>
        <w:keepNext/>
      </w:pPr>
      <w:r>
        <w:rPr>
          <w:color w:val="000000"/>
        </w:rPr>
        <w:t>8. Fiscalidad</w:t>
      </w:r>
    </w:p>
    <w:p>
      <w:pPr>
        <w:pStyle w:val="ListBullet"/>
      </w:pPr>
      <w:r>
        <w:t>Ámbito objetivo nacional: Península, Baleares, Canarias, Ceuta y Melilla.</w:t>
      </w:r>
    </w:p>
    <w:p>
      <w:pPr>
        <w:pStyle w:val="ListBullet"/>
      </w:pPr>
      <w:r>
        <w:t>Configuración de regímenes y actividades de IRPF e impuestos indirectos; IVA, IGIC e IPSI según corresponda.</w:t>
      </w:r>
    </w:p>
    <w:p>
      <w:pPr>
        <w:pStyle w:val="ListBullet"/>
      </w:pPr>
      <w:r>
        <w:t>Previsiones automáticas solo para reglas que estén efectivamente implementadas y validadas.</w:t>
      </w:r>
    </w:p>
    <w:p>
      <w:pPr>
        <w:pStyle w:val="ListBullet"/>
      </w:pPr>
      <w:r>
        <w:t>Estimaciones, reservas, ajustes, cierres trimestrales y calendario de obligaciones.</w:t>
      </w:r>
    </w:p>
    <w:p>
      <w:pPr>
        <w:pStyle w:val="ListBullet"/>
      </w:pPr>
      <w:r>
        <w:t>Cálculos deterministas en Symfony y advertencias ante información incompleta.</w:t>
      </w:r>
    </w:p>
    <w:p>
      <w:r>
        <w:rPr>
          <w:b/>
        </w:rPr>
        <w:t xml:space="preserve">Ajustes o decisiones relevantes: </w:t>
      </w:r>
      <w:r>
        <w:t>El alcance se amplió desde Canarias a toda España. El MVP automatizará inicialmente modelo 130 cuando corresponda, IVA general/303 e IGIC general/420; el resto no mostrará estimación automática.</w:t>
      </w:r>
    </w:p>
    <w:p>
      <w:pPr>
        <w:pStyle w:val="Heading2"/>
        <w:keepNext/>
      </w:pPr>
      <w:r>
        <w:rPr>
          <w:color w:val="000000"/>
        </w:rPr>
        <w:t>9. Dashboard e informes</w:t>
      </w:r>
    </w:p>
    <w:p>
      <w:pPr>
        <w:pStyle w:val="ListBullet"/>
      </w:pPr>
      <w:r>
        <w:t>Ingresos, gastos, resultado y previsión fiscal; filtros por meses, trimestres, años y fechas.</w:t>
      </w:r>
    </w:p>
    <w:p>
      <w:pPr>
        <w:pStyle w:val="ListBullet"/>
      </w:pPr>
      <w:r>
        <w:t>Gráficas y comparativas, desglose por categorías y tesorería basada en pagos registrados.</w:t>
      </w:r>
    </w:p>
    <w:p>
      <w:pPr>
        <w:pStyle w:val="ListBullet"/>
      </w:pPr>
      <w:r>
        <w:t>Panel fiscal independiente, seis informes principales y personalización básica.</w:t>
      </w:r>
    </w:p>
    <w:p>
      <w:pPr>
        <w:pStyle w:val="ListBullet"/>
      </w:pPr>
      <w:r>
        <w:t>Panel de asesoría multicliente con incidencias, pendientes y cierres.</w:t>
      </w:r>
    </w:p>
    <w:p>
      <w:pPr>
        <w:pStyle w:val="ListBullet"/>
      </w:pPr>
      <w:r>
        <w:t>Actualización automática y tareas pesadas asíncronas.</w:t>
      </w:r>
    </w:p>
    <w:p>
      <w:pPr>
        <w:pStyle w:val="Heading2"/>
        <w:keepNext/>
      </w:pPr>
      <w:r>
        <w:rPr>
          <w:color w:val="000000"/>
        </w:rPr>
        <w:t>10. Relación asesor-cliente</w:t>
      </w:r>
    </w:p>
    <w:p>
      <w:pPr>
        <w:pStyle w:val="ListBullet"/>
      </w:pPr>
      <w:r>
        <w:t>Invitaciones bidireccionales aceptadas por el titular, con caducidad de 7 días.</w:t>
      </w:r>
    </w:p>
    <w:p>
      <w:pPr>
        <w:pStyle w:val="ListBullet"/>
      </w:pPr>
      <w:r>
        <w:t>Directorio de clientes de asesoría, etiquetas y filtros.</w:t>
      </w:r>
    </w:p>
    <w:p>
      <w:pPr>
        <w:pStyle w:val="ListBullet"/>
      </w:pPr>
      <w:r>
        <w:t>Empleados acceden por defecto a todos los clientes; el administrador puede modificar permisos por empleado.</w:t>
      </w:r>
    </w:p>
    <w:p>
      <w:pPr>
        <w:pStyle w:val="ListBullet"/>
      </w:pPr>
      <w:r>
        <w:t>Observaciones y solicitudes de documentos vinculadas a registros, sin chat general.</w:t>
      </w:r>
    </w:p>
    <w:p>
      <w:pPr>
        <w:pStyle w:val="ListBullet"/>
      </w:pPr>
      <w:r>
        <w:t>Desvinculación sin aprobación del despacho anterior; el titular conserva sus datos.</w:t>
      </w:r>
    </w:p>
    <w:p>
      <w:pPr>
        <w:pStyle w:val="ListBullet"/>
      </w:pPr>
      <w:r>
        <w:t>Pagador individual o asesoría, cambio sin pérdida de información, historial de vínculos e invitaciones masivas CSV.</w:t>
      </w:r>
    </w:p>
    <w:p>
      <w:r>
        <w:rPr>
          <w:b/>
        </w:rPr>
        <w:t xml:space="preserve">Ajustes o decisiones relevantes: </w:t>
      </w:r>
      <w:r>
        <w:t>Se rectificó el acceso homogéneo a favor de permisos funcionales configurables por empleado.</w:t>
      </w:r>
    </w:p>
    <w:p>
      <w:pPr>
        <w:pStyle w:val="Heading2"/>
        <w:keepNext/>
      </w:pPr>
      <w:r>
        <w:rPr>
          <w:color w:val="000000"/>
        </w:rPr>
        <w:t>11. Notificaciones</w:t>
      </w:r>
    </w:p>
    <w:p>
      <w:pPr>
        <w:pStyle w:val="ListBullet"/>
      </w:pPr>
      <w:r>
        <w:t>Centro interno, email y push, con estado leído/archivado y enlaces contextuales.</w:t>
      </w:r>
    </w:p>
    <w:p>
      <w:pPr>
        <w:pStyle w:val="ListBullet"/>
      </w:pPr>
      <w:r>
        <w:t>Avisos documentales, de asesoría, fiscales, económicos y de seguridad.</w:t>
      </w:r>
    </w:p>
    <w:p>
      <w:pPr>
        <w:pStyle w:val="ListBullet"/>
      </w:pPr>
      <w:r>
        <w:t>Recordatorios tributarios configurables (15, 7, 2 días y vencimiento).</w:t>
      </w:r>
    </w:p>
    <w:p>
      <w:pPr>
        <w:pStyle w:val="ListBullet"/>
      </w:pPr>
      <w:r>
        <w:t>Preferencias por tipo/canal, horario de silencio y resúmenes diarios o semanales.</w:t>
      </w:r>
    </w:p>
    <w:p>
      <w:pPr>
        <w:pStyle w:val="ListBullet"/>
      </w:pPr>
      <w:r>
        <w:t>Deduplicación, historial, reintentos y mínima exposición de datos sensibles.</w:t>
      </w:r>
    </w:p>
    <w:p>
      <w:pPr>
        <w:pStyle w:val="Heading2"/>
        <w:keepNext/>
      </w:pPr>
      <w:r>
        <w:rPr>
          <w:color w:val="000000"/>
        </w:rPr>
        <w:t>12. Exportaciones</w:t>
      </w:r>
    </w:p>
    <w:p>
      <w:pPr>
        <w:pStyle w:val="ListBullet"/>
      </w:pPr>
      <w:r>
        <w:t>CSV, XLSX, PDF y ZIP con columnas y filtros configurables.</w:t>
      </w:r>
    </w:p>
    <w:p>
      <w:pPr>
        <w:pStyle w:val="ListBullet"/>
      </w:pPr>
      <w:r>
        <w:t>Paquetes trimestrales con documentos, informes e índices.</w:t>
      </w:r>
    </w:p>
    <w:p>
      <w:pPr>
        <w:pStyle w:val="ListBullet"/>
      </w:pPr>
      <w:r>
        <w:t>Plantillas contables para asesorías y exportación masiva de varios clientes.</w:t>
      </w:r>
    </w:p>
    <w:p>
      <w:pPr>
        <w:pStyle w:val="ListBullet"/>
      </w:pPr>
      <w:r>
        <w:t>Exportación completa por entidad y controles de autorización, temporalidad y auditoría.</w:t>
      </w:r>
    </w:p>
    <w:p>
      <w:r>
        <w:rPr>
          <w:b/>
        </w:rPr>
        <w:t xml:space="preserve">Ajustes o decisiones relevantes: </w:t>
      </w:r>
      <w:r>
        <w:t>Exportaciones programadas aceptadas como producto, pero expresamente aplazadas a la fase 2.</w:t>
      </w:r>
    </w:p>
    <w:p>
      <w:pPr>
        <w:pStyle w:val="Heading2"/>
        <w:keepNext/>
      </w:pPr>
      <w:r>
        <w:rPr>
          <w:color w:val="000000"/>
        </w:rPr>
        <w:t>13. Seguridad y privacidad</w:t>
      </w:r>
    </w:p>
    <w:p>
      <w:pPr>
        <w:pStyle w:val="ListBullet"/>
      </w:pPr>
      <w:r>
        <w:t>Aislamiento de entidades en todas las operaciones; HTTPS, secretos y almacenamiento protegido.</w:t>
      </w:r>
    </w:p>
    <w:p>
      <w:pPr>
        <w:pStyle w:val="ListBullet"/>
      </w:pPr>
      <w:r>
        <w:t>Archivos privados, control de acceso, validación y protección contra cargas maliciosas.</w:t>
      </w:r>
    </w:p>
    <w:p>
      <w:pPr>
        <w:pStyle w:val="ListBullet"/>
      </w:pPr>
      <w:r>
        <w:t>Auditoría de acciones relevantes, copias cifradas y recuperación probada.</w:t>
      </w:r>
    </w:p>
    <w:p>
      <w:pPr>
        <w:pStyle w:val="ListBullet"/>
      </w:pPr>
      <w:r>
        <w:t>RGPD/LOPDGDD, encargo de tratamiento donde proceda, políticas de retención y derechos.</w:t>
      </w:r>
    </w:p>
    <w:p>
      <w:pPr>
        <w:pStyle w:val="ListBullet"/>
      </w:pPr>
      <w:r>
        <w:t>Superadministrador sin acceso libre al contenido fiscal; soporte excepcional autorizado y auditado.</w:t>
      </w:r>
    </w:p>
    <w:p>
      <w:pPr>
        <w:pStyle w:val="ListBullet"/>
      </w:pPr>
      <w:r>
        <w:t>Protección OWASP de API y procedimiento de incidentes.</w:t>
      </w:r>
    </w:p>
    <w:p>
      <w:pPr>
        <w:pStyle w:val="Heading1"/>
        <w:keepNext/>
      </w:pPr>
      <w:r>
        <w:rPr>
          <w:color w:val="000000"/>
        </w:rPr>
        <w:t>5. Congelación del alcance: módulo 14</w:t>
      </w:r>
    </w:p>
    <w:p>
      <w:r>
        <w:t>Se aprobó separar la visión del producto en tres horizontes: Fase 1 (MVP TFM), Fase 2 (versión comercial ampliada) y Fase 3 (plataforma SaaS avanzada). Todos los puntos 1–7 quedaron aprobados, incluidos los dos últimos confirmados en una respuesta posterior.</w:t>
      </w:r>
    </w:p>
    <w:tbl>
      <w:tblPr>
        <w:tblStyle w:val="LightShading-Accent1"/>
        <w:tblW w:type="auto" w:w="0"/>
        <w:jc w:val="center"/>
        <w:tblLook w:firstColumn="1" w:firstRow="1" w:lastColumn="0" w:lastRow="0" w:noHBand="0" w:noVBand="1" w:val="04A0"/>
      </w:tblPr>
      <w:tblGrid>
        <w:gridCol w:w="4874"/>
        <w:gridCol w:w="4874"/>
      </w:tblGrid>
      <w:tr>
        <w:tc>
          <w:tcPr>
            <w:tcW w:type="dxa" w:w="4874"/>
            <w:vAlign w:val="center"/>
          </w:tcPr>
          <w:p>
            <w:pPr>
              <w:spacing w:after="40"/>
            </w:pPr>
            <w:r>
              <w:rPr>
                <w:b/>
                <w:color w:val="133B52"/>
                <w:sz w:val="16"/>
              </w:rPr>
              <w:t>Se incluye en MVP</w:t>
            </w:r>
          </w:p>
        </w:tc>
        <w:tc>
          <w:tcPr>
            <w:tcW w:type="dxa" w:w="4874"/>
            <w:vAlign w:val="center"/>
          </w:tcPr>
          <w:p>
            <w:pPr>
              <w:spacing w:after="40"/>
            </w:pPr>
            <w:r>
              <w:rPr>
                <w:b/>
                <w:color w:val="133B52"/>
                <w:sz w:val="16"/>
              </w:rPr>
              <w:t>Se pospone</w:t>
            </w:r>
          </w:p>
        </w:tc>
      </w:tr>
      <w:tr>
        <w:tc>
          <w:tcPr>
            <w:tcW w:type="dxa" w:w="4874"/>
            <w:vAlign w:val="center"/>
          </w:tcPr>
          <w:p>
            <w:pPr>
              <w:spacing w:after="40"/>
            </w:pPr>
            <w:r>
              <w:rPr>
                <w:sz w:val="16"/>
              </w:rPr>
              <w:t>Registro de ingresos y gastos; contactos; cobros y pagos</w:t>
            </w:r>
          </w:p>
        </w:tc>
        <w:tc>
          <w:tcPr>
            <w:tcW w:type="dxa" w:w="4874"/>
            <w:vAlign w:val="center"/>
          </w:tcPr>
          <w:p>
            <w:pPr>
              <w:spacing w:after="40"/>
            </w:pPr>
            <w:r>
              <w:rPr>
                <w:sz w:val="16"/>
              </w:rPr>
              <w:t>Emisión de nuevas facturas desde la plataforma.</w:t>
            </w:r>
          </w:p>
        </w:tc>
      </w:tr>
      <w:tr>
        <w:tc>
          <w:tcPr>
            <w:tcW w:type="dxa" w:w="4874"/>
            <w:vAlign w:val="center"/>
          </w:tcPr>
          <w:p>
            <w:pPr>
              <w:spacing w:after="40"/>
            </w:pPr>
            <w:r>
              <w:rPr>
                <w:sz w:val="16"/>
              </w:rPr>
              <w:t>Flutter Android inicial e iOS en roadmap + web Twig + API Symfony</w:t>
            </w:r>
          </w:p>
        </w:tc>
        <w:tc>
          <w:tcPr>
            <w:tcW w:type="dxa" w:w="4874"/>
            <w:vAlign w:val="center"/>
          </w:tcPr>
          <w:p>
            <w:pPr>
              <w:spacing w:after="40"/>
            </w:pPr>
            <w:r>
              <w:rPr>
                <w:sz w:val="16"/>
              </w:rPr>
              <w:t>SSO Google/Microsoft.</w:t>
            </w:r>
          </w:p>
        </w:tc>
      </w:tr>
      <w:tr>
        <w:tc>
          <w:tcPr>
            <w:tcW w:type="dxa" w:w="4874"/>
            <w:vAlign w:val="center"/>
          </w:tcPr>
          <w:p>
            <w:pPr>
              <w:spacing w:after="40"/>
            </w:pPr>
            <w:r>
              <w:rPr>
                <w:sz w:val="16"/>
              </w:rPr>
              <w:t>Documentos, IA, colaboración y dashboards</w:t>
            </w:r>
          </w:p>
        </w:tc>
        <w:tc>
          <w:tcPr>
            <w:tcW w:type="dxa" w:w="4874"/>
            <w:vAlign w:val="center"/>
          </w:tcPr>
          <w:p>
            <w:pPr>
              <w:spacing w:after="40"/>
            </w:pPr>
            <w:r>
              <w:rPr>
                <w:sz w:val="16"/>
              </w:rPr>
              <w:t>Exportaciones programadas, marca blanca e integraciones contables profundas.</w:t>
            </w:r>
          </w:p>
        </w:tc>
      </w:tr>
      <w:tr>
        <w:tc>
          <w:tcPr>
            <w:tcW w:type="dxa" w:w="4874"/>
            <w:vAlign w:val="center"/>
          </w:tcPr>
          <w:p>
            <w:pPr>
              <w:spacing w:after="40"/>
            </w:pPr>
            <w:r>
              <w:rPr>
                <w:sz w:val="16"/>
              </w:rPr>
              <w:t>Modelos 130, 303 y 420 en regímenes y supuestos implementados</w:t>
            </w:r>
          </w:p>
        </w:tc>
        <w:tc>
          <w:tcPr>
            <w:tcW w:type="dxa" w:w="4874"/>
            <w:vAlign w:val="center"/>
          </w:tcPr>
          <w:p>
            <w:pPr>
              <w:spacing w:after="40"/>
            </w:pPr>
            <w:r>
              <w:rPr>
                <w:sz w:val="16"/>
              </w:rPr>
              <w:t>Automatización de todos los regímenes fiscales nacionales.</w:t>
            </w:r>
          </w:p>
        </w:tc>
      </w:tr>
      <w:tr>
        <w:tc>
          <w:tcPr>
            <w:tcW w:type="dxa" w:w="4874"/>
            <w:vAlign w:val="center"/>
          </w:tcPr>
          <w:p>
            <w:pPr>
              <w:spacing w:after="40"/>
            </w:pPr>
            <w:r>
              <w:rPr>
                <w:sz w:val="16"/>
              </w:rPr>
              <w:t>Planes, licencias y límites de consumo</w:t>
            </w:r>
          </w:p>
        </w:tc>
        <w:tc>
          <w:tcPr>
            <w:tcW w:type="dxa" w:w="4874"/>
            <w:vAlign w:val="center"/>
          </w:tcPr>
          <w:p>
            <w:pPr>
              <w:spacing w:after="40"/>
            </w:pPr>
            <w:r>
              <w:rPr>
                <w:sz w:val="16"/>
              </w:rPr>
              <w:t>Pasarela de cobro real y automatización comercial avanzada.</w:t>
            </w:r>
          </w:p>
        </w:tc>
      </w:tr>
      <w:tr>
        <w:tc>
          <w:tcPr>
            <w:tcW w:type="dxa" w:w="4874"/>
            <w:vAlign w:val="center"/>
          </w:tcPr>
          <w:p>
            <w:pPr>
              <w:spacing w:after="40"/>
            </w:pPr>
            <w:r>
              <w:rPr>
                <w:sz w:val="16"/>
              </w:rPr>
              <w:t>Docker, OpenAPI, pruebas y flujos verificables</w:t>
            </w:r>
          </w:p>
        </w:tc>
        <w:tc>
          <w:tcPr>
            <w:tcW w:type="dxa" w:w="4874"/>
            <w:vAlign w:val="center"/>
          </w:tcPr>
          <w:p>
            <w:pPr>
              <w:spacing w:after="40"/>
            </w:pPr>
            <w:r>
              <w:rPr>
                <w:sz w:val="16"/>
              </w:rPr>
              <w:t>Publicación obligatoria en tiendas móviles para superar el TFM.</w:t>
            </w:r>
          </w:p>
        </w:tc>
      </w:tr>
    </w:tbl>
    <w:p/>
    <w:p>
      <w:r>
        <w:t>Los criterios de finalización exigen flujos completos verificables, pruebas unitarias/de integración/de seguridad y fiscales, datos sintéticos de demostración, despliegue reproducible y documentación. La cobertura nacional no autoriza generar previsiones donde aún no existan reglas validadas.</w:t>
      </w:r>
    </w:p>
    <w:p>
      <w:pPr>
        <w:pStyle w:val="Heading1"/>
        <w:keepNext/>
      </w:pPr>
      <w:r>
        <w:rPr>
          <w:color w:val="000000"/>
        </w:rPr>
        <w:t>6. Registro técnico aprobado: módulo 15</w:t>
      </w:r>
    </w:p>
    <w:p>
      <w:pPr>
        <w:pStyle w:val="Heading2"/>
        <w:keepNext/>
      </w:pPr>
      <w:r>
        <w:rPr>
          <w:color w:val="000000"/>
        </w:rPr>
        <w:t>15.1. Arquitectura general</w:t>
      </w:r>
    </w:p>
    <w:p>
      <w:r>
        <w:t>Monolito modular desplegable como una unidad; arquitectura hexagonal en módulos con negocio significativo; principios Clean Architecture y SOLID. PHP 8.4/Symfony 7.4 LTS, Doctrine/MySQL 8.4, Symfony Messenger; web Twig/Bootstrap, móvil Flutter; monorepositorio; API REST /api/v1.</w:t>
      </w:r>
    </w:p>
    <w:p>
      <w:pPr>
        <w:pStyle w:val="Heading2"/>
        <w:keepNext/>
      </w:pPr>
      <w:r>
        <w:rPr>
          <w:color w:val="000000"/>
        </w:rPr>
        <w:t>15.2. Arquitectura interna Symfony</w:t>
      </w:r>
    </w:p>
    <w:p>
      <w:r>
        <w:t>Módulos de dominio; Domain/Application/Infrastructure selectivos; modelos independientes de Doctrine cuando aporta valor; casos de uso y separación Command/Query sin CQRS distribuido; eventos y contratos; TenantContext; transacciones, idempotencia y Outbox según necesidad; objetos de valor monetarios; DTO, errores estandarizados y pruebas de arquitectura.</w:t>
      </w:r>
    </w:p>
    <w:p>
      <w:pPr>
        <w:pStyle w:val="Heading2"/>
        <w:keepNext/>
      </w:pPr>
      <w:r>
        <w:rPr>
          <w:color w:val="000000"/>
        </w:rPr>
        <w:t>15.3. Modelo de datos</w:t>
      </w:r>
    </w:p>
    <w:p>
      <w:r>
        <w:t>FiscalEntity como unidad de aislamiento; User y memberships separados; AdvisoryFirm, empleados, permisos individuales y vínculos; UUID v7; ingresos/gastos en modelos distintos con líneas e impuestos; contactos unificados; Document/StoredFile/Analysis separados; configuración fiscal y cálculos versionados; suscripciones y consumos; integridad e índices.</w:t>
      </w:r>
    </w:p>
    <w:p>
      <w:pPr>
        <w:pStyle w:val="Heading2"/>
        <w:keepNext/>
      </w:pPr>
      <w:r>
        <w:rPr>
          <w:color w:val="000000"/>
        </w:rPr>
        <w:t>15.4. Autenticación técnica</w:t>
      </w:r>
    </w:p>
    <w:p>
      <w:r>
        <w:t>Web con sesiones y cookies seguras (120 minutos de inactividad); Flutter con JWT de 15 minutos y refresh tokens opacos rotatorios de hasta 30 días; TOTP y recuperación; autorización por rol/permiso/entidad; revocación, reautenticación de acciones sensibles y casos de uso compartidos.</w:t>
      </w:r>
    </w:p>
    <w:p>
      <w:pPr>
        <w:pStyle w:val="Heading2"/>
        <w:keepNext/>
      </w:pPr>
      <w:r>
        <w:rPr>
          <w:color w:val="000000"/>
        </w:rPr>
        <w:t>15.5. API REST</w:t>
      </w:r>
    </w:p>
    <w:p>
      <w:r>
        <w:t>/api/v1; recursos plurales, acciones explícitas, camelCase, importes como decimal en string, fechas ISO; entidad fiscal explícita en rutas de recursos; paginación y filtros; application/problem+json (RFC 9457); Idempotency-Key; concurrencia optimista/If-Match; trabajos HTTP 202; OpenAPI 3.1; rate limits y controles OWASP.</w:t>
      </w:r>
    </w:p>
    <w:p>
      <w:pPr>
        <w:pStyle w:val="Heading2"/>
        <w:keepNext/>
      </w:pPr>
      <w:r>
        <w:rPr>
          <w:color w:val="000000"/>
        </w:rPr>
        <w:t>15.6. Flutter</w:t>
      </w:r>
    </w:p>
    <w:p>
      <w:r>
        <w:t>Feature-first + MVVM, dominio opcional; Riverpod, GoRouter, Dio, Freezed/modelos tipados; navegación Inicio/Ingresos/Gastos/Documentos/Más; tokens protegidos, cachés segregadas; cámara, documentos multipágina; offline limitado con borradores; Material 3, i18n preparada y tests.</w:t>
      </w:r>
    </w:p>
    <w:p>
      <w:pPr>
        <w:pStyle w:val="Heading2"/>
        <w:keepNext/>
      </w:pPr>
      <w:r>
        <w:rPr>
          <w:color w:val="000000"/>
        </w:rPr>
        <w:t>15.7. Web</w:t>
      </w:r>
    </w:p>
    <w:p>
      <w:r>
        <w:t>Mismo Symfony para API y web; Twig + Bootstrap 5.3 + Stimulus/Turbo + Symfony Forms + DataTables server-side + Chart.js + AssetMapper; layouts por perfil, visor documental con edición, CSP/CSRF y pruebas. Controladores Twig invocan los casos de uso, sin peticiones HTTP internas a la propia API.</w:t>
      </w:r>
    </w:p>
    <w:p>
      <w:pPr>
        <w:pStyle w:val="Heading2"/>
        <w:keepNext/>
      </w:pPr>
      <w:r>
        <w:rPr>
          <w:color w:val="000000"/>
        </w:rPr>
        <w:t>15.8. IA documental</w:t>
      </w:r>
    </w:p>
    <w:p>
      <w:r>
        <w:t>Pipeline recepción→seguridad→extracción→validación determinista→confirmación→registro; puerto de proveedor; multimodal inicial; contrato JSON versionado; estados separados; Messenger, reintentos e idempotencia; 50 análisis/mes por entidad; coste por consumo; garantías de privacidad y dataset de evaluación.</w:t>
      </w:r>
    </w:p>
    <w:p>
      <w:pPr>
        <w:pStyle w:val="Heading2"/>
        <w:keepNext/>
      </w:pPr>
      <w:r>
        <w:rPr>
          <w:color w:val="000000"/>
        </w:rPr>
        <w:t>15.9. Motor fiscal</w:t>
      </w:r>
    </w:p>
    <w:p>
      <w:r>
        <w:t>Tax hexagonal con calculadores especializados; perfiles y normativa por vigencia; reglas en código Git con metadatos versionados; IVA/IGIC por componentes; modelo 130 acumulado; TaxEligibilityChecker (calculable/provisional/no calculable); ajustes, declaraciones, snapshots auditables; recálculo asíncrono y validación profesional.</w:t>
      </w:r>
    </w:p>
    <w:p>
      <w:pPr>
        <w:pStyle w:val="Heading2"/>
        <w:keepNext/>
      </w:pPr>
      <w:r>
        <w:rPr>
          <w:color w:val="000000"/>
        </w:rPr>
        <w:t>15.10. Infraestructura</w:t>
      </w:r>
    </w:p>
    <w:p>
      <w:r>
        <w:t>Dev/staging/prod separados; Docker Compose con Nginx/PHP-FPM/MySQL/Redis/workers; colas ai/tax/exports/notifications; S3 privado y MinIO dev; VPS inicial; GitHub Actions CI/CD; secretos separados; RPO 24 h y RTO objetivo 8 h sujetos a pruebas; logs y OpenTelemetry; migraciones compatibles y rollback controlado.</w:t>
      </w:r>
    </w:p>
    <w:p>
      <w:pPr>
        <w:pStyle w:val="Heading2"/>
        <w:keepNext/>
      </w:pPr>
      <w:r>
        <w:rPr>
          <w:color w:val="000000"/>
        </w:rPr>
        <w:t>15.11. Calidad y agentes</w:t>
      </w:r>
    </w:p>
    <w:p>
      <w:r>
        <w:t>SDD con criterios de aceptación; TDD prioritario en lógica crítica; PHPUnit/PHPStan/formato; Dart analyze/tests; documentación/ADR; AGENTS.md global y específicos; flujo leer→planificar→implementar→verificar→revisar; seguridad para agentes; entregas E0–E9; Definition of Done.</w:t>
      </w:r>
    </w:p>
    <w:p>
      <w:pPr>
        <w:keepNext w:val="0"/>
      </w:pPr>
      <w:r>
        <w:t>Flutter mantiene su arquitectura multiplataforma y una base de código común. La primera entrega móvil del TFM se desarrolla, prueba y entrega para Android; iOS queda en el roadmap y no es criterio de aceptación de esta entrega. Visual Studio Code con extensiones Flutter y Dart será el editor habitual de la app. Se instalarán Flutter SDK y Dart, y Android Studio para gestionar Android SDK, SDK Manager, Device Manager, emuladores y build tools. La cadena Android incluirá un JDK compatible, Gradle Wrapper y Android Gradle Plugin compatibles con Flutter, y ADB de Platform Tools para detectar, instalar y depurar en dispositivos. Cursor Pro permanece como IDE asistido por IA para backend y como apoyo al código, refactorización y pruebas. ChatGPT Plus se mantiene para ideación, análisis, planificación y documentación. Visual Studio Code y Android Studio son herramientas de desarrollo y no se contabilizan por sí solas como intervenciones de IA.</w:t>
      </w:r>
    </w:p>
    <w:p>
      <w:pPr>
        <w:pStyle w:val="Heading1"/>
        <w:keepNext/>
      </w:pPr>
      <w:r>
        <w:rPr>
          <w:color w:val="000000"/>
        </w:rPr>
        <w:t>7. Arquitectura resultante y estrategia Git</w:t>
      </w:r>
    </w:p>
    <w:p>
      <w:pPr>
        <w:pStyle w:val="Heading2"/>
        <w:keepNext/>
      </w:pPr>
      <w:r>
        <w:rPr>
          <w:color w:val="000000"/>
        </w:rPr>
        <w:t>7.1. Distribución en monorepositorio</w:t>
      </w:r>
    </w:p>
    <w:p>
      <w:r>
        <w:t>La pregunta final sobre si mantener repositorios separados para backend/web y Flutter se resolvió a favor de un único monorepositorio Git. La web Twig y la API son dos interfaces del mismo backend Symfony; Flutter se desarrolla como aplicación independiente dentro del mismo repositorio.</w:t>
      </w:r>
    </w:p>
    <w:p>
      <w:pPr>
        <w:pStyle w:val="ListBullet"/>
      </w:pPr>
      <w:r>
        <w:t>backend/: Symfony, API, controladores web, templates, assets, migraciones y pruebas.</w:t>
      </w:r>
    </w:p>
    <w:p>
      <w:pPr>
        <w:pStyle w:val="ListBullet"/>
      </w:pPr>
      <w:r>
        <w:t>mobile/: Flutter, Android, iOS, lib y pruebas.</w:t>
      </w:r>
    </w:p>
    <w:p>
      <w:pPr>
        <w:pStyle w:val="ListBullet"/>
      </w:pPr>
      <w:r>
        <w:t>infrastructure/: Docker, scripts y despliegue.</w:t>
      </w:r>
    </w:p>
    <w:p>
      <w:pPr>
        <w:pStyle w:val="ListBullet"/>
      </w:pPr>
      <w:r>
        <w:t>docs/: decisiones, especificaciones, arquitectura, API y pruebas.</w:t>
      </w:r>
    </w:p>
    <w:p>
      <w:pPr>
        <w:pStyle w:val="ListBullet"/>
      </w:pPr>
      <w:r>
        <w:t>.github/workflows/: pipelines separadas de backend, móvil y despliegue.</w:t>
      </w:r>
    </w:p>
    <w:p>
      <w:pPr>
        <w:pStyle w:val="ListBullet"/>
      </w:pPr>
      <w:r>
        <w:t>AGENTS.md y archivos por componente.</w:t>
      </w:r>
    </w:p>
    <w:p>
      <w:pPr>
        <w:pStyle w:val="Heading2"/>
        <w:keepNext/>
      </w:pPr>
      <w:r>
        <w:rPr>
          <w:color w:val="000000"/>
        </w:rPr>
        <w:t>7.2. Modificación final del modelo de ramas</w:t>
      </w:r>
    </w:p>
    <w:p>
      <w:r>
        <w:t>La propuesta inicial de GitHub Flow fue modificada expresamente: develop será la rama de integración cotidiana y main quedará protegida para pull requests destinados a producción.</w:t>
      </w:r>
    </w:p>
    <w:tbl>
      <w:tblPr>
        <w:tblStyle w:val="LightShading-Accent1"/>
        <w:tblW w:type="auto" w:w="0"/>
        <w:jc w:val="center"/>
        <w:tblLook w:firstColumn="1" w:firstRow="1" w:lastColumn="0" w:lastRow="0" w:noHBand="0" w:noVBand="1" w:val="04A0"/>
      </w:tblPr>
      <w:tblGrid>
        <w:gridCol w:w="4874"/>
        <w:gridCol w:w="4874"/>
      </w:tblGrid>
      <w:tr>
        <w:tc>
          <w:tcPr>
            <w:tcW w:type="dxa" w:w="4874"/>
            <w:vAlign w:val="center"/>
          </w:tcPr>
          <w:p>
            <w:pPr>
              <w:spacing w:after="40"/>
            </w:pPr>
            <w:r>
              <w:rPr>
                <w:b/>
                <w:color w:val="133B52"/>
                <w:sz w:val="16"/>
              </w:rPr>
              <w:t>Rama</w:t>
            </w:r>
          </w:p>
        </w:tc>
        <w:tc>
          <w:tcPr>
            <w:tcW w:type="dxa" w:w="4874"/>
            <w:vAlign w:val="center"/>
          </w:tcPr>
          <w:p>
            <w:pPr>
              <w:spacing w:after="40"/>
            </w:pPr>
            <w:r>
              <w:rPr>
                <w:b/>
                <w:color w:val="133B52"/>
                <w:sz w:val="16"/>
              </w:rPr>
              <w:t>Regla acordada</w:t>
            </w:r>
          </w:p>
        </w:tc>
      </w:tr>
      <w:tr>
        <w:tc>
          <w:tcPr>
            <w:tcW w:type="dxa" w:w="4874"/>
            <w:vAlign w:val="center"/>
          </w:tcPr>
          <w:p>
            <w:pPr>
              <w:spacing w:after="40"/>
            </w:pPr>
            <w:r>
              <w:rPr>
                <w:sz w:val="16"/>
              </w:rPr>
              <w:t>main</w:t>
            </w:r>
          </w:p>
        </w:tc>
        <w:tc>
          <w:tcPr>
            <w:tcW w:type="dxa" w:w="4874"/>
            <w:vAlign w:val="center"/>
          </w:tcPr>
          <w:p>
            <w:pPr>
              <w:spacing w:after="40"/>
            </w:pPr>
            <w:r>
              <w:rPr>
                <w:sz w:val="16"/>
              </w:rPr>
              <w:t>Protegida; sin commits directos; PR con revisión y CI; despliegues de producción supervisados.</w:t>
            </w:r>
          </w:p>
        </w:tc>
      </w:tr>
      <w:tr>
        <w:tc>
          <w:tcPr>
            <w:tcW w:type="dxa" w:w="4874"/>
            <w:vAlign w:val="center"/>
          </w:tcPr>
          <w:p>
            <w:pPr>
              <w:spacing w:after="40"/>
            </w:pPr>
            <w:r>
              <w:rPr>
                <w:sz w:val="16"/>
              </w:rPr>
              <w:t>develop</w:t>
            </w:r>
          </w:p>
        </w:tc>
        <w:tc>
          <w:tcPr>
            <w:tcW w:type="dxa" w:w="4874"/>
            <w:vAlign w:val="center"/>
          </w:tcPr>
          <w:p>
            <w:pPr>
              <w:spacing w:after="40"/>
            </w:pPr>
            <w:r>
              <w:rPr>
                <w:sz w:val="16"/>
              </w:rPr>
              <w:t>Rama de integración del desarrollo.</w:t>
            </w:r>
          </w:p>
        </w:tc>
      </w:tr>
      <w:tr>
        <w:tc>
          <w:tcPr>
            <w:tcW w:type="dxa" w:w="4874"/>
            <w:vAlign w:val="center"/>
          </w:tcPr>
          <w:p>
            <w:pPr>
              <w:spacing w:after="40"/>
            </w:pPr>
            <w:r>
              <w:rPr>
                <w:sz w:val="16"/>
              </w:rPr>
              <w:t>feature/*</w:t>
            </w:r>
          </w:p>
        </w:tc>
        <w:tc>
          <w:tcPr>
            <w:tcW w:type="dxa" w:w="4874"/>
            <w:vAlign w:val="center"/>
          </w:tcPr>
          <w:p>
            <w:pPr>
              <w:spacing w:after="40"/>
            </w:pPr>
            <w:r>
              <w:rPr>
                <w:sz w:val="16"/>
              </w:rPr>
              <w:t>Nace de develop y vuelve a develop por PR.</w:t>
            </w:r>
          </w:p>
        </w:tc>
      </w:tr>
      <w:tr>
        <w:tc>
          <w:tcPr>
            <w:tcW w:type="dxa" w:w="4874"/>
            <w:vAlign w:val="center"/>
          </w:tcPr>
          <w:p>
            <w:pPr>
              <w:spacing w:after="40"/>
            </w:pPr>
            <w:r>
              <w:rPr>
                <w:sz w:val="16"/>
              </w:rPr>
              <w:t>fix/*</w:t>
            </w:r>
          </w:p>
        </w:tc>
        <w:tc>
          <w:tcPr>
            <w:tcW w:type="dxa" w:w="4874"/>
            <w:vAlign w:val="center"/>
          </w:tcPr>
          <w:p>
            <w:pPr>
              <w:spacing w:after="40"/>
            </w:pPr>
            <w:r>
              <w:rPr>
                <w:sz w:val="16"/>
              </w:rPr>
              <w:t>Correcciones en desarrollo.</w:t>
            </w:r>
          </w:p>
        </w:tc>
      </w:tr>
      <w:tr>
        <w:tc>
          <w:tcPr>
            <w:tcW w:type="dxa" w:w="4874"/>
            <w:vAlign w:val="center"/>
          </w:tcPr>
          <w:p>
            <w:pPr>
              <w:spacing w:after="40"/>
            </w:pPr>
            <w:r>
              <w:rPr>
                <w:sz w:val="16"/>
              </w:rPr>
              <w:t>release/*</w:t>
            </w:r>
          </w:p>
        </w:tc>
        <w:tc>
          <w:tcPr>
            <w:tcW w:type="dxa" w:w="4874"/>
            <w:vAlign w:val="center"/>
          </w:tcPr>
          <w:p>
            <w:pPr>
              <w:spacing w:after="40"/>
            </w:pPr>
            <w:r>
              <w:rPr>
                <w:sz w:val="16"/>
              </w:rPr>
              <w:t>Opcional para preparar versiones.</w:t>
            </w:r>
          </w:p>
        </w:tc>
      </w:tr>
      <w:tr>
        <w:tc>
          <w:tcPr>
            <w:tcW w:type="dxa" w:w="4874"/>
            <w:vAlign w:val="center"/>
          </w:tcPr>
          <w:p>
            <w:pPr>
              <w:spacing w:after="40"/>
            </w:pPr>
            <w:r>
              <w:rPr>
                <w:sz w:val="16"/>
              </w:rPr>
              <w:t>hotfix/*</w:t>
            </w:r>
          </w:p>
        </w:tc>
        <w:tc>
          <w:tcPr>
            <w:tcW w:type="dxa" w:w="4874"/>
            <w:vAlign w:val="center"/>
          </w:tcPr>
          <w:p>
            <w:pPr>
              <w:spacing w:after="40"/>
            </w:pPr>
            <w:r>
              <w:rPr>
                <w:sz w:val="16"/>
              </w:rPr>
              <w:t>Correcciones urgentes desde main y sincronizadas posteriormente con develop.</w:t>
            </w:r>
          </w:p>
        </w:tc>
      </w:tr>
    </w:tbl>
    <w:p/>
    <w:p>
      <w:r>
        <w:t>Los pipelines de backend y Flutter se dispararán en función de las rutas afectadas. El versionado y la publicación móvil no quedan necesariamente vinculados a cada despliegue de backend.</w:t>
      </w:r>
    </w:p>
    <w:p>
      <w:pPr>
        <w:pStyle w:val="Heading1"/>
        <w:keepNext/>
      </w:pPr>
      <w:r>
        <w:rPr>
          <w:color w:val="000000"/>
        </w:rPr>
        <w:t>8. Decisiones revisadas y cambios de criterio</w:t>
      </w:r>
    </w:p>
    <w:tbl>
      <w:tblPr>
        <w:tblStyle w:val="LightShading-Accent1"/>
        <w:tblW w:type="auto" w:w="0"/>
        <w:jc w:val="center"/>
        <w:tblLook w:firstColumn="1" w:firstRow="1" w:lastColumn="0" w:lastRow="0" w:noHBand="0" w:noVBand="1" w:val="04A0"/>
      </w:tblPr>
      <w:tblGrid>
        <w:gridCol w:w="3250"/>
        <w:gridCol w:w="3250"/>
        <w:gridCol w:w="3250"/>
      </w:tblGrid>
      <w:tr>
        <w:tc>
          <w:tcPr>
            <w:tcW w:type="dxa" w:w="3250"/>
            <w:vAlign w:val="center"/>
          </w:tcPr>
          <w:p>
            <w:pPr>
              <w:spacing w:after="40"/>
            </w:pPr>
            <w:r>
              <w:rPr>
                <w:b/>
                <w:color w:val="133B52"/>
                <w:sz w:val="16"/>
              </w:rPr>
              <w:t>Tema</w:t>
            </w:r>
          </w:p>
        </w:tc>
        <w:tc>
          <w:tcPr>
            <w:tcW w:type="dxa" w:w="3250"/>
            <w:vAlign w:val="center"/>
          </w:tcPr>
          <w:p>
            <w:pPr>
              <w:spacing w:after="40"/>
            </w:pPr>
            <w:r>
              <w:rPr>
                <w:b/>
                <w:color w:val="133B52"/>
                <w:sz w:val="16"/>
              </w:rPr>
              <w:t>Propuesta inicial</w:t>
            </w:r>
          </w:p>
        </w:tc>
        <w:tc>
          <w:tcPr>
            <w:tcW w:type="dxa" w:w="3250"/>
            <w:vAlign w:val="center"/>
          </w:tcPr>
          <w:p>
            <w:pPr>
              <w:spacing w:after="40"/>
            </w:pPr>
            <w:r>
              <w:rPr>
                <w:b/>
                <w:color w:val="133B52"/>
                <w:sz w:val="16"/>
              </w:rPr>
              <w:t>Decisión definitiva</w:t>
            </w:r>
          </w:p>
        </w:tc>
      </w:tr>
      <w:tr>
        <w:tc>
          <w:tcPr>
            <w:tcW w:type="dxa" w:w="3250"/>
            <w:vAlign w:val="center"/>
          </w:tcPr>
          <w:p>
            <w:pPr>
              <w:spacing w:after="40"/>
            </w:pPr>
            <w:r>
              <w:rPr>
                <w:sz w:val="16"/>
              </w:rPr>
              <w:t>Mercado fiscal</w:t>
            </w:r>
          </w:p>
        </w:tc>
        <w:tc>
          <w:tcPr>
            <w:tcW w:type="dxa" w:w="3250"/>
            <w:vAlign w:val="center"/>
          </w:tcPr>
          <w:p>
            <w:pPr>
              <w:spacing w:after="40"/>
            </w:pPr>
            <w:r>
              <w:rPr>
                <w:sz w:val="16"/>
              </w:rPr>
              <w:t>Foco inicial Canarias</w:t>
            </w:r>
          </w:p>
        </w:tc>
        <w:tc>
          <w:tcPr>
            <w:tcW w:type="dxa" w:w="3250"/>
            <w:vAlign w:val="center"/>
          </w:tcPr>
          <w:p>
            <w:pPr>
              <w:spacing w:after="40"/>
            </w:pPr>
            <w:r>
              <w:rPr>
                <w:sz w:val="16"/>
              </w:rPr>
              <w:t>Cobertura prevista toda España; cálculo automático por regímenes implementados.</w:t>
            </w:r>
          </w:p>
        </w:tc>
      </w:tr>
      <w:tr>
        <w:tc>
          <w:tcPr>
            <w:tcW w:type="dxa" w:w="3250"/>
            <w:vAlign w:val="center"/>
          </w:tcPr>
          <w:p>
            <w:pPr>
              <w:spacing w:after="40"/>
            </w:pPr>
            <w:r>
              <w:rPr>
                <w:sz w:val="16"/>
              </w:rPr>
              <w:t>Web</w:t>
            </w:r>
          </w:p>
        </w:tc>
        <w:tc>
          <w:tcPr>
            <w:tcW w:type="dxa" w:w="3250"/>
            <w:vAlign w:val="center"/>
          </w:tcPr>
          <w:p>
            <w:pPr>
              <w:spacing w:after="40"/>
            </w:pPr>
            <w:r>
              <w:rPr>
                <w:sz w:val="16"/>
              </w:rPr>
              <w:t>Vue 3 + TypeScript</w:t>
            </w:r>
          </w:p>
        </w:tc>
        <w:tc>
          <w:tcPr>
            <w:tcW w:type="dxa" w:w="3250"/>
            <w:vAlign w:val="center"/>
          </w:tcPr>
          <w:p>
            <w:pPr>
              <w:spacing w:after="40"/>
            </w:pPr>
            <w:r>
              <w:rPr>
                <w:sz w:val="16"/>
              </w:rPr>
              <w:t>Symfony + Twig + Bootstrap por dominio tecnológico y menor coste de entrada.</w:t>
            </w:r>
          </w:p>
        </w:tc>
      </w:tr>
      <w:tr>
        <w:tc>
          <w:tcPr>
            <w:tcW w:type="dxa" w:w="3250"/>
            <w:vAlign w:val="center"/>
          </w:tcPr>
          <w:p>
            <w:pPr>
              <w:spacing w:after="40"/>
            </w:pPr>
            <w:r>
              <w:rPr>
                <w:sz w:val="16"/>
              </w:rPr>
              <w:t>Arquitectura</w:t>
            </w:r>
          </w:p>
        </w:tc>
        <w:tc>
          <w:tcPr>
            <w:tcW w:type="dxa" w:w="3250"/>
            <w:vAlign w:val="center"/>
          </w:tcPr>
          <w:p>
            <w:pPr>
              <w:spacing w:after="40"/>
            </w:pPr>
            <w:r>
              <w:rPr>
                <w:sz w:val="16"/>
              </w:rPr>
              <w:t>Monolito modular genérico</w:t>
            </w:r>
          </w:p>
        </w:tc>
        <w:tc>
          <w:tcPr>
            <w:tcW w:type="dxa" w:w="3250"/>
            <w:vAlign w:val="center"/>
          </w:tcPr>
          <w:p>
            <w:pPr>
              <w:spacing w:after="40"/>
            </w:pPr>
            <w:r>
              <w:rPr>
                <w:sz w:val="16"/>
              </w:rPr>
              <w:t>Monolito modular + hexagonal selectiva + Clean Architecture.</w:t>
            </w:r>
          </w:p>
        </w:tc>
      </w:tr>
      <w:tr>
        <w:tc>
          <w:tcPr>
            <w:tcW w:type="dxa" w:w="3250"/>
            <w:vAlign w:val="center"/>
          </w:tcPr>
          <w:p>
            <w:pPr>
              <w:spacing w:after="40"/>
            </w:pPr>
            <w:r>
              <w:rPr>
                <w:sz w:val="16"/>
              </w:rPr>
              <w:t>Empleados de asesoría</w:t>
            </w:r>
          </w:p>
        </w:tc>
        <w:tc>
          <w:tcPr>
            <w:tcW w:type="dxa" w:w="3250"/>
            <w:vAlign w:val="center"/>
          </w:tcPr>
          <w:p>
            <w:pPr>
              <w:spacing w:after="40"/>
            </w:pPr>
            <w:r>
              <w:rPr>
                <w:sz w:val="16"/>
              </w:rPr>
              <w:t>Todos con acceso homogéneo</w:t>
            </w:r>
          </w:p>
        </w:tc>
        <w:tc>
          <w:tcPr>
            <w:tcW w:type="dxa" w:w="3250"/>
            <w:vAlign w:val="center"/>
          </w:tcPr>
          <w:p>
            <w:pPr>
              <w:spacing w:after="40"/>
            </w:pPr>
            <w:r>
              <w:rPr>
                <w:sz w:val="16"/>
              </w:rPr>
              <w:t>Acceso al conjunto de clientes por defecto, permisos funcionales personalizables.</w:t>
            </w:r>
          </w:p>
        </w:tc>
      </w:tr>
      <w:tr>
        <w:tc>
          <w:tcPr>
            <w:tcW w:type="dxa" w:w="3250"/>
            <w:vAlign w:val="center"/>
          </w:tcPr>
          <w:p>
            <w:pPr>
              <w:spacing w:after="40"/>
            </w:pPr>
            <w:r>
              <w:rPr>
                <w:sz w:val="16"/>
              </w:rPr>
              <w:t>Gastos</w:t>
            </w:r>
          </w:p>
        </w:tc>
        <w:tc>
          <w:tcPr>
            <w:tcW w:type="dxa" w:w="3250"/>
            <w:vAlign w:val="center"/>
          </w:tcPr>
          <w:p>
            <w:pPr>
              <w:spacing w:after="40"/>
            </w:pPr>
            <w:r>
              <w:rPr>
                <w:sz w:val="16"/>
              </w:rPr>
              <w:t>Datos sin campo separado explícito</w:t>
            </w:r>
          </w:p>
        </w:tc>
        <w:tc>
          <w:tcPr>
            <w:tcW w:type="dxa" w:w="3250"/>
            <w:vAlign w:val="center"/>
          </w:tcPr>
          <w:p>
            <w:pPr>
              <w:spacing w:after="40"/>
            </w:pPr>
            <w:r>
              <w:rPr>
                <w:sz w:val="16"/>
              </w:rPr>
              <w:t>Se incorpora método de pago y desglose por pagos.</w:t>
            </w:r>
          </w:p>
        </w:tc>
      </w:tr>
      <w:tr>
        <w:tc>
          <w:tcPr>
            <w:tcW w:type="dxa" w:w="3250"/>
            <w:vAlign w:val="center"/>
          </w:tcPr>
          <w:p>
            <w:pPr>
              <w:spacing w:after="40"/>
            </w:pPr>
            <w:r>
              <w:rPr>
                <w:sz w:val="16"/>
              </w:rPr>
              <w:t>Exportaciones programadas</w:t>
            </w:r>
          </w:p>
        </w:tc>
        <w:tc>
          <w:tcPr>
            <w:tcW w:type="dxa" w:w="3250"/>
            <w:vAlign w:val="center"/>
          </w:tcPr>
          <w:p>
            <w:pPr>
              <w:spacing w:after="40"/>
            </w:pPr>
            <w:r>
              <w:rPr>
                <w:sz w:val="16"/>
              </w:rPr>
              <w:t>Propuestas para MVP</w:t>
            </w:r>
          </w:p>
        </w:tc>
        <w:tc>
          <w:tcPr>
            <w:tcW w:type="dxa" w:w="3250"/>
            <w:vAlign w:val="center"/>
          </w:tcPr>
          <w:p>
            <w:pPr>
              <w:spacing w:after="40"/>
            </w:pPr>
            <w:r>
              <w:rPr>
                <w:sz w:val="16"/>
              </w:rPr>
              <w:t>Se trasladan a fase 2.</w:t>
            </w:r>
          </w:p>
        </w:tc>
      </w:tr>
      <w:tr>
        <w:tc>
          <w:tcPr>
            <w:tcW w:type="dxa" w:w="3250"/>
            <w:vAlign w:val="center"/>
          </w:tcPr>
          <w:p>
            <w:pPr>
              <w:spacing w:after="40"/>
            </w:pPr>
            <w:r>
              <w:rPr>
                <w:sz w:val="16"/>
              </w:rPr>
              <w:t>Ramas Git</w:t>
            </w:r>
          </w:p>
        </w:tc>
        <w:tc>
          <w:tcPr>
            <w:tcW w:type="dxa" w:w="3250"/>
            <w:vAlign w:val="center"/>
          </w:tcPr>
          <w:p>
            <w:pPr>
              <w:spacing w:after="40"/>
            </w:pPr>
            <w:r>
              <w:rPr>
                <w:sz w:val="16"/>
              </w:rPr>
              <w:t>GitHub Flow, main como principal</w:t>
            </w:r>
          </w:p>
        </w:tc>
        <w:tc>
          <w:tcPr>
            <w:tcW w:type="dxa" w:w="3250"/>
            <w:vAlign w:val="center"/>
          </w:tcPr>
          <w:p>
            <w:pPr>
              <w:spacing w:after="40"/>
            </w:pPr>
            <w:r>
              <w:rPr>
                <w:sz w:val="16"/>
              </w:rPr>
              <w:t>develop para integración y main protegida para producción.</w:t>
            </w:r>
          </w:p>
        </w:tc>
      </w:tr>
      <w:tr>
        <w:tc>
          <w:tcPr>
            <w:tcW w:type="dxa" w:w="3250"/>
            <w:vAlign w:val="center"/>
          </w:tcPr>
          <w:p>
            <w:pPr>
              <w:spacing w:after="40"/>
            </w:pPr>
            <w:r>
              <w:rPr>
                <w:sz w:val="16"/>
              </w:rPr>
              <w:t>Repositorios</w:t>
            </w:r>
          </w:p>
        </w:tc>
        <w:tc>
          <w:tcPr>
            <w:tcW w:type="dxa" w:w="3250"/>
            <w:vAlign w:val="center"/>
          </w:tcPr>
          <w:p>
            <w:pPr>
              <w:spacing w:after="40"/>
            </w:pPr>
            <w:r>
              <w:rPr>
                <w:sz w:val="16"/>
              </w:rPr>
              <w:t>Monorepositorio propuesto</w:t>
            </w:r>
          </w:p>
        </w:tc>
        <w:tc>
          <w:tcPr>
            <w:tcW w:type="dxa" w:w="3250"/>
            <w:vAlign w:val="center"/>
          </w:tcPr>
          <w:p>
            <w:pPr>
              <w:spacing w:after="40"/>
            </w:pPr>
            <w:r>
              <w:rPr>
                <w:sz w:val="16"/>
              </w:rPr>
              <w:t>Monorepositorio expresamente confirmado.</w:t>
            </w:r>
          </w:p>
        </w:tc>
      </w:tr>
      <w:tr>
        <w:tc>
          <w:tcPr>
            <w:tcW w:type="dxa" w:w="3250"/>
            <w:vAlign w:val="center"/>
          </w:tcPr>
          <w:p>
            <w:pPr>
              <w:spacing w:after="40"/>
            </w:pPr>
            <w:r>
              <w:rPr>
                <w:sz w:val="16"/>
              </w:rPr>
              <w:t>Inicio de sesión</w:t>
            </w:r>
          </w:p>
        </w:tc>
        <w:tc>
          <w:tcPr>
            <w:tcW w:type="dxa" w:w="3250"/>
            <w:vAlign w:val="center"/>
          </w:tcPr>
          <w:p>
            <w:pPr>
              <w:spacing w:after="40"/>
            </w:pPr>
            <w:r>
              <w:rPr>
                <w:sz w:val="16"/>
              </w:rPr>
              <w:t>Email, Google y Microsoft</w:t>
            </w:r>
          </w:p>
        </w:tc>
        <w:tc>
          <w:tcPr>
            <w:tcW w:type="dxa" w:w="3250"/>
            <w:vAlign w:val="center"/>
          </w:tcPr>
          <w:p>
            <w:pPr>
              <w:spacing w:after="40"/>
            </w:pPr>
            <w:r>
              <w:rPr>
                <w:sz w:val="16"/>
              </w:rPr>
              <w:t>Email y contraseña en MVP; federados posteriores.</w:t>
            </w:r>
          </w:p>
        </w:tc>
      </w:tr>
    </w:tbl>
    <w:p/>
    <w:p>
      <w:pPr>
        <w:keepNext w:val="0"/>
      </w:pPr>
      <w:r>
        <w:t>La etapa iOS requerirá un Mac con macOS y Xcode compatibles, herramientas de línea de comandos y simulador iOS. Se validarán plugins, permisos, almacenamiento seguro y pruebas en esa plataforma. La distribución mediante TestFlight o App Store requerirá firma, certificados y perfiles de aprovisionamiento y una cuenta con membresía Apple Developer adecuada; no se confunde la ejecución en simulador con la distribución. Se documentarán compilaciones Android mediante flutter build apk --release y flutter build appbundle --release, con configuración de firma de publicación. El APK firmado permite instalación y demostración; el AAB firmado se prepara para distribución mediante Google Play, que no es obligatoria para superar el TFM. Keystore, contraseñas y archivos privados de firma quedarán fuera del repositorio y de las evidencias, con copia de recuperación y acceso controlado.</w:t>
      </w:r>
    </w:p>
    <w:p>
      <w:pPr>
        <w:pStyle w:val="Heading1"/>
        <w:keepNext/>
      </w:pPr>
      <w:r>
        <w:rPr>
          <w:color w:val="000000"/>
        </w:rPr>
        <w:t>9. Límites, riesgos y próximos entregables</w:t>
      </w:r>
    </w:p>
    <w:p>
      <w:pPr>
        <w:pStyle w:val="Heading2"/>
        <w:keepNext/>
      </w:pPr>
      <w:r>
        <w:rPr>
          <w:color w:val="000000"/>
        </w:rPr>
        <w:t>9.1. Riesgos que siguen vigentes</w:t>
      </w:r>
    </w:p>
    <w:p>
      <w:pPr>
        <w:pStyle w:val="ListBullet"/>
      </w:pPr>
      <w:r>
        <w:t>Fiscalidad: ampliar la cobertura a todos los regímenes exige investigación, casos de prueba y validación profesional; no se habilitarán cálculos parciales como si fueran completos.</w:t>
      </w:r>
    </w:p>
    <w:p>
      <w:pPr>
        <w:pStyle w:val="ListBullet"/>
      </w:pPr>
      <w:r>
        <w:t>Privacidad y seguridad: tratar facturas e identificadores fiscales requiere contratos, medidas técnicas y validación jurídica previa al uso comercial.</w:t>
      </w:r>
    </w:p>
    <w:p>
      <w:pPr>
        <w:pStyle w:val="ListBullet"/>
      </w:pPr>
      <w:r>
        <w:t>IA: la extracción es probabilística; necesita confirmación humana y evaluación de precisión/coste.</w:t>
      </w:r>
    </w:p>
    <w:p>
      <w:pPr>
        <w:pStyle w:val="ListBullet"/>
      </w:pPr>
      <w:r>
        <w:t>Alcance: trece módulos funcionales suponen un MVP ambicioso; se controlará por entregas y Definition of Done.</w:t>
      </w:r>
    </w:p>
    <w:p>
      <w:pPr>
        <w:pStyle w:val="ListBullet"/>
      </w:pPr>
      <w:r>
        <w:t>Mercado: precios, adquisición de clientes y venta a Defisoft fueron exploraciones, no compromisos de ingresos ni transacción acordada.</w:t>
      </w:r>
    </w:p>
    <w:p>
      <w:pPr>
        <w:pStyle w:val="ListBullet"/>
      </w:pPr>
      <w:r>
        <w:t>Propiedad intelectual: antes de eventual venta a empleador debe verificarse contrato laboral y titularidad de lo creado.</w:t>
      </w:r>
    </w:p>
    <w:p>
      <w:pPr>
        <w:pStyle w:val="Heading2"/>
        <w:keepNext/>
      </w:pPr>
      <w:r>
        <w:rPr>
          <w:color w:val="000000"/>
        </w:rPr>
        <w:t>9.2. Elementos todavía por materializar</w:t>
      </w:r>
    </w:p>
    <w:p>
      <w:pPr>
        <w:pStyle w:val="ListBullet"/>
      </w:pPr>
      <w:r>
        <w:t>Especificación funcional exhaustiva por historias de usuario y criterios de aceptación.</w:t>
      </w:r>
    </w:p>
    <w:p>
      <w:pPr>
        <w:pStyle w:val="ListBullet"/>
      </w:pPr>
      <w:r>
        <w:t>Modelo entidad-relación detallado, diccionario de datos, restricciones e índices.</w:t>
      </w:r>
    </w:p>
    <w:p>
      <w:pPr>
        <w:pStyle w:val="ListBullet"/>
      </w:pPr>
      <w:r>
        <w:t>OpenAPI 3.1 completo con endpoints y esquemas concretos.</w:t>
      </w:r>
    </w:p>
    <w:p>
      <w:pPr>
        <w:pStyle w:val="ListBullet"/>
      </w:pPr>
      <w:r>
        <w:t>Diseño de pantallas y prototipos Flutter/web.</w:t>
      </w:r>
    </w:p>
    <w:p>
      <w:pPr>
        <w:pStyle w:val="ListBullet"/>
      </w:pPr>
      <w:r>
        <w:t>Reglas tributarias implementadas y contrastadas con normativa vigente por ejercicio.</w:t>
      </w:r>
    </w:p>
    <w:p>
      <w:pPr>
        <w:pStyle w:val="ListBullet"/>
      </w:pPr>
      <w:r>
        <w:t>Dataset de pruebas de extracción IA y criterios de validación medidos.</w:t>
      </w:r>
    </w:p>
    <w:p>
      <w:pPr>
        <w:pStyle w:val="ListBullet"/>
      </w:pPr>
      <w:r>
        <w:t>Archivos AGENTS.md reales y ADR iniciales.</w:t>
      </w:r>
    </w:p>
    <w:p>
      <w:pPr>
        <w:pStyle w:val="ListBullet"/>
      </w:pPr>
      <w:r>
        <w:t>Backlog de E0–E9 con dependencias, estimaciones y aceptación.</w:t>
      </w:r>
    </w:p>
    <w:p>
      <w:pPr>
        <w:keepNext w:val="0"/>
      </w:pPr>
      <w:r>
        <w:t>E0 incorporará instalación y registro de versiones Flutter/Dart, VS Code y extensiones, Android Studio, SDK/API, build tools, JDK, Gradle Wrapper y Android Gradle Plugin. Se comprobarán flutter doctor -v, licencias Android, flutter devices y adb devices; se arrancará un emulador y se ejecutará la app en un dispositivo Android físico. Se registrarán incidencias, versiones y evidencias sanitizadas, sin declarar comprobaciones aún no ejecutadas.</w:t>
      </w:r>
    </w:p>
    <w:p>
      <w:pPr>
        <w:pStyle w:val="Heading2"/>
        <w:keepNext/>
      </w:pPr>
      <w:r>
        <w:rPr>
          <w:color w:val="000000"/>
        </w:rPr>
        <w:t>9.3. Siguiente etapa operativa</w:t>
      </w:r>
    </w:p>
    <w:p>
      <w:r>
        <w:t>Preparar los artefactos base dentro del monorepositorio y ejecutar la entrega E0: configuración de Git y protecciones main/develop, estructura backend/mobile/docs, entorno Docker, esqueleto Symfony, proyecto Flutter, pipelines de CI y primeras instrucciones AGENTS.md. La implementación se guiará por especificaciones aprobadas y cambios revisables.</w:t>
      </w:r>
    </w:p>
    <w:p>
      <w:pPr>
        <w:pStyle w:val="Heading1"/>
        <w:keepNext/>
      </w:pPr>
      <w:r>
        <w:rPr>
          <w:color w:val="000000"/>
        </w:rPr>
        <w:t>Anexo A. Matriz compacta de decisiones</w:t>
      </w:r>
    </w:p>
    <w:tbl>
      <w:tblPr>
        <w:tblStyle w:val="LightShading-Accent1"/>
        <w:tblW w:type="auto" w:w="0"/>
        <w:jc w:val="center"/>
        <w:tblLook w:firstColumn="1" w:firstRow="1" w:lastColumn="0" w:lastRow="0" w:noHBand="0" w:noVBand="1" w:val="04A0"/>
      </w:tblPr>
      <w:tblGrid>
        <w:gridCol w:w="3250"/>
        <w:gridCol w:w="3250"/>
        <w:gridCol w:w="3250"/>
      </w:tblGrid>
      <w:tr>
        <w:tc>
          <w:tcPr>
            <w:tcW w:type="dxa" w:w="3250"/>
            <w:vAlign w:val="center"/>
          </w:tcPr>
          <w:p>
            <w:pPr>
              <w:spacing w:after="40"/>
            </w:pPr>
            <w:r>
              <w:rPr>
                <w:b/>
                <w:color w:val="133B52"/>
                <w:sz w:val="16"/>
              </w:rPr>
              <w:t>Bloque</w:t>
            </w:r>
          </w:p>
        </w:tc>
        <w:tc>
          <w:tcPr>
            <w:tcW w:type="dxa" w:w="3250"/>
            <w:vAlign w:val="center"/>
          </w:tcPr>
          <w:p>
            <w:pPr>
              <w:spacing w:after="40"/>
            </w:pPr>
            <w:r>
              <w:rPr>
                <w:b/>
                <w:color w:val="133B52"/>
                <w:sz w:val="16"/>
              </w:rPr>
              <w:t>Estado</w:t>
            </w:r>
          </w:p>
        </w:tc>
        <w:tc>
          <w:tcPr>
            <w:tcW w:type="dxa" w:w="3250"/>
            <w:vAlign w:val="center"/>
          </w:tcPr>
          <w:p>
            <w:pPr>
              <w:spacing w:after="40"/>
            </w:pPr>
            <w:r>
              <w:rPr>
                <w:b/>
                <w:color w:val="133B52"/>
                <w:sz w:val="16"/>
              </w:rPr>
              <w:t>Resultado</w:t>
            </w:r>
          </w:p>
        </w:tc>
      </w:tr>
      <w:tr>
        <w:tc>
          <w:tcPr>
            <w:tcW w:type="dxa" w:w="3250"/>
            <w:vAlign w:val="center"/>
          </w:tcPr>
          <w:p>
            <w:pPr>
              <w:spacing w:after="40"/>
            </w:pPr>
            <w:r>
              <w:rPr>
                <w:sz w:val="16"/>
              </w:rPr>
              <w:t>M01 · Usuarios y asesorías</w:t>
            </w:r>
          </w:p>
        </w:tc>
        <w:tc>
          <w:tcPr>
            <w:tcW w:type="dxa" w:w="3250"/>
            <w:vAlign w:val="center"/>
          </w:tcPr>
          <w:p>
            <w:pPr>
              <w:spacing w:after="40"/>
            </w:pPr>
            <w:r>
              <w:rPr>
                <w:sz w:val="16"/>
              </w:rPr>
              <w:t>Aprobado</w:t>
            </w:r>
          </w:p>
        </w:tc>
        <w:tc>
          <w:tcPr>
            <w:tcW w:type="dxa" w:w="3250"/>
            <w:vAlign w:val="center"/>
          </w:tcPr>
          <w:p>
            <w:pPr>
              <w:spacing w:after="40"/>
            </w:pPr>
            <w:r>
              <w:rPr>
                <w:sz w:val="16"/>
              </w:rPr>
              <w:t>Modificado</w:t>
            </w:r>
          </w:p>
        </w:tc>
      </w:tr>
      <w:tr>
        <w:tc>
          <w:tcPr>
            <w:tcW w:type="dxa" w:w="3250"/>
            <w:vAlign w:val="center"/>
          </w:tcPr>
          <w:p>
            <w:pPr>
              <w:spacing w:after="40"/>
            </w:pPr>
            <w:r>
              <w:rPr>
                <w:sz w:val="16"/>
              </w:rPr>
              <w:t>M02 · Autenticación</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M03 · Ingresos</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M04 · Gastos</w:t>
            </w:r>
          </w:p>
        </w:tc>
        <w:tc>
          <w:tcPr>
            <w:tcW w:type="dxa" w:w="3250"/>
            <w:vAlign w:val="center"/>
          </w:tcPr>
          <w:p>
            <w:pPr>
              <w:spacing w:after="40"/>
            </w:pPr>
            <w:r>
              <w:rPr>
                <w:sz w:val="16"/>
              </w:rPr>
              <w:t>Aprobado</w:t>
            </w:r>
          </w:p>
        </w:tc>
        <w:tc>
          <w:tcPr>
            <w:tcW w:type="dxa" w:w="3250"/>
            <w:vAlign w:val="center"/>
          </w:tcPr>
          <w:p>
            <w:pPr>
              <w:spacing w:after="40"/>
            </w:pPr>
            <w:r>
              <w:rPr>
                <w:sz w:val="16"/>
              </w:rPr>
              <w:t>Modificado</w:t>
            </w:r>
          </w:p>
        </w:tc>
      </w:tr>
      <w:tr>
        <w:tc>
          <w:tcPr>
            <w:tcW w:type="dxa" w:w="3250"/>
            <w:vAlign w:val="center"/>
          </w:tcPr>
          <w:p>
            <w:pPr>
              <w:spacing w:after="40"/>
            </w:pPr>
            <w:r>
              <w:rPr>
                <w:sz w:val="16"/>
              </w:rPr>
              <w:t>M05 · Documentos</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M06 · Inteligencia artificial</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M07 · Categorías</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M08 · Fiscalidad</w:t>
            </w:r>
          </w:p>
        </w:tc>
        <w:tc>
          <w:tcPr>
            <w:tcW w:type="dxa" w:w="3250"/>
            <w:vAlign w:val="center"/>
          </w:tcPr>
          <w:p>
            <w:pPr>
              <w:spacing w:after="40"/>
            </w:pPr>
            <w:r>
              <w:rPr>
                <w:sz w:val="16"/>
              </w:rPr>
              <w:t>Aprobado</w:t>
            </w:r>
          </w:p>
        </w:tc>
        <w:tc>
          <w:tcPr>
            <w:tcW w:type="dxa" w:w="3250"/>
            <w:vAlign w:val="center"/>
          </w:tcPr>
          <w:p>
            <w:pPr>
              <w:spacing w:after="40"/>
            </w:pPr>
            <w:r>
              <w:rPr>
                <w:sz w:val="16"/>
              </w:rPr>
              <w:t>Modificado</w:t>
            </w:r>
          </w:p>
        </w:tc>
      </w:tr>
      <w:tr>
        <w:tc>
          <w:tcPr>
            <w:tcW w:type="dxa" w:w="3250"/>
            <w:vAlign w:val="center"/>
          </w:tcPr>
          <w:p>
            <w:pPr>
              <w:spacing w:after="40"/>
            </w:pPr>
            <w:r>
              <w:rPr>
                <w:sz w:val="16"/>
              </w:rPr>
              <w:t>M09 · Dashboard e informes</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M10 · Relación asesor-cliente</w:t>
            </w:r>
          </w:p>
        </w:tc>
        <w:tc>
          <w:tcPr>
            <w:tcW w:type="dxa" w:w="3250"/>
            <w:vAlign w:val="center"/>
          </w:tcPr>
          <w:p>
            <w:pPr>
              <w:spacing w:after="40"/>
            </w:pPr>
            <w:r>
              <w:rPr>
                <w:sz w:val="16"/>
              </w:rPr>
              <w:t>Aprobado</w:t>
            </w:r>
          </w:p>
        </w:tc>
        <w:tc>
          <w:tcPr>
            <w:tcW w:type="dxa" w:w="3250"/>
            <w:vAlign w:val="center"/>
          </w:tcPr>
          <w:p>
            <w:pPr>
              <w:spacing w:after="40"/>
            </w:pPr>
            <w:r>
              <w:rPr>
                <w:sz w:val="16"/>
              </w:rPr>
              <w:t>Modificado</w:t>
            </w:r>
          </w:p>
        </w:tc>
      </w:tr>
      <w:tr>
        <w:tc>
          <w:tcPr>
            <w:tcW w:type="dxa" w:w="3250"/>
            <w:vAlign w:val="center"/>
          </w:tcPr>
          <w:p>
            <w:pPr>
              <w:spacing w:after="40"/>
            </w:pPr>
            <w:r>
              <w:rPr>
                <w:sz w:val="16"/>
              </w:rPr>
              <w:t>M11 · Notificaciones</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M12 · Exportaciones</w:t>
            </w:r>
          </w:p>
        </w:tc>
        <w:tc>
          <w:tcPr>
            <w:tcW w:type="dxa" w:w="3250"/>
            <w:vAlign w:val="center"/>
          </w:tcPr>
          <w:p>
            <w:pPr>
              <w:spacing w:after="40"/>
            </w:pPr>
            <w:r>
              <w:rPr>
                <w:sz w:val="16"/>
              </w:rPr>
              <w:t>Aprobado</w:t>
            </w:r>
          </w:p>
        </w:tc>
        <w:tc>
          <w:tcPr>
            <w:tcW w:type="dxa" w:w="3250"/>
            <w:vAlign w:val="center"/>
          </w:tcPr>
          <w:p>
            <w:pPr>
              <w:spacing w:after="40"/>
            </w:pPr>
            <w:r>
              <w:rPr>
                <w:sz w:val="16"/>
              </w:rPr>
              <w:t>Modificado</w:t>
            </w:r>
          </w:p>
        </w:tc>
      </w:tr>
      <w:tr>
        <w:tc>
          <w:tcPr>
            <w:tcW w:type="dxa" w:w="3250"/>
            <w:vAlign w:val="center"/>
          </w:tcPr>
          <w:p>
            <w:pPr>
              <w:spacing w:after="40"/>
            </w:pPr>
            <w:r>
              <w:rPr>
                <w:sz w:val="16"/>
              </w:rPr>
              <w:t>M13 · Seguridad y privacidad</w:t>
            </w:r>
          </w:p>
        </w:tc>
        <w:tc>
          <w:tcPr>
            <w:tcW w:type="dxa" w:w="3250"/>
            <w:vAlign w:val="center"/>
          </w:tcPr>
          <w:p>
            <w:pPr>
              <w:spacing w:after="40"/>
            </w:pPr>
            <w:r>
              <w:rPr>
                <w:sz w:val="16"/>
              </w:rPr>
              <w:t>Aprobado</w:t>
            </w:r>
          </w:p>
        </w:tc>
        <w:tc>
          <w:tcPr>
            <w:tcW w:type="dxa" w:w="3250"/>
            <w:vAlign w:val="center"/>
          </w:tcPr>
          <w:p>
            <w:pPr>
              <w:spacing w:after="40"/>
            </w:pPr>
            <w:r>
              <w:rPr>
                <w:sz w:val="16"/>
              </w:rPr>
              <w:t>Sin cambios</w:t>
            </w:r>
          </w:p>
        </w:tc>
      </w:tr>
      <w:tr>
        <w:tc>
          <w:tcPr>
            <w:tcW w:type="dxa" w:w="3250"/>
            <w:vAlign w:val="center"/>
          </w:tcPr>
          <w:p>
            <w:pPr>
              <w:spacing w:after="40"/>
            </w:pPr>
            <w:r>
              <w:rPr>
                <w:sz w:val="16"/>
              </w:rPr>
              <w:t>M14 · Alcance</w:t>
            </w:r>
          </w:p>
        </w:tc>
        <w:tc>
          <w:tcPr>
            <w:tcW w:type="dxa" w:w="3250"/>
            <w:vAlign w:val="center"/>
          </w:tcPr>
          <w:p>
            <w:pPr>
              <w:spacing w:after="40"/>
            </w:pPr>
            <w:r>
              <w:rPr>
                <w:sz w:val="16"/>
              </w:rPr>
              <w:t>Aprobado</w:t>
            </w:r>
          </w:p>
        </w:tc>
        <w:tc>
          <w:tcPr>
            <w:tcW w:type="dxa" w:w="3250"/>
            <w:vAlign w:val="center"/>
          </w:tcPr>
          <w:p>
            <w:pPr>
              <w:spacing w:after="40"/>
            </w:pPr>
            <w:r>
              <w:rPr>
                <w:sz w:val="16"/>
              </w:rPr>
              <w:t>Fases 1–3</w:t>
            </w:r>
          </w:p>
        </w:tc>
      </w:tr>
      <w:tr>
        <w:tc>
          <w:tcPr>
            <w:tcW w:type="dxa" w:w="3250"/>
            <w:vAlign w:val="center"/>
          </w:tcPr>
          <w:p>
            <w:pPr>
              <w:spacing w:after="40"/>
            </w:pPr>
            <w:r>
              <w:rPr>
                <w:sz w:val="16"/>
              </w:rPr>
              <w:t>M15.1–15.11 · Arquitectura</w:t>
            </w:r>
          </w:p>
        </w:tc>
        <w:tc>
          <w:tcPr>
            <w:tcW w:type="dxa" w:w="3250"/>
            <w:vAlign w:val="center"/>
          </w:tcPr>
          <w:p>
            <w:pPr>
              <w:spacing w:after="40"/>
            </w:pPr>
            <w:r>
              <w:rPr>
                <w:sz w:val="16"/>
              </w:rPr>
              <w:t>Aprobado</w:t>
            </w:r>
          </w:p>
        </w:tc>
        <w:tc>
          <w:tcPr>
            <w:tcW w:type="dxa" w:w="3250"/>
            <w:vAlign w:val="center"/>
          </w:tcPr>
          <w:p>
            <w:pPr>
              <w:spacing w:after="40"/>
            </w:pPr>
            <w:r>
              <w:rPr>
                <w:sz w:val="16"/>
              </w:rPr>
              <w:t>Con modificaciones en stack, arquitectura y ramas</w:t>
            </w:r>
          </w:p>
        </w:tc>
      </w:tr>
    </w:tbl>
    <w:p/>
    <w:p>
      <w:pPr>
        <w:pStyle w:val="Heading1"/>
        <w:keepNext/>
      </w:pPr>
      <w:r>
        <w:rPr>
          <w:color w:val="000000"/>
        </w:rPr>
        <w:t>Anexo B. Terminología y trazabilidad</w:t>
      </w:r>
    </w:p>
    <w:p>
      <w:pPr>
        <w:pStyle w:val="ListBullet"/>
      </w:pPr>
      <w:r>
        <w:t>MVP: producto mínimo viable delimitado para el TFM.</w:t>
      </w:r>
    </w:p>
    <w:p>
      <w:pPr>
        <w:pStyle w:val="ListBullet"/>
      </w:pPr>
      <w:r>
        <w:t>Entidad fiscal: titular de los ingresos, gastos, documentos y configuraciones.</w:t>
      </w:r>
    </w:p>
    <w:p>
      <w:pPr>
        <w:pStyle w:val="ListBullet"/>
      </w:pPr>
      <w:r>
        <w:t>Asesoría vinculada: organización autorizada por el titular; como máximo una activa.</w:t>
      </w:r>
    </w:p>
    <w:p>
      <w:pPr>
        <w:pStyle w:val="ListBullet"/>
      </w:pPr>
      <w:r>
        <w:t>Monolito modular: aplicación desplegada como unidad y organizada internamente por módulos.</w:t>
      </w:r>
    </w:p>
    <w:p>
      <w:pPr>
        <w:pStyle w:val="ListBullet"/>
      </w:pPr>
      <w:r>
        <w:t>Hexagonal: dominio y casos de uso desacoplados de adaptadores externos.</w:t>
      </w:r>
    </w:p>
    <w:p>
      <w:pPr>
        <w:pStyle w:val="ListBullet"/>
      </w:pPr>
      <w:r>
        <w:t>SDD: desarrollo a partir de especificaciones y criterios de aceptación.</w:t>
      </w:r>
    </w:p>
    <w:p>
      <w:pPr>
        <w:pStyle w:val="ListBullet"/>
      </w:pPr>
      <w:r>
        <w:t>ADR: registro de una decisión arquitectónica y sus motivos.</w:t>
      </w:r>
    </w:p>
    <w:p>
      <w:pPr>
        <w:pStyle w:val="ListBullet"/>
      </w:pPr>
      <w:r>
        <w:t>AGENTS.md: reglas versionadas de actuación de agentes de desarrollo.</w:t>
      </w:r>
    </w:p>
    <w:p>
      <w:pPr>
        <w:pStyle w:val="ListBullet"/>
      </w:pPr>
      <w:r>
        <w:t>Estimación fiscal: cálculo orientativo; no equivale a declaración presentada ni asesoramiento vinculante.</w:t>
      </w:r>
    </w:p>
    <w:p>
      <w:pPr>
        <w:pStyle w:val="Smallnote"/>
      </w:pPr>
      <w:r>
        <w:t>Nota de trazabilidad: la secuencia es una reconstrucción temática del diálogo de toma de decisiones, basada en sus aprobaciones expresas. No se asignan fechas de aprobación individuales no documentadas ni se reproducen literalmente mensajes que no son necesarios para comprender la decisión.</w:t>
      </w:r>
    </w:p>
    <w:p>
      <w:pPr>
        <w:pStyle w:val="Heading1"/>
      </w:pPr>
      <w:r>
        <w:rPr>
          <w:color w:val="000000"/>
        </w:rPr>
        <w:t>Registro de cambio de la versión 1 1</w:t>
      </w:r>
    </w:p>
    <w:p>
      <w:r>
        <w:t>18 de octubre de 2026 — ADR-009 — Decisión del responsable del TFM: entrega móvil inicial Android y definición del entorno de desarrollo. La revisión actualiza alcance de plataforma, herramientas, planificación, pruebas y evidencias; no acredita implementación ni ejecución de pruebas.</w:t>
      </w:r>
    </w:p>
    <w:p>
      <w:r>
        <w:t>Flutter mantiene su arquitectura multiplataforma y una base de código común. La primera entrega móvil del TFM se desarrolla, prueba y entrega para Android; iOS queda en el roadmap y no es criterio de aceptación de esta entrega.</w:t>
      </w:r>
    </w:p>
    <w:p>
      <w:r>
        <w:t>Se conservan el monorepositorio, develop y main protegida, Symfony/Twig/API compartidos, Feature-First y MVVM con Riverpod, GoRouter y Dio, y los contratos y reglas funcionales aprobados. Se mantienen aislamiento por FiscalEntity, precisión decimal, fiscalidad determinista y confirmación humana de datos extraídos por IA. Este cambio no selecciona proveedor IA del producto ni modifica cuotas, permisos o cobertura tributaria.</w:t>
      </w:r>
    </w:p>
    <w:p>
      <w:pPr>
        <w:pStyle w:val="Heading1"/>
      </w:pPr>
      <w:r>
        <w:rPr>
          <w:color w:val="000000"/>
        </w:rPr>
        <w:t>Referencias para el entorno móvil</w:t>
      </w:r>
    </w:p>
    <w:p>
      <w:r>
        <w:t>https://docs.flutter.dev/tools/vs-code</w:t>
      </w:r>
    </w:p>
    <w:p>
      <w:r>
        <w:t>https://docs.flutter.dev/platform-integration/android/setup</w:t>
      </w:r>
    </w:p>
    <w:p>
      <w:r>
        <w:t>https://docs.flutter.dev/deployment/android</w:t>
      </w:r>
    </w:p>
    <w:p>
      <w:r>
        <w:t>https://docs.flutter.dev/platform-integration/ios/setup</w:t>
      </w:r>
    </w:p>
    <w:p>
      <w:r>
        <w:t>https://docs.flutter.dev/deployment/ios</w:t>
      </w:r>
    </w:p>
    <w:p>
      <w:r>
        <w:t>Documentación oficial Flutter consultada el 18 de octubre de 2026. Las versiones exactas y su compatibilidad se fijarán durante E0.</w:t>
      </w:r>
    </w:p>
    <w:sectPr w:rsidR="00FC693F" w:rsidRPr="0006063C" w:rsidSect="00034616">
      <w:headerReference w:type="default" r:id="rId9"/>
      <w:footerReference w:type="default" r:id="rId10"/>
      <w:pgSz w:w="12240" w:h="15840"/>
      <w:pgMar w:top="1138" w:right="1224"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Documento de proyecto · 17/10/2026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TFM  |  Memoria de ideación y decisiones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4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26C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ideación y decisiones - SaaS autónomos y asesorías</dc:title>
  <dc:subject>TFM: trazabilidad funcional y técnica</dc:subject>
  <dc:creator>Equipo del proyecto TFM</dc:creator>
  <cp:keywords/>
  <dc:description>generated by python-docx</dc:description>
  <cp:lastModifiedBy/>
  <cp:revision>1</cp:revision>
  <dcterms:created xsi:type="dcterms:W3CDTF">2013-12-23T23:15:00Z</dcterms:created>
  <dcterms:modified xsi:type="dcterms:W3CDTF">2013-12-23T23:15:00Z</dcterms:modified>
  <cp:category/>
</cp:coreProperties>
</file>