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color w:val="000000"/>
        </w:rPr>
        <w:t>DOC-03 · Registro documental</w:t>
      </w:r>
    </w:p>
    <w:p>
      <w:pPr>
        <w:pStyle w:val="Title"/>
      </w:pPr>
      <w:r>
        <w:rPr>
          <w:color w:val="000000"/>
        </w:rPr>
        <w:t>Herramientas de IA y metodología asistida</w:t>
      </w:r>
    </w:p>
    <w:p>
      <w:pPr>
        <w:pStyle w:val="Subtitle"/>
      </w:pPr>
      <w:r>
        <w:rPr>
          <w:color w:val="000000"/>
        </w:rPr>
        <w:t>Selección de herramientas, funciones, evidencias y límites de uso</w:t>
      </w:r>
    </w:p>
    <w:p>
      <w:pPr>
        <w:pStyle w:val="Caption"/>
      </w:pPr>
      <w:r>
        <w:t>Versión 1.1  |  18 de octubre de 2026  |  Estado: documento de decisiones</w:t>
      </w:r>
    </w:p>
    <w:p>
      <w:r>
        <w:t>Base documental: decisiones expresamente aprobadas durante la definición del producto. Las propuestas y las cuestiones pendientes se indican por separado.</w:t>
      </w:r>
    </w:p>
    <w:p>
      <w:pPr>
        <w:pStyle w:val="Heading1"/>
      </w:pPr>
      <w:r>
        <w:rPr>
          <w:color w:val="000000"/>
        </w:rPr>
        <w:t>1. Objetivo académico</w:t>
      </w:r>
    </w:p>
    <w:p>
      <w:r>
        <w:t>Documentar con trazabilidad cómo la IA participa en la ideación, la especificación y el desarrollo del TFM; distinguir la IA usada por el desarrollador de la IA integrada en la aplicación; y evaluar sus aportaciones con evidencias verificables y revisión humana.</w:t>
      </w:r>
    </w:p>
    <w:p>
      <w:pPr>
        <w:pStyle w:val="Heading1"/>
      </w:pPr>
      <w:r>
        <w:rPr>
          <w:color w:val="000000"/>
        </w:rPr>
        <w:t>2. Herramientas seleccionadas y descartadas</w:t>
      </w:r>
    </w:p>
    <w:tbl>
      <w:tblPr>
        <w:tblStyle w:val="LightShading-Accent1"/>
        <w:tblW w:type="auto" w:w="0"/>
        <w:jc w:val="center"/>
        <w:tblLook w:firstColumn="1" w:firstRow="1" w:lastColumn="0" w:lastRow="0" w:noHBand="0" w:noVBand="1" w:val="04A0"/>
      </w:tblPr>
      <w:tblGrid>
        <w:gridCol w:w="3192"/>
        <w:gridCol w:w="3192"/>
        <w:gridCol w:w="3192"/>
      </w:tblGrid>
      <w:tr>
        <w:tc>
          <w:tcPr>
            <w:tcW w:type="dxa" w:w="3192"/>
            <w:vAlign w:val="center"/>
          </w:tcPr>
          <w:p>
            <w:pPr>
              <w:spacing w:after="0"/>
            </w:pPr>
            <w:r>
              <w:t>Herramienta</w:t>
            </w:r>
          </w:p>
        </w:tc>
        <w:tc>
          <w:tcPr>
            <w:tcW w:type="dxa" w:w="3192"/>
            <w:vAlign w:val="center"/>
          </w:tcPr>
          <w:p>
            <w:pPr>
              <w:spacing w:after="0"/>
            </w:pPr>
            <w:r>
              <w:t>Estado</w:t>
            </w:r>
          </w:p>
        </w:tc>
        <w:tc>
          <w:tcPr>
            <w:tcW w:type="dxa" w:w="3192"/>
            <w:vAlign w:val="center"/>
          </w:tcPr>
          <w:p>
            <w:pPr>
              <w:spacing w:after="0"/>
            </w:pPr>
            <w:r>
              <w:t>Función prevista</w:t>
            </w:r>
          </w:p>
        </w:tc>
      </w:tr>
      <w:tr>
        <w:tc>
          <w:tcPr>
            <w:tcW w:type="dxa" w:w="3192"/>
            <w:vAlign w:val="center"/>
          </w:tcPr>
          <w:p>
            <w:pPr>
              <w:spacing w:after="0"/>
            </w:pPr>
            <w:r>
              <w:t>ChatGPT Plus (OpenAI)</w:t>
            </w:r>
          </w:p>
        </w:tc>
        <w:tc>
          <w:tcPr>
            <w:tcW w:type="dxa" w:w="3192"/>
            <w:vAlign w:val="center"/>
          </w:tcPr>
          <w:p>
            <w:pPr>
              <w:spacing w:after="0"/>
            </w:pPr>
            <w:r>
              <w:t>Aprobada</w:t>
            </w:r>
          </w:p>
        </w:tc>
        <w:tc>
          <w:tcPr>
            <w:tcW w:type="dxa" w:w="3192"/>
            <w:vAlign w:val="center"/>
          </w:tcPr>
          <w:p>
            <w:pPr>
              <w:spacing w:after="0"/>
            </w:pPr>
            <w:r>
              <w:t>Ideación, análisis de alternativas, requisitos, arquitectura, documentación, revisión crítica y planificación.</w:t>
            </w:r>
          </w:p>
        </w:tc>
      </w:tr>
      <w:tr>
        <w:tc>
          <w:tcPr>
            <w:tcW w:type="dxa" w:w="3192"/>
            <w:vAlign w:val="center"/>
          </w:tcPr>
          <w:p>
            <w:pPr>
              <w:spacing w:after="0"/>
            </w:pPr>
            <w:r>
              <w:t>Cursor Pro</w:t>
            </w:r>
          </w:p>
        </w:tc>
        <w:tc>
          <w:tcPr>
            <w:tcW w:type="dxa" w:w="3192"/>
            <w:vAlign w:val="center"/>
          </w:tcPr>
          <w:p>
            <w:pPr>
              <w:spacing w:after="0"/>
            </w:pPr>
            <w:r>
              <w:t>Aprobada</w:t>
            </w:r>
          </w:p>
        </w:tc>
        <w:tc>
          <w:tcPr>
            <w:tcW w:type="dxa" w:w="3192"/>
            <w:vAlign w:val="center"/>
          </w:tcPr>
          <w:p>
            <w:pPr>
              <w:spacing w:after="0"/>
            </w:pPr>
            <w:r>
              <w:t>IDE asistido por IA para backend y apoyo al código, refactorización, tests y documentación; VS Code será el editor habitual de Flutter.</w:t>
            </w:r>
          </w:p>
        </w:tc>
      </w:tr>
      <w:tr>
        <w:tc>
          <w:tcPr>
            <w:tcW w:type="dxa" w:w="3192"/>
            <w:vAlign w:val="center"/>
          </w:tcPr>
          <w:p>
            <w:pPr>
              <w:spacing w:after="0"/>
            </w:pPr>
            <w:r>
              <w:t>Claude Code</w:t>
            </w:r>
          </w:p>
        </w:tc>
        <w:tc>
          <w:tcPr>
            <w:tcW w:type="dxa" w:w="3192"/>
            <w:vAlign w:val="center"/>
          </w:tcPr>
          <w:p>
            <w:pPr>
              <w:spacing w:after="0"/>
            </w:pPr>
            <w:r>
              <w:t>Descartada inicialmente</w:t>
            </w:r>
          </w:p>
        </w:tc>
        <w:tc>
          <w:tcPr>
            <w:tcW w:type="dxa" w:w="3192"/>
            <w:vAlign w:val="center"/>
          </w:tcPr>
          <w:p>
            <w:pPr>
              <w:spacing w:after="0"/>
            </w:pPr>
            <w:r>
              <w:t>No forma parte de la metodología prevista.</w:t>
            </w:r>
          </w:p>
        </w:tc>
      </w:tr>
      <w:tr>
        <w:tc>
          <w:tcPr>
            <w:tcW w:type="dxa" w:w="3192"/>
            <w:vAlign w:val="center"/>
          </w:tcPr>
          <w:p>
            <w:pPr>
              <w:spacing w:after="0"/>
            </w:pPr>
            <w:r>
              <w:t>GitHub Copilot</w:t>
            </w:r>
          </w:p>
        </w:tc>
        <w:tc>
          <w:tcPr>
            <w:tcW w:type="dxa" w:w="3192"/>
            <w:vAlign w:val="center"/>
          </w:tcPr>
          <w:p>
            <w:pPr>
              <w:spacing w:after="0"/>
            </w:pPr>
            <w:r>
              <w:t>Descartada inicialmente</w:t>
            </w:r>
          </w:p>
        </w:tc>
        <w:tc>
          <w:tcPr>
            <w:tcW w:type="dxa" w:w="3192"/>
            <w:vAlign w:val="center"/>
          </w:tcPr>
          <w:p>
            <w:pPr>
              <w:spacing w:after="0"/>
            </w:pPr>
            <w:r>
              <w:t>No forma parte de la metodología prevista.</w:t>
            </w:r>
          </w:p>
        </w:tc>
      </w:tr>
      <w:tr>
        <w:tc>
          <w:tcPr>
            <w:tcW w:type="dxa" w:w="3192"/>
            <w:vAlign w:val="center"/>
          </w:tcPr>
          <w:p>
            <w:pPr>
              <w:spacing w:after="0"/>
            </w:pPr>
            <w:r>
              <w:t>Proveedor IA para analizar facturas</w:t>
            </w:r>
          </w:p>
        </w:tc>
        <w:tc>
          <w:tcPr>
            <w:tcW w:type="dxa" w:w="3192"/>
            <w:vAlign w:val="center"/>
          </w:tcPr>
          <w:p>
            <w:pPr>
              <w:spacing w:after="0"/>
            </w:pPr>
            <w:r>
              <w:t>No seleccionado</w:t>
            </w:r>
          </w:p>
        </w:tc>
        <w:tc>
          <w:tcPr>
            <w:tcW w:type="dxa" w:w="3192"/>
            <w:vAlign w:val="center"/>
          </w:tcPr>
          <w:p>
            <w:pPr>
              <w:spacing w:after="0"/>
            </w:pPr>
            <w:r>
              <w:t>La funcionalidad del producto sigue aprobada. Se elegirá después de un banco de pruebas; no se contratará ni integrará un proveedor sin decisión posterior.</w:t>
            </w:r>
          </w:p>
        </w:tc>
      </w:tr>
    </w:tbl>
    <w:p>
      <w:r>
        <w:t>Importante: la suscripción ChatGPT Plus y la plataforma API de OpenAI tienen facturación independiente. No debe darse por supuesto que Plus incluya consumo API para el SaaS.</w:t>
      </w:r>
    </w:p>
    <w:p>
      <w:pPr>
        <w:pStyle w:val="Heading1"/>
      </w:pPr>
      <w:r>
        <w:rPr>
          <w:color w:val="000000"/>
        </w:rPr>
        <w:t>3. Distribución de responsabilidades</w:t>
      </w:r>
    </w:p>
    <w:tbl>
      <w:tblPr>
        <w:tblStyle w:val="LightShading-Accent1"/>
        <w:tblW w:type="auto" w:w="0"/>
        <w:jc w:val="center"/>
        <w:tblLook w:firstColumn="1" w:firstRow="1" w:lastColumn="0" w:lastRow="0" w:noHBand="0" w:noVBand="1" w:val="04A0"/>
      </w:tblPr>
      <w:tblGrid>
        <w:gridCol w:w="3192"/>
        <w:gridCol w:w="3192"/>
        <w:gridCol w:w="3192"/>
      </w:tblGrid>
      <w:tr>
        <w:tc>
          <w:tcPr>
            <w:tcW w:type="dxa" w:w="3192"/>
            <w:vAlign w:val="center"/>
          </w:tcPr>
          <w:p>
            <w:pPr>
              <w:spacing w:after="0"/>
            </w:pPr>
            <w:r>
              <w:t>Fase</w:t>
            </w:r>
          </w:p>
        </w:tc>
        <w:tc>
          <w:tcPr>
            <w:tcW w:type="dxa" w:w="3192"/>
            <w:vAlign w:val="center"/>
          </w:tcPr>
          <w:p>
            <w:pPr>
              <w:spacing w:after="0"/>
            </w:pPr>
            <w:r>
              <w:t>IA y herramientas</w:t>
            </w:r>
          </w:p>
        </w:tc>
        <w:tc>
          <w:tcPr>
            <w:tcW w:type="dxa" w:w="3192"/>
            <w:vAlign w:val="center"/>
          </w:tcPr>
          <w:p>
            <w:pPr>
              <w:spacing w:after="0"/>
            </w:pPr>
            <w:r>
              <w:t>Responsabilidad humana / evidencia</w:t>
            </w:r>
          </w:p>
        </w:tc>
      </w:tr>
      <w:tr>
        <w:tc>
          <w:tcPr>
            <w:tcW w:type="dxa" w:w="3192"/>
            <w:vAlign w:val="center"/>
          </w:tcPr>
          <w:p>
            <w:pPr>
              <w:spacing w:after="0"/>
            </w:pPr>
            <w:r>
              <w:t>Ideación y enfoque</w:t>
            </w:r>
          </w:p>
        </w:tc>
        <w:tc>
          <w:tcPr>
            <w:tcW w:type="dxa" w:w="3192"/>
            <w:vAlign w:val="center"/>
          </w:tcPr>
          <w:p>
            <w:pPr>
              <w:spacing w:after="0"/>
            </w:pPr>
            <w:r>
              <w:t>ChatGPT Plus</w:t>
            </w:r>
          </w:p>
        </w:tc>
        <w:tc>
          <w:tcPr>
            <w:tcW w:type="dxa" w:w="3192"/>
            <w:vAlign w:val="center"/>
          </w:tcPr>
          <w:p>
            <w:pPr>
              <w:spacing w:after="0"/>
            </w:pPr>
            <w:r>
              <w:t>Decisiones del producto aprobadas o modificadas; registro de conversación.</w:t>
            </w:r>
          </w:p>
        </w:tc>
      </w:tr>
      <w:tr>
        <w:tc>
          <w:tcPr>
            <w:tcW w:type="dxa" w:w="3192"/>
            <w:vAlign w:val="center"/>
          </w:tcPr>
          <w:p>
            <w:pPr>
              <w:spacing w:after="0"/>
            </w:pPr>
            <w:r>
              <w:t>Requisitos funcionales</w:t>
            </w:r>
          </w:p>
        </w:tc>
        <w:tc>
          <w:tcPr>
            <w:tcW w:type="dxa" w:w="3192"/>
            <w:vAlign w:val="center"/>
          </w:tcPr>
          <w:p>
            <w:pPr>
              <w:spacing w:after="0"/>
            </w:pPr>
            <w:r>
              <w:t>ChatGPT Plus</w:t>
            </w:r>
          </w:p>
        </w:tc>
        <w:tc>
          <w:tcPr>
            <w:tcW w:type="dxa" w:w="3192"/>
            <w:vAlign w:val="center"/>
          </w:tcPr>
          <w:p>
            <w:pPr>
              <w:spacing w:after="0"/>
            </w:pPr>
            <w:r>
              <w:t>Validación de reglas y congelación del MVP.</w:t>
            </w:r>
          </w:p>
        </w:tc>
      </w:tr>
      <w:tr>
        <w:tc>
          <w:tcPr>
            <w:tcW w:type="dxa" w:w="3192"/>
            <w:vAlign w:val="center"/>
          </w:tcPr>
          <w:p>
            <w:pPr>
              <w:spacing w:after="0"/>
            </w:pPr>
            <w:r>
              <w:t>Arquitectura</w:t>
            </w:r>
          </w:p>
        </w:tc>
        <w:tc>
          <w:tcPr>
            <w:tcW w:type="dxa" w:w="3192"/>
            <w:vAlign w:val="center"/>
          </w:tcPr>
          <w:p>
            <w:pPr>
              <w:spacing w:after="0"/>
            </w:pPr>
            <w:r>
              <w:t>ChatGPT Plus</w:t>
            </w:r>
          </w:p>
        </w:tc>
        <w:tc>
          <w:tcPr>
            <w:tcW w:type="dxa" w:w="3192"/>
            <w:vAlign w:val="center"/>
          </w:tcPr>
          <w:p>
            <w:pPr>
              <w:spacing w:after="0"/>
            </w:pPr>
            <w:r>
              <w:t>Selección del stack y aprobación razonada de patrones.</w:t>
            </w:r>
          </w:p>
        </w:tc>
      </w:tr>
      <w:tr>
        <w:tc>
          <w:tcPr>
            <w:tcW w:type="dxa" w:w="3192"/>
            <w:vAlign w:val="center"/>
          </w:tcPr>
          <w:p>
            <w:pPr>
              <w:spacing w:after="0"/>
            </w:pPr>
            <w:r>
              <w:t>Especificaciones y backlog</w:t>
            </w:r>
          </w:p>
        </w:tc>
        <w:tc>
          <w:tcPr>
            <w:tcW w:type="dxa" w:w="3192"/>
            <w:vAlign w:val="center"/>
          </w:tcPr>
          <w:p>
            <w:pPr>
              <w:spacing w:after="0"/>
            </w:pPr>
            <w:r>
              <w:t>ChatGPT Plus</w:t>
            </w:r>
          </w:p>
        </w:tc>
        <w:tc>
          <w:tcPr>
            <w:tcW w:type="dxa" w:w="3192"/>
            <w:vAlign w:val="center"/>
          </w:tcPr>
          <w:p>
            <w:pPr>
              <w:spacing w:after="0"/>
            </w:pPr>
            <w:r>
              <w:t>Comprobación de coherencia, alcance y aceptación.</w:t>
            </w:r>
          </w:p>
        </w:tc>
      </w:tr>
      <w:tr>
        <w:tc>
          <w:tcPr>
            <w:tcW w:type="dxa" w:w="3192"/>
            <w:vAlign w:val="center"/>
          </w:tcPr>
          <w:p>
            <w:pPr>
              <w:spacing w:after="0"/>
            </w:pPr>
            <w:r>
              <w:t>Programación</w:t>
            </w:r>
          </w:p>
        </w:tc>
        <w:tc>
          <w:tcPr>
            <w:tcW w:type="dxa" w:w="3192"/>
            <w:vAlign w:val="center"/>
          </w:tcPr>
          <w:p>
            <w:pPr>
              <w:spacing w:after="0"/>
            </w:pPr>
            <w:r>
              <w:t>Cursor Pro</w:t>
            </w:r>
          </w:p>
        </w:tc>
        <w:tc>
          <w:tcPr>
            <w:tcW w:type="dxa" w:w="3192"/>
            <w:vAlign w:val="center"/>
          </w:tcPr>
          <w:p>
            <w:pPr>
              <w:spacing w:after="0"/>
            </w:pPr>
            <w:r>
              <w:t>Revisión de diffs, commits y pull requests.</w:t>
            </w:r>
          </w:p>
        </w:tc>
      </w:tr>
      <w:tr>
        <w:tc>
          <w:tcPr>
            <w:tcW w:type="dxa" w:w="3192"/>
            <w:vAlign w:val="center"/>
          </w:tcPr>
          <w:p>
            <w:pPr>
              <w:spacing w:after="0"/>
            </w:pPr>
            <w:r>
              <w:t>Pruebas y correcciones</w:t>
            </w:r>
          </w:p>
        </w:tc>
        <w:tc>
          <w:tcPr>
            <w:tcW w:type="dxa" w:w="3192"/>
            <w:vAlign w:val="center"/>
          </w:tcPr>
          <w:p>
            <w:pPr>
              <w:spacing w:after="0"/>
            </w:pPr>
            <w:r>
              <w:t>Cursor Pro + PHPUnit / Flutter test</w:t>
            </w:r>
          </w:p>
        </w:tc>
        <w:tc>
          <w:tcPr>
            <w:tcW w:type="dxa" w:w="3192"/>
            <w:vAlign w:val="center"/>
          </w:tcPr>
          <w:p>
            <w:pPr>
              <w:spacing w:after="0"/>
            </w:pPr>
            <w:r>
              <w:t>Resultados automatizados, fallos y cambios realizados.</w:t>
            </w:r>
          </w:p>
        </w:tc>
      </w:tr>
      <w:tr>
        <w:tc>
          <w:tcPr>
            <w:tcW w:type="dxa" w:w="3192"/>
            <w:vAlign w:val="center"/>
          </w:tcPr>
          <w:p>
            <w:pPr>
              <w:spacing w:after="0"/>
            </w:pPr>
            <w:r>
              <w:t>Integración IA en el producto</w:t>
            </w:r>
          </w:p>
        </w:tc>
        <w:tc>
          <w:tcPr>
            <w:tcW w:type="dxa" w:w="3192"/>
            <w:vAlign w:val="center"/>
          </w:tcPr>
          <w:p>
            <w:pPr>
              <w:spacing w:after="0"/>
            </w:pPr>
            <w:r>
              <w:t>Proveedor pendiente de selección</w:t>
            </w:r>
          </w:p>
        </w:tc>
        <w:tc>
          <w:tcPr>
            <w:tcW w:type="dxa" w:w="3192"/>
            <w:vAlign w:val="center"/>
          </w:tcPr>
          <w:p>
            <w:pPr>
              <w:spacing w:after="0"/>
            </w:pPr>
            <w:r>
              <w:t>Evaluación de precisión, privacidad, coste y errores con corpus sintético.</w:t>
            </w:r>
          </w:p>
        </w:tc>
      </w:tr>
    </w:tbl>
    <w:p>
      <w:pPr>
        <w:keepNext w:val="0"/>
      </w:pPr>
      <w:r>
        <w:t>Cursor Pro permanece como IDE asistido por IA para backend y como apoyo al código, refactorización y pruebas. ChatGPT Plus se mantiene para ideación, análisis, planificación y documentación. Visual Studio Code y Android Studio son herramientas de desarrollo y no se contabilizan por sí solas como intervenciones de IA.</w:t>
      </w:r>
    </w:p>
    <w:p>
      <w:pPr>
        <w:keepNext w:val="0"/>
      </w:pPr>
      <w:r>
        <w:t>Visual Studio Code con extensiones Flutter y Dart será el editor habitual de la app. Se instalarán Flutter SDK y Dart, y Android Studio para gestionar Android SDK, SDK Manager, Device Manager, emuladores y build tools. La cadena Android incluirá un JDK compatible, Gradle Wrapper y Android Gradle Plugin compatibles con Flutter, y ADB de Platform Tools para detectar, instalar y depurar en dispositivos.</w:t>
      </w:r>
    </w:p>
    <w:p>
      <w:pPr>
        <w:pStyle w:val="Heading1"/>
      </w:pPr>
      <w:r>
        <w:rPr>
          <w:color w:val="000000"/>
        </w:rPr>
        <w:t>4. Método de desarrollo</w:t>
      </w:r>
    </w:p>
    <w:p>
      <w:pPr>
        <w:pStyle w:val="ListBullet"/>
      </w:pPr>
      <w:r>
        <w:t>SDD: toda implementación empieza por requisito, caso de uso y criterios de aceptación.</w:t>
      </w:r>
    </w:p>
    <w:p>
      <w:pPr>
        <w:pStyle w:val="ListBullet"/>
      </w:pPr>
      <w:r>
        <w:t>TDD prioritario para reglas fiscales, permisos, cálculos monetarios y seguridad.</w:t>
      </w:r>
    </w:p>
    <w:p>
      <w:pPr>
        <w:pStyle w:val="ListBullet"/>
      </w:pPr>
      <w:r>
        <w:t>Agentes guiados por AGENTS.md en raíz y subdirectorios; reglas de Cursor para convenciones específicas.</w:t>
      </w:r>
    </w:p>
    <w:p>
      <w:pPr>
        <w:pStyle w:val="ListBullet"/>
      </w:pPr>
      <w:r>
        <w:t>Cada tarea: leer especificación, planificar, implementar, probar, revisar diffs, documentar y entregar.</w:t>
      </w:r>
    </w:p>
    <w:p>
      <w:pPr>
        <w:pStyle w:val="ListBullet"/>
      </w:pPr>
      <w:r>
        <w:t>Revisión humana obligatoria en autenticación, fiscalidad, cambios de esquema, permisos y despliegues.</w:t>
      </w:r>
    </w:p>
    <w:p>
      <w:pPr>
        <w:pStyle w:val="ListBullet"/>
      </w:pPr>
      <w:r>
        <w:t>Las respuestas generadas por IA no sustituyen las pruebas, fuentes normativas ni la validación profesional fiscal.</w:t>
      </w:r>
    </w:p>
    <w:p>
      <w:pPr>
        <w:pStyle w:val="Heading1"/>
      </w:pPr>
      <w:r>
        <w:rPr>
          <w:color w:val="000000"/>
        </w:rPr>
        <w:t>5. Evidencias y métricas</w:t>
      </w:r>
    </w:p>
    <w:p>
      <w:r>
        <w:t>Por cada tarea significativa se registrarán identificador, fecha, especificación, herramienta, objetivo del prompt, enlace o extracto de interacción pertinente, archivos afectados, commit/PR, pruebas ejecutadas, errores y correcciones, tiempo invertido e intervención humana. No se atribuirán mejoras de productividad sin datos comparables.</w:t>
      </w:r>
    </w:p>
    <w:tbl>
      <w:tblPr>
        <w:tblStyle w:val="LightShading-Accent1"/>
        <w:tblW w:type="auto" w:w="0"/>
        <w:jc w:val="center"/>
        <w:tblLook w:firstColumn="1" w:firstRow="1" w:lastColumn="0" w:lastRow="0" w:noHBand="0" w:noVBand="1" w:val="04A0"/>
      </w:tblPr>
      <w:tblGrid>
        <w:gridCol w:w="4788"/>
        <w:gridCol w:w="4788"/>
      </w:tblGrid>
      <w:tr>
        <w:tc>
          <w:tcPr>
            <w:tcW w:type="dxa" w:w="4788"/>
            <w:vAlign w:val="center"/>
          </w:tcPr>
          <w:p>
            <w:pPr>
              <w:spacing w:after="0"/>
            </w:pPr>
            <w:r>
              <w:t>Indicador</w:t>
            </w:r>
          </w:p>
        </w:tc>
        <w:tc>
          <w:tcPr>
            <w:tcW w:type="dxa" w:w="4788"/>
            <w:vAlign w:val="center"/>
          </w:tcPr>
          <w:p>
            <w:pPr>
              <w:spacing w:after="0"/>
            </w:pPr>
            <w:r>
              <w:t>Medida concreta</w:t>
            </w:r>
          </w:p>
        </w:tc>
      </w:tr>
      <w:tr>
        <w:tc>
          <w:tcPr>
            <w:tcW w:type="dxa" w:w="4788"/>
            <w:vAlign w:val="center"/>
          </w:tcPr>
          <w:p>
            <w:pPr>
              <w:spacing w:after="0"/>
            </w:pPr>
            <w:r>
              <w:t>Tiempo</w:t>
            </w:r>
          </w:p>
        </w:tc>
        <w:tc>
          <w:tcPr>
            <w:tcW w:type="dxa" w:w="4788"/>
            <w:vAlign w:val="center"/>
          </w:tcPr>
          <w:p>
            <w:pPr>
              <w:spacing w:after="0"/>
            </w:pPr>
            <w:r>
              <w:t>Inicio/fin o tiempo efectivo por tarea, con contexto de dificultad.</w:t>
            </w:r>
          </w:p>
        </w:tc>
      </w:tr>
      <w:tr>
        <w:tc>
          <w:tcPr>
            <w:tcW w:type="dxa" w:w="4788"/>
            <w:vAlign w:val="center"/>
          </w:tcPr>
          <w:p>
            <w:pPr>
              <w:spacing w:after="0"/>
            </w:pPr>
            <w:r>
              <w:t>Iteraciones</w:t>
            </w:r>
          </w:p>
        </w:tc>
        <w:tc>
          <w:tcPr>
            <w:tcW w:type="dxa" w:w="4788"/>
            <w:vAlign w:val="center"/>
          </w:tcPr>
          <w:p>
            <w:pPr>
              <w:spacing w:after="0"/>
            </w:pPr>
            <w:r>
              <w:t>Número de ciclos prompt → código → prueba → corrección.</w:t>
            </w:r>
          </w:p>
        </w:tc>
      </w:tr>
      <w:tr>
        <w:tc>
          <w:tcPr>
            <w:tcW w:type="dxa" w:w="4788"/>
            <w:vAlign w:val="center"/>
          </w:tcPr>
          <w:p>
            <w:pPr>
              <w:spacing w:after="0"/>
            </w:pPr>
            <w:r>
              <w:t>Calidad</w:t>
            </w:r>
          </w:p>
        </w:tc>
        <w:tc>
          <w:tcPr>
            <w:tcW w:type="dxa" w:w="4788"/>
            <w:vAlign w:val="center"/>
          </w:tcPr>
          <w:p>
            <w:pPr>
              <w:spacing w:after="0"/>
            </w:pPr>
            <w:r>
              <w:t>Pruebas superadas, defectos encontrados y regresiones.</w:t>
            </w:r>
          </w:p>
        </w:tc>
      </w:tr>
      <w:tr>
        <w:tc>
          <w:tcPr>
            <w:tcW w:type="dxa" w:w="4788"/>
            <w:vAlign w:val="center"/>
          </w:tcPr>
          <w:p>
            <w:pPr>
              <w:spacing w:after="0"/>
            </w:pPr>
            <w:r>
              <w:t>Aceptación IA</w:t>
            </w:r>
          </w:p>
        </w:tc>
        <w:tc>
          <w:tcPr>
            <w:tcW w:type="dxa" w:w="4788"/>
            <w:vAlign w:val="center"/>
          </w:tcPr>
          <w:p>
            <w:pPr>
              <w:spacing w:after="0"/>
            </w:pPr>
            <w:r>
              <w:t>Cambios aceptados, corregidos o descartados por el desarrollador.</w:t>
            </w:r>
          </w:p>
        </w:tc>
      </w:tr>
      <w:tr>
        <w:tc>
          <w:tcPr>
            <w:tcW w:type="dxa" w:w="4788"/>
            <w:vAlign w:val="center"/>
          </w:tcPr>
          <w:p>
            <w:pPr>
              <w:spacing w:after="0"/>
            </w:pPr>
            <w:r>
              <w:t>Cobertura</w:t>
            </w:r>
          </w:p>
        </w:tc>
        <w:tc>
          <w:tcPr>
            <w:tcW w:type="dxa" w:w="4788"/>
            <w:vAlign w:val="center"/>
          </w:tcPr>
          <w:p>
            <w:pPr>
              <w:spacing w:after="0"/>
            </w:pPr>
            <w:r>
              <w:t>Requisitos y criterios de aceptación verificados.</w:t>
            </w:r>
          </w:p>
        </w:tc>
      </w:tr>
      <w:tr>
        <w:tc>
          <w:tcPr>
            <w:tcW w:type="dxa" w:w="4788"/>
            <w:vAlign w:val="center"/>
          </w:tcPr>
          <w:p>
            <w:pPr>
              <w:spacing w:after="0"/>
            </w:pPr>
            <w:r>
              <w:t>Coste</w:t>
            </w:r>
          </w:p>
        </w:tc>
        <w:tc>
          <w:tcPr>
            <w:tcW w:type="dxa" w:w="4788"/>
            <w:vAlign w:val="center"/>
          </w:tcPr>
          <w:p>
            <w:pPr>
              <w:spacing w:after="0"/>
            </w:pPr>
            <w:r>
              <w:t>Suscripciones y, separadamente, consumos API del producto si se contratan.</w:t>
            </w:r>
          </w:p>
        </w:tc>
      </w:tr>
    </w:tbl>
    <w:p>
      <w:pPr>
        <w:pStyle w:val="Heading1"/>
      </w:pPr>
      <w:r>
        <w:rPr>
          <w:color w:val="000000"/>
        </w:rPr>
        <w:t>6. Reglas de seguridad y confidencialidad</w:t>
      </w:r>
    </w:p>
    <w:p>
      <w:r>
        <w:t>No introducir contraseñas, tokens, datos fiscales reales ni código confidencial de terceros en prompts o repositorios sin autorización. Usar documentos sintéticos o debidamente anonimizados en la evaluación. Mantener consentimiento y contratos adecuados para futuros procesadores de facturas. Ningún agente ejecutará operaciones destructivas ni cambios en producción sin revisión y autorización.</w:t>
      </w:r>
    </w:p>
    <w:p>
      <w:pPr>
        <w:pStyle w:val="Heading1"/>
      </w:pPr>
      <w:r>
        <w:rPr>
          <w:color w:val="000000"/>
        </w:rPr>
        <w:t>7. Decisión pendiente: proveedor de IA del producto</w:t>
      </w:r>
    </w:p>
    <w:p>
      <w:r>
        <w:t>El usuario marcó «No incluir» para la opción «Proveedor IA del producto» en la selección de herramientas actual. Se interpreta estrictamente como NO incluir ningún proveedor concreto en el stack de herramientas ahora; no equivale a cancelar la extracción inteligente de facturas, que está aprobada en las especificaciones funcionales 6 y técnicas 15.8. Se necesitará una decisión expresa posterior, antes de implementar E6. Si se decidiera eliminar completamente el servicio de IA, sería un cambio formal de alcance.</w:t>
      </w:r>
    </w:p>
    <w:p>
      <w:r>
        <w:t>Evaluación recomendada: comparar como mínimo dos enfoques aplicables mediante un conjunto fijo de tickets y facturas con diferentes impuestos, midiendo exactitud por campo, incidencias, coste por documento, latencia, protección de datos y facilidad de integración. No se elige ganador anticipadamente.</w:t>
      </w:r>
    </w:p>
    <w:p>
      <w:pPr>
        <w:keepNext w:val="0"/>
      </w:pPr>
      <w:r>
        <w:t>Flutter mantiene su arquitectura multiplataforma y una base de código común. La primera entrega móvil del TFM se desarrolla, prueba y entrega para Android; iOS queda en el roadmap y no es criterio de aceptación de esta entrega. La etapa iOS requerirá un Mac con macOS y Xcode compatibles, herramientas de línea de comandos y simulador iOS. Se validarán plugins, permisos, almacenamiento seguro y pruebas en esa plataforma. La distribución mediante TestFlight o App Store requerirá firma, certificados y perfiles de aprovisionamiento y una cuenta con membresía Apple Developer adecuada; no se confunde la ejecución en simulador con la distribución.</w:t>
      </w:r>
    </w:p>
    <w:p>
      <w:pPr>
        <w:pStyle w:val="Heading1"/>
      </w:pPr>
      <w:r>
        <w:rPr>
          <w:color w:val="000000"/>
        </w:rPr>
        <w:t>8. Próximos entregables</w:t>
      </w:r>
    </w:p>
    <w:p>
      <w:pPr>
        <w:pStyle w:val="ListBullet"/>
      </w:pPr>
      <w:r>
        <w:t>DOC-04: especificación funcional completa y criterios de aceptación.</w:t>
      </w:r>
    </w:p>
    <w:p>
      <w:pPr>
        <w:pStyle w:val="ListBullet"/>
      </w:pPr>
      <w:r>
        <w:t>DOC-05: arquitectura técnica y decisiones ADR.</w:t>
      </w:r>
    </w:p>
    <w:p>
      <w:pPr>
        <w:pStyle w:val="ListBullet"/>
      </w:pPr>
      <w:r>
        <w:t>DOC-06: modelo de datos y contratos OpenAPI.</w:t>
      </w:r>
    </w:p>
    <w:p>
      <w:pPr>
        <w:pStyle w:val="ListBullet"/>
      </w:pPr>
      <w:r>
        <w:t>DOC-07: backlog E0–E9 y dependencias.</w:t>
      </w:r>
    </w:p>
    <w:p>
      <w:pPr>
        <w:pStyle w:val="ListBullet"/>
      </w:pPr>
      <w:r>
        <w:t>DOC-08: pruebas y evaluación.</w:t>
      </w:r>
    </w:p>
    <w:p>
      <w:pPr>
        <w:pStyle w:val="ListBullet"/>
      </w:pPr>
      <w:r>
        <w:t>DOC-09: bitácora de evidencias del desarrollo con IA.</w:t>
      </w:r>
    </w:p>
    <w:p>
      <w:pPr>
        <w:pStyle w:val="Heading1"/>
      </w:pPr>
      <w:r>
        <w:rPr>
          <w:color w:val="000000"/>
        </w:rPr>
        <w:t>9. Referencias</w:t>
      </w:r>
    </w:p>
    <w:p>
      <w:pPr>
        <w:pStyle w:val="ListBullet"/>
      </w:pPr>
      <w:r>
        <w:t>Cursor Rules y AGENTS.md: https://cursor.com/docs/rules</w:t>
      </w:r>
    </w:p>
    <w:p>
      <w:pPr>
        <w:pStyle w:val="ListBullet"/>
      </w:pPr>
      <w:r>
        <w:t>Facturación separada de ChatGPT y API: https://help.openai.com/en/articles/9039756-managing-billing-settings-on-the-chatgpt-web-and-api-platform</w:t>
      </w:r>
    </w:p>
    <w:p>
      <w:pPr>
        <w:pStyle w:val="ListBullet"/>
      </w:pPr>
      <w:r>
        <w:t>Documentación general de arquitectura Flutter: https://docs.flutter.dev/app-architecture</w:t>
      </w:r>
    </w:p>
    <w:p>
      <w:pPr>
        <w:pStyle w:val="Heading1"/>
      </w:pPr>
      <w:r>
        <w:rPr>
          <w:color w:val="000000"/>
        </w:rPr>
        <w:t>Registro de cambio de la versión 1 1</w:t>
      </w:r>
    </w:p>
    <w:p>
      <w:r>
        <w:t>18 de octubre de 2026 — ADR-009 — Decisión del responsable del TFM: entrega móvil inicial Android y definición del entorno de desarrollo. La revisión actualiza alcance de plataforma, herramientas, planificación, pruebas y evidencias; no acredita implementación ni ejecución de pruebas.</w:t>
      </w:r>
    </w:p>
    <w:p>
      <w:r>
        <w:t>Flutter mantiene su arquitectura multiplataforma y una base de código común. La primera entrega móvil del TFM se desarrolla, prueba y entrega para Android; iOS queda en el roadmap y no es criterio de aceptación de esta entrega.</w:t>
      </w:r>
    </w:p>
    <w:p>
      <w:r>
        <w:t>Se conservan el monorepositorio, develop y main protegida, Symfony/Twig/API compartidos, Feature-First y MVVM con Riverpod, GoRouter y Dio, y los contratos y reglas funcionales aprobados. Se mantienen aislamiento por FiscalEntity, precisión decimal, fiscalidad determinista y confirmación humana de datos extraídos por IA. Este cambio no selecciona proveedor IA del producto ni modifica cuotas, permisos o cobertura tributaria.</w:t>
      </w:r>
    </w:p>
    <w:p>
      <w:pPr>
        <w:pStyle w:val="Heading1"/>
      </w:pPr>
      <w:r>
        <w:rPr>
          <w:color w:val="000000"/>
        </w:rPr>
        <w:t>Referencias para el entorno móvil</w:t>
      </w:r>
    </w:p>
    <w:p>
      <w:r>
        <w:t>https://docs.flutter.dev/tools/vs-code</w:t>
      </w:r>
    </w:p>
    <w:p>
      <w:r>
        <w:t>https://docs.flutter.dev/platform-integration/android/setup</w:t>
      </w:r>
    </w:p>
    <w:p>
      <w:r>
        <w:t>https://docs.flutter.dev/deployment/android</w:t>
      </w:r>
    </w:p>
    <w:p>
      <w:r>
        <w:t>https://docs.flutter.dev/platform-integration/ios/setup</w:t>
      </w:r>
    </w:p>
    <w:p>
      <w:r>
        <w:t>https://docs.flutter.dev/deployment/ios</w:t>
      </w:r>
    </w:p>
    <w:p>
      <w:r>
        <w:t>Documentación oficial Flutter consultada el 18 de octubre de 2026. Las versiones exactas y su compatibilidad se fijarán durante E0.</w:t>
      </w:r>
    </w:p>
    <w:sectPr w:rsidR="00FC693F" w:rsidRPr="0006063C" w:rsidSect="00034616">
      <w:headerReference w:type="default" r:id="rId9"/>
      <w:footerReference w:type="default" r:id="rId10"/>
      <w:pgSz w:w="12240" w:h="15840"/>
      <w:pgMar w:top="1247" w:right="1332"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DOC-03  ·  TFM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TFM  /  DOSSIER DE INGENIERÍA DEL PRODUCTO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