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DOC-05</w:t>
      </w:r>
    </w:p>
    <w:p>
      <w:pPr>
        <w:pStyle w:val="Subtitle"/>
      </w:pPr>
      <w:r>
        <w:rPr>
          <w:color w:val="000000"/>
        </w:rPr>
        <w:t>Arquitectura y especificación técnica</w:t>
      </w:r>
    </w:p>
    <w:p>
      <w:r>
        <w:t>SaaS de gestión fiscal y documental para autónomos y asesorías · TFM de desarrollo asistido por inteligencia artificial</w:t>
      </w:r>
    </w:p>
    <w:p>
      <w:r>
        <w:t>Versión 1.1  |  Estado: línea base técnica aprobada  |  Fecha: 18 de octubre de 2026</w:t>
      </w:r>
    </w:p>
    <w:p>
      <w:r>
        <w:t>Naturaleza del documento: diseño técnico de alto nivel y diseño lógico. Los campos SQL exhaustivos y el catálogo completo de endpoints se formalizarán en DOC-06.</w:t>
      </w:r>
    </w:p>
    <w:p>
      <w:r>
        <w:br w:type="page"/>
      </w:r>
    </w:p>
    <w:p>
      <w:pPr>
        <w:pStyle w:val="Heading1"/>
      </w:pPr>
      <w:r>
        <w:rPr>
          <w:color w:val="000000"/>
        </w:rPr>
        <w:t>Control documental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</w:tcPr>
          <w:p>
            <w:r>
              <w:t>Campo</w:t>
            </w:r>
          </w:p>
        </w:tc>
        <w:tc>
          <w:tcPr>
            <w:tcW w:type="dxa" w:w="4896"/>
            <w:vAlign w:val="center"/>
          </w:tcPr>
          <w:p>
            <w:r>
              <w:t>Valor</w:t>
            </w:r>
          </w:p>
        </w:tc>
      </w:tr>
      <w:tr>
        <w:tc>
          <w:tcPr>
            <w:tcW w:type="dxa" w:w="4896"/>
            <w:vAlign w:val="center"/>
          </w:tcPr>
          <w:p>
            <w:r>
              <w:t>Código</w:t>
            </w:r>
          </w:p>
        </w:tc>
        <w:tc>
          <w:tcPr>
            <w:tcW w:type="dxa" w:w="4896"/>
            <w:vAlign w:val="center"/>
          </w:tcPr>
          <w:p>
            <w:r>
              <w:t>DOC-05</w:t>
            </w:r>
          </w:p>
        </w:tc>
      </w:tr>
      <w:tr>
        <w:tc>
          <w:tcPr>
            <w:tcW w:type="dxa" w:w="4896"/>
            <w:vAlign w:val="center"/>
          </w:tcPr>
          <w:p>
            <w:r>
              <w:t>Versión</w:t>
            </w:r>
          </w:p>
        </w:tc>
        <w:tc>
          <w:tcPr>
            <w:tcW w:type="dxa" w:w="4896"/>
            <w:vAlign w:val="center"/>
          </w:tcPr>
          <w:p>
            <w:r>
              <w:t>1.1</w:t>
            </w:r>
          </w:p>
        </w:tc>
      </w:tr>
      <w:tr>
        <w:tc>
          <w:tcPr>
            <w:tcW w:type="dxa" w:w="4896"/>
            <w:vAlign w:val="center"/>
          </w:tcPr>
          <w:p>
            <w:r>
              <w:t>Estado</w:t>
            </w:r>
          </w:p>
        </w:tc>
        <w:tc>
          <w:tcPr>
            <w:tcW w:type="dxa" w:w="4896"/>
            <w:vAlign w:val="center"/>
          </w:tcPr>
          <w:p>
            <w:r>
              <w:t>Aprobado como línea base; detalles sujetos al diseño de bajo nivel</w:t>
            </w:r>
          </w:p>
        </w:tc>
      </w:tr>
      <w:tr>
        <w:tc>
          <w:tcPr>
            <w:tcW w:type="dxa" w:w="4896"/>
            <w:vAlign w:val="center"/>
          </w:tcPr>
          <w:p>
            <w:r>
              <w:t>Documento precedente</w:t>
            </w:r>
          </w:p>
        </w:tc>
        <w:tc>
          <w:tcPr>
            <w:tcW w:type="dxa" w:w="4896"/>
            <w:vAlign w:val="center"/>
          </w:tcPr>
          <w:p>
            <w:r>
              <w:t>DOC-04 — Especificación funcional completa</w:t>
            </w:r>
          </w:p>
        </w:tc>
      </w:tr>
      <w:tr>
        <w:tc>
          <w:tcPr>
            <w:tcW w:type="dxa" w:w="4896"/>
            <w:vAlign w:val="center"/>
          </w:tcPr>
          <w:p>
            <w:r>
              <w:t>Documentos complementarios</w:t>
            </w:r>
          </w:p>
        </w:tc>
        <w:tc>
          <w:tcPr>
            <w:tcW w:type="dxa" w:w="4896"/>
            <w:vAlign w:val="center"/>
          </w:tcPr>
          <w:p>
            <w:r>
              <w:t>DOC-01, DOC-02 y DOC-03</w:t>
            </w:r>
          </w:p>
        </w:tc>
      </w:tr>
      <w:tr>
        <w:tc>
          <w:tcPr>
            <w:tcW w:type="dxa" w:w="4896"/>
            <w:vAlign w:val="center"/>
          </w:tcPr>
          <w:p>
            <w:r>
              <w:t>Próximo documento</w:t>
            </w:r>
          </w:p>
        </w:tc>
        <w:tc>
          <w:tcPr>
            <w:tcW w:type="dxa" w:w="4896"/>
            <w:vAlign w:val="center"/>
          </w:tcPr>
          <w:p>
            <w:r>
              <w:t>DOC-06 — Modelo de datos y contratos OpenAPI</w:t>
            </w:r>
          </w:p>
        </w:tc>
      </w:tr>
      <w:tr>
        <w:tc>
          <w:tcPr>
            <w:tcW w:type="dxa" w:w="4896"/>
            <w:vAlign w:val="center"/>
          </w:tcPr>
          <w:p>
            <w:r>
              <w:t>Fuente de decisiones</w:t>
            </w:r>
          </w:p>
        </w:tc>
        <w:tc>
          <w:tcPr>
            <w:tcW w:type="dxa" w:w="4896"/>
            <w:vAlign w:val="center"/>
          </w:tcPr>
          <w:p>
            <w:r>
              <w:t>Aprobaciones de los apartados técnicos 15.1–15.11 y decisión posterior sobre estrategia Git</w:t>
            </w:r>
          </w:p>
        </w:tc>
      </w:tr>
    </w:tbl>
    <w:p>
      <w:pPr>
        <w:pStyle w:val="Heading1"/>
      </w:pPr>
      <w:r>
        <w:rPr>
          <w:color w:val="000000"/>
        </w:rPr>
        <w:t>Resumen ejecutivo</w:t>
      </w:r>
    </w:p>
    <w:p>
      <w:r>
        <w:t>La solución consiste en un SaaS multiempresa para registrar ingresos y gastos, custodiar documentación fiscal, extraer información de documentos mediante IA y ofrecer estimaciones tributarias con revisión humana. Se compone de una aplicación web para autónomos y asesorías, una aplicación móvil Flutter y un backend compartido. La solución sigue un monolito modular desplegable como unidad, con arquitectura hexagonal en dominios complejos y regla de dependencias Clean Architecture. Se priorizan la trazabilidad, la protección de datos, la seguridad multi-tenant, la reproducibilidad fiscal y el desarrollo incremental.</w:t>
      </w:r>
    </w:p>
    <w:p>
      <w:pPr>
        <w:pStyle w:val="Heading1"/>
      </w:pPr>
      <w:r>
        <w:rPr>
          <w:color w:val="000000"/>
        </w:rPr>
        <w:t>Índice de contenidos</w:t>
      </w:r>
    </w:p>
    <w:p>
      <w:r>
        <w:t>1. Alcance, principios y trazabilidad</w:t>
      </w:r>
    </w:p>
    <w:p>
      <w:r>
        <w:t>2. Arquitectura general y vistas</w:t>
      </w:r>
    </w:p>
    <w:p>
      <w:r>
        <w:t>3. Organización del código y módulos</w:t>
      </w:r>
    </w:p>
    <w:p>
      <w:r>
        <w:t>4. Persistencia, multi-tenancy y transacciones</w:t>
      </w:r>
    </w:p>
    <w:p>
      <w:r>
        <w:t>5. Identidad, seguridad y autorización</w:t>
      </w:r>
    </w:p>
    <w:p>
      <w:r>
        <w:t>6. API REST y contratos</w:t>
      </w:r>
    </w:p>
    <w:p>
      <w:r>
        <w:t>7. Aplicación web Symfony / Twig</w:t>
      </w:r>
    </w:p>
    <w:p>
      <w:r>
        <w:t>8. Aplicación móvil Flutter</w:t>
      </w:r>
    </w:p>
    <w:p>
      <w:r>
        <w:t>9. Gestión documental e IA</w:t>
      </w:r>
    </w:p>
    <w:p>
      <w:r>
        <w:t>10. Motor fiscal, informes y exportaciones</w:t>
      </w:r>
    </w:p>
    <w:p>
      <w:r>
        <w:t>11. Infraestructura y operaciones</w:t>
      </w:r>
    </w:p>
    <w:p>
      <w:r>
        <w:t>12. CI/CD, pruebas y calidad</w:t>
      </w:r>
    </w:p>
    <w:p>
      <w:r>
        <w:t>13. IA como herramienta de desarrollo</w:t>
      </w:r>
    </w:p>
    <w:p>
      <w:r>
        <w:t>14. Decisiones, riesgos y asuntos pendientes</w:t>
      </w:r>
    </w:p>
    <w:p>
      <w:r>
        <w:t>Anexos — flujos y trazabilidad</w:t>
      </w:r>
    </w:p>
    <w:p>
      <w:r>
        <w:br w:type="page"/>
      </w:r>
    </w:p>
    <w:p>
      <w:pPr>
        <w:pStyle w:val="Heading1"/>
      </w:pPr>
      <w:r>
        <w:rPr>
          <w:color w:val="000000"/>
        </w:rPr>
        <w:t>1. Alcance, principios y trazabilidad</w:t>
      </w:r>
    </w:p>
    <w:p>
      <w:pPr>
        <w:pStyle w:val="Heading1"/>
      </w:pPr>
      <w:r>
        <w:rPr>
          <w:color w:val="000000"/>
        </w:rPr>
        <w:t>1.1 Objetivo</w:t>
      </w:r>
    </w:p>
    <w:p>
      <w:r>
        <w:t>Traducir los requisitos de DOC-04 a decisiones de arquitectura y diseño técnico verificables, sin duplicar el catálogo funcional ni fijar prematuramente detalles que corresponden a DOC-06. La arquitectura permite construir el MVP académico y ampliar después a un SaaS comercial.</w:t>
      </w:r>
    </w:p>
    <w:p>
      <w:pPr>
        <w:pStyle w:val="Heading1"/>
      </w:pPr>
      <w:r>
        <w:rPr>
          <w:color w:val="000000"/>
        </w:rPr>
        <w:t>1.2 Principios rectores</w:t>
      </w:r>
    </w:p>
    <w:p>
      <w:pPr>
        <w:pStyle w:val="ListBullet"/>
      </w:pPr>
      <w:r>
        <w:t>Monolito modular: una aplicación Symfony desplegable, organizada por límites de dominio.</w:t>
      </w:r>
    </w:p>
    <w:p>
      <w:pPr>
        <w:pStyle w:val="ListBullet"/>
      </w:pPr>
      <w:r>
        <w:t>Hexagonal solo cuando la lógica y las dependencias lo justifican; evitar capas vacías para CRUD simple.</w:t>
      </w:r>
    </w:p>
    <w:p>
      <w:pPr>
        <w:pStyle w:val="ListBullet"/>
      </w:pPr>
      <w:r>
        <w:t>Regla Clean: dominio y aplicación no dependen de controladores HTTP, proveedores IA, Doctrine ni frameworks UI.</w:t>
      </w:r>
    </w:p>
    <w:p>
      <w:pPr>
        <w:pStyle w:val="ListBullet"/>
      </w:pPr>
      <w:r>
        <w:t>Backend como fuente de verdad para fiscalidad, permisos, persistencia y estados.</w:t>
      </w:r>
    </w:p>
    <w:p>
      <w:pPr>
        <w:pStyle w:val="ListBullet"/>
      </w:pPr>
      <w:r>
        <w:t>Un único backend para web Twig y API REST; la web no se consume a sí misma mediante HTTP interno.</w:t>
      </w:r>
    </w:p>
    <w:p>
      <w:pPr>
        <w:pStyle w:val="ListBullet"/>
      </w:pPr>
      <w:r>
        <w:t>Aislamiento obligatorio de entidades fiscales y trazabilidad de operaciones sensibles.</w:t>
      </w:r>
    </w:p>
    <w:p>
      <w:pPr>
        <w:pStyle w:val="ListBullet"/>
      </w:pPr>
      <w:r>
        <w:t>IA como apoyo a extracción y sugerencias; nunca como motor de cálculo fiscal determinista.</w:t>
      </w:r>
    </w:p>
    <w:p>
      <w:pPr>
        <w:pStyle w:val="ListBullet"/>
      </w:pPr>
      <w:r>
        <w:t>MVP cerrado según DOC-04: la arquitectura puede soportar más casos, pero no equivale a funcionalidad implementada.</w:t>
      </w:r>
    </w:p>
    <w:p>
      <w:pPr>
        <w:pStyle w:val="Heading1"/>
      </w:pPr>
      <w:r>
        <w:rPr>
          <w:color w:val="000000"/>
        </w:rPr>
        <w:t>1.3 Matriz de alcance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</w:tcPr>
          <w:p>
            <w:r>
              <w:t>Aspecto</w:t>
            </w:r>
          </w:p>
        </w:tc>
        <w:tc>
          <w:tcPr>
            <w:tcW w:type="dxa" w:w="3264"/>
            <w:vAlign w:val="center"/>
          </w:tcPr>
          <w:p>
            <w:r>
              <w:t>MVP TFM</w:t>
            </w:r>
          </w:p>
        </w:tc>
        <w:tc>
          <w:tcPr>
            <w:tcW w:type="dxa" w:w="3264"/>
            <w:vAlign w:val="center"/>
          </w:tcPr>
          <w:p>
            <w:r>
              <w:t>Evolución comercial</w:t>
            </w:r>
          </w:p>
        </w:tc>
      </w:tr>
      <w:tr>
        <w:tc>
          <w:tcPr>
            <w:tcW w:type="dxa" w:w="3264"/>
            <w:vAlign w:val="center"/>
          </w:tcPr>
          <w:p>
            <w:r>
              <w:t>Aplicaciones</w:t>
            </w:r>
          </w:p>
        </w:tc>
        <w:tc>
          <w:tcPr>
            <w:tcW w:type="dxa" w:w="3264"/>
            <w:vAlign w:val="center"/>
          </w:tcPr>
          <w:p>
            <w:r>
              <w:t>Web, API REST y Flutter Android inicial e iOS en roadmap</w:t>
            </w:r>
          </w:p>
        </w:tc>
        <w:tc>
          <w:tcPr>
            <w:tcW w:type="dxa" w:w="3264"/>
            <w:vAlign w:val="center"/>
          </w:tcPr>
          <w:p>
            <w:r>
              <w:t>Ampliaciones de funciones y clientes</w:t>
            </w:r>
          </w:p>
        </w:tc>
      </w:tr>
      <w:tr>
        <w:tc>
          <w:tcPr>
            <w:tcW w:type="dxa" w:w="3264"/>
            <w:vAlign w:val="center"/>
          </w:tcPr>
          <w:p>
            <w:r>
              <w:t>Tributos</w:t>
            </w:r>
          </w:p>
        </w:tc>
        <w:tc>
          <w:tcPr>
            <w:tcW w:type="dxa" w:w="3264"/>
            <w:vAlign w:val="center"/>
          </w:tcPr>
          <w:p>
            <w:r>
              <w:t>Modelo 130 de estimación directa aplicable; 303 general; 420 general, únicamente supuestos implementados</w:t>
            </w:r>
          </w:p>
        </w:tc>
        <w:tc>
          <w:tcPr>
            <w:tcW w:type="dxa" w:w="3264"/>
            <w:vAlign w:val="center"/>
          </w:tcPr>
          <w:p>
            <w:r>
              <w:t>Regímenes especiales y otros modelos tras verificación</w:t>
            </w:r>
          </w:p>
        </w:tc>
      </w:tr>
      <w:tr>
        <w:tc>
          <w:tcPr>
            <w:tcW w:type="dxa" w:w="3264"/>
            <w:vAlign w:val="center"/>
          </w:tcPr>
          <w:p>
            <w:r>
              <w:t>Documentos IA</w:t>
            </w:r>
          </w:p>
        </w:tc>
        <w:tc>
          <w:tcPr>
            <w:tcW w:type="dxa" w:w="3264"/>
            <w:vAlign w:val="center"/>
          </w:tcPr>
          <w:p>
            <w:r>
              <w:t>50 análisis/entidad/mes; validación humana</w:t>
            </w:r>
          </w:p>
        </w:tc>
        <w:tc>
          <w:tcPr>
            <w:tcW w:type="dxa" w:w="3264"/>
            <w:vAlign w:val="center"/>
          </w:tcPr>
          <w:p>
            <w:r>
              <w:t>Planes superiores y automatizaciones adicionales</w:t>
            </w:r>
          </w:p>
        </w:tc>
      </w:tr>
      <w:tr>
        <w:tc>
          <w:tcPr>
            <w:tcW w:type="dxa" w:w="3264"/>
            <w:vAlign w:val="center"/>
          </w:tcPr>
          <w:p>
            <w:r>
              <w:t>Suscripciones</w:t>
            </w:r>
          </w:p>
        </w:tc>
        <w:tc>
          <w:tcPr>
            <w:tcW w:type="dxa" w:w="3264"/>
            <w:vAlign w:val="center"/>
          </w:tcPr>
          <w:p>
            <w:r>
              <w:t>Planes, cuotas y control de uso sin pasarela de cobro</w:t>
            </w:r>
          </w:p>
        </w:tc>
        <w:tc>
          <w:tcPr>
            <w:tcW w:type="dxa" w:w="3264"/>
            <w:vAlign w:val="center"/>
          </w:tcPr>
          <w:p>
            <w:r>
              <w:t>Cobro recurrente integrado</w:t>
            </w:r>
          </w:p>
        </w:tc>
      </w:tr>
      <w:tr>
        <w:tc>
          <w:tcPr>
            <w:tcW w:type="dxa" w:w="3264"/>
            <w:vAlign w:val="center"/>
          </w:tcPr>
          <w:p>
            <w:r>
              <w:t>Facturación</w:t>
            </w:r>
          </w:p>
        </w:tc>
        <w:tc>
          <w:tcPr>
            <w:tcW w:type="dxa" w:w="3264"/>
            <w:vAlign w:val="center"/>
          </w:tcPr>
          <w:p>
            <w:r>
              <w:t>Registro de ingresos; no emisión</w:t>
            </w:r>
          </w:p>
        </w:tc>
        <w:tc>
          <w:tcPr>
            <w:tcW w:type="dxa" w:w="3264"/>
            <w:vAlign w:val="center"/>
          </w:tcPr>
          <w:p>
            <w:r>
              <w:t>Emisión y flujos de facturación</w:t>
            </w:r>
          </w:p>
        </w:tc>
      </w:tr>
      <w:tr>
        <w:tc>
          <w:tcPr>
            <w:tcW w:type="dxa" w:w="3264"/>
            <w:vAlign w:val="center"/>
          </w:tcPr>
          <w:p>
            <w:r>
              <w:t>Exportaciones</w:t>
            </w:r>
          </w:p>
        </w:tc>
        <w:tc>
          <w:tcPr>
            <w:tcW w:type="dxa" w:w="3264"/>
            <w:vAlign w:val="center"/>
          </w:tcPr>
          <w:p>
            <w:r>
              <w:t>Manual y masiva según permisos</w:t>
            </w:r>
          </w:p>
        </w:tc>
        <w:tc>
          <w:tcPr>
            <w:tcW w:type="dxa" w:w="3264"/>
            <w:vAlign w:val="center"/>
          </w:tcPr>
          <w:p>
            <w:r>
              <w:t>Programación de exportaciones</w:t>
            </w:r>
          </w:p>
        </w:tc>
      </w:tr>
      <w:tr>
        <w:tc>
          <w:tcPr>
            <w:tcW w:type="dxa" w:w="3264"/>
            <w:vAlign w:val="center"/>
          </w:tcPr>
          <w:p>
            <w:r>
              <w:t>Integraciones</w:t>
            </w:r>
          </w:p>
        </w:tc>
        <w:tc>
          <w:tcPr>
            <w:tcW w:type="dxa" w:w="3264"/>
            <w:vAlign w:val="center"/>
          </w:tcPr>
          <w:p>
            <w:r>
              <w:t>Sin integraciones contables complejas obligatorias</w:t>
            </w:r>
          </w:p>
        </w:tc>
        <w:tc>
          <w:tcPr>
            <w:tcW w:type="dxa" w:w="3264"/>
            <w:vAlign w:val="center"/>
          </w:tcPr>
          <w:p>
            <w:r>
              <w:t>Integraciones con programas de asesoría</w:t>
            </w:r>
          </w:p>
        </w:tc>
      </w:tr>
    </w:tbl>
    <w:p>
      <w:pPr>
        <w:pStyle w:val="Heading1"/>
      </w:pPr>
      <w:r>
        <w:rPr>
          <w:color w:val="000000"/>
        </w:rPr>
        <w:t>2. Arquitectura general y vistas</w:t>
      </w:r>
    </w:p>
    <w:p>
      <w:pPr>
        <w:pStyle w:val="Heading1"/>
      </w:pPr>
      <w:r>
        <w:rPr>
          <w:color w:val="000000"/>
        </w:rPr>
        <w:t>2.1 Vista de contexto</w:t>
      </w:r>
    </w:p>
    <w:p>
      <w:pPr>
        <w:pStyle w:val="CodeSpec"/>
      </w:pPr>
      <w:r>
        <w:t>[Autónomo: Flutter] -------- REST /api/v1 ----------+</w:t>
      </w:r>
    </w:p>
    <w:p>
      <w:pPr>
        <w:pStyle w:val="CodeSpec"/>
      </w:pPr>
      <w:r>
        <w:t xml:space="preserve">                                                   |</w:t>
      </w:r>
    </w:p>
    <w:p>
      <w:pPr>
        <w:pStyle w:val="CodeSpec"/>
      </w:pPr>
      <w:r>
        <w:t>[Autónomo/Asesoría: Navegador] -- HTTPS / Twig ----+--&gt; [Symfony]</w:t>
      </w:r>
    </w:p>
    <w:p>
      <w:pPr>
        <w:pStyle w:val="CodeSpec"/>
      </w:pPr>
      <w:r>
        <w:t xml:space="preserve">                                                         |  |  |</w:t>
      </w:r>
    </w:p>
    <w:p>
      <w:pPr>
        <w:pStyle w:val="CodeSpec"/>
      </w:pPr>
      <w:r>
        <w:t xml:space="preserve">                                                         |  |  +--&gt; [Messenger workers]</w:t>
      </w:r>
    </w:p>
    <w:p>
      <w:pPr>
        <w:pStyle w:val="CodeSpec"/>
      </w:pPr>
      <w:r>
        <w:t xml:space="preserve">                                                         |  +-----&gt; [MySQL / Redis]</w:t>
      </w:r>
    </w:p>
    <w:p>
      <w:pPr>
        <w:pStyle w:val="CodeSpec"/>
      </w:pPr>
      <w:r>
        <w:t xml:space="preserve">                                                         +--------&gt; [Almacenamiento S3]</w:t>
      </w:r>
    </w:p>
    <w:p>
      <w:pPr>
        <w:pStyle w:val="CodeSpec"/>
      </w:pPr>
      <w:r>
        <w:t xml:space="preserve">                                                                  [Proveedor IA externo]</w:t>
      </w:r>
    </w:p>
    <w:p>
      <w:pPr>
        <w:pStyle w:val="CodeSpec"/>
      </w:pPr>
      <w:r>
        <w:t>[Superadmin] ------- HTTPS / Twig ------------------------^</w:t>
      </w:r>
    </w:p>
    <w:p>
      <w:r>
        <w:t>El mismo backend sirve HTML renderizado y REST. La aplicación móvil únicamente consume la API. Los workers pueden desplegarse independientemente, pero comparten código, contratos de dominio y despliegues versionados.</w:t>
      </w:r>
    </w:p>
    <w:p>
      <w:pPr>
        <w:pStyle w:val="Heading1"/>
      </w:pPr>
      <w:r>
        <w:rPr>
          <w:color w:val="000000"/>
        </w:rPr>
        <w:t>2.2 Vista de contenedores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</w:tcPr>
          <w:p>
            <w:r>
              <w:t>Componente</w:t>
            </w:r>
          </w:p>
        </w:tc>
        <w:tc>
          <w:tcPr>
            <w:tcW w:type="dxa" w:w="3264"/>
            <w:vAlign w:val="center"/>
          </w:tcPr>
          <w:p>
            <w:r>
              <w:t>Responsabilidad</w:t>
            </w:r>
          </w:p>
        </w:tc>
        <w:tc>
          <w:tcPr>
            <w:tcW w:type="dxa" w:w="3264"/>
            <w:vAlign w:val="center"/>
          </w:tcPr>
          <w:p>
            <w:r>
              <w:t>Tecnología</w:t>
            </w:r>
          </w:p>
        </w:tc>
      </w:tr>
      <w:tr>
        <w:tc>
          <w:tcPr>
            <w:tcW w:type="dxa" w:w="3264"/>
            <w:vAlign w:val="center"/>
          </w:tcPr>
          <w:p>
            <w:r>
              <w:t>Nginx</w:t>
            </w:r>
          </w:p>
        </w:tc>
        <w:tc>
          <w:tcPr>
            <w:tcW w:type="dxa" w:w="3264"/>
            <w:vAlign w:val="center"/>
          </w:tcPr>
          <w:p>
            <w:r>
              <w:t>TLS, estáticos y proxy inverso</w:t>
            </w:r>
          </w:p>
        </w:tc>
        <w:tc>
          <w:tcPr>
            <w:tcW w:type="dxa" w:w="3264"/>
            <w:vAlign w:val="center"/>
          </w:tcPr>
          <w:p>
            <w:r>
              <w:t>Nginx</w:t>
            </w:r>
          </w:p>
        </w:tc>
      </w:tr>
      <w:tr>
        <w:tc>
          <w:tcPr>
            <w:tcW w:type="dxa" w:w="3264"/>
            <w:vAlign w:val="center"/>
          </w:tcPr>
          <w:p>
            <w:r>
              <w:t>Web + API</w:t>
            </w:r>
          </w:p>
        </w:tc>
        <w:tc>
          <w:tcPr>
            <w:tcW w:type="dxa" w:w="3264"/>
            <w:vAlign w:val="center"/>
          </w:tcPr>
          <w:p>
            <w:r>
              <w:t>HTTP, casos de uso, servicios y persistencia</w:t>
            </w:r>
          </w:p>
        </w:tc>
        <w:tc>
          <w:tcPr>
            <w:tcW w:type="dxa" w:w="3264"/>
            <w:vAlign w:val="center"/>
          </w:tcPr>
          <w:p>
            <w:r>
              <w:t>PHP 8.4 / Symfony 7.4 LTS</w:t>
            </w:r>
          </w:p>
        </w:tc>
      </w:tr>
      <w:tr>
        <w:tc>
          <w:tcPr>
            <w:tcW w:type="dxa" w:w="3264"/>
            <w:vAlign w:val="center"/>
          </w:tcPr>
          <w:p>
            <w:r>
              <w:t>Cliente web</w:t>
            </w:r>
          </w:p>
        </w:tc>
        <w:tc>
          <w:tcPr>
            <w:tcW w:type="dxa" w:w="3264"/>
            <w:vAlign w:val="center"/>
          </w:tcPr>
          <w:p>
            <w:r>
              <w:t>Paneles, formularios, revisión de documentos</w:t>
            </w:r>
          </w:p>
        </w:tc>
        <w:tc>
          <w:tcPr>
            <w:tcW w:type="dxa" w:w="3264"/>
            <w:vAlign w:val="center"/>
          </w:tcPr>
          <w:p>
            <w:r>
              <w:t>Twig / Bootstrap / Stimulus / Turbo</w:t>
            </w:r>
          </w:p>
        </w:tc>
      </w:tr>
      <w:tr>
        <w:tc>
          <w:tcPr>
            <w:tcW w:type="dxa" w:w="3264"/>
            <w:vAlign w:val="center"/>
          </w:tcPr>
          <w:p>
            <w:r>
              <w:t>Cliente móvil</w:t>
            </w:r>
          </w:p>
        </w:tc>
        <w:tc>
          <w:tcPr>
            <w:tcW w:type="dxa" w:w="3264"/>
            <w:vAlign w:val="center"/>
          </w:tcPr>
          <w:p>
            <w:r>
              <w:t>Captura, consulta, validación y notificaciones</w:t>
            </w:r>
          </w:p>
        </w:tc>
        <w:tc>
          <w:tcPr>
            <w:tcW w:type="dxa" w:w="3264"/>
            <w:vAlign w:val="center"/>
          </w:tcPr>
          <w:p>
            <w:r>
              <w:t>Flutter / Riverpod / Dio / GoRouter</w:t>
            </w:r>
          </w:p>
        </w:tc>
      </w:tr>
      <w:tr>
        <w:tc>
          <w:tcPr>
            <w:tcW w:type="dxa" w:w="3264"/>
            <w:vAlign w:val="center"/>
          </w:tcPr>
          <w:p>
            <w:r>
              <w:t>MySQL</w:t>
            </w:r>
          </w:p>
        </w:tc>
        <w:tc>
          <w:tcPr>
            <w:tcW w:type="dxa" w:w="3264"/>
            <w:vAlign w:val="center"/>
          </w:tcPr>
          <w:p>
            <w:r>
              <w:t>Datos transaccionales, índices y auditoría</w:t>
            </w:r>
          </w:p>
        </w:tc>
        <w:tc>
          <w:tcPr>
            <w:tcW w:type="dxa" w:w="3264"/>
            <w:vAlign w:val="center"/>
          </w:tcPr>
          <w:p>
            <w:r>
              <w:t>MySQL 8.4 LTS</w:t>
            </w:r>
          </w:p>
        </w:tc>
      </w:tr>
      <w:tr>
        <w:tc>
          <w:tcPr>
            <w:tcW w:type="dxa" w:w="3264"/>
            <w:vAlign w:val="center"/>
          </w:tcPr>
          <w:p>
            <w:r>
              <w:t>Redis</w:t>
            </w:r>
          </w:p>
        </w:tc>
        <w:tc>
          <w:tcPr>
            <w:tcW w:type="dxa" w:w="3264"/>
            <w:vAlign w:val="center"/>
          </w:tcPr>
          <w:p>
            <w:r>
              <w:t>Sesiones, caché y colas Messenger</w:t>
            </w:r>
          </w:p>
        </w:tc>
        <w:tc>
          <w:tcPr>
            <w:tcW w:type="dxa" w:w="3264"/>
            <w:vAlign w:val="center"/>
          </w:tcPr>
          <w:p>
            <w:r>
              <w:t>Redis</w:t>
            </w:r>
          </w:p>
        </w:tc>
      </w:tr>
      <w:tr>
        <w:tc>
          <w:tcPr>
            <w:tcW w:type="dxa" w:w="3264"/>
            <w:vAlign w:val="center"/>
          </w:tcPr>
          <w:p>
            <w:r>
              <w:t>Workers</w:t>
            </w:r>
          </w:p>
        </w:tc>
        <w:tc>
          <w:tcPr>
            <w:tcW w:type="dxa" w:w="3264"/>
            <w:vAlign w:val="center"/>
          </w:tcPr>
          <w:p>
            <w:r>
              <w:t>IA, fiscalidad, exports, notificaciones</w:t>
            </w:r>
          </w:p>
        </w:tc>
        <w:tc>
          <w:tcPr>
            <w:tcW w:type="dxa" w:w="3264"/>
            <w:vAlign w:val="center"/>
          </w:tcPr>
          <w:p>
            <w:r>
              <w:t>Symfony Messenger</w:t>
            </w:r>
          </w:p>
        </w:tc>
      </w:tr>
      <w:tr>
        <w:tc>
          <w:tcPr>
            <w:tcW w:type="dxa" w:w="3264"/>
            <w:vAlign w:val="center"/>
          </w:tcPr>
          <w:p>
            <w:r>
              <w:t>Objetos</w:t>
            </w:r>
          </w:p>
        </w:tc>
        <w:tc>
          <w:tcPr>
            <w:tcW w:type="dxa" w:w="3264"/>
            <w:vAlign w:val="center"/>
          </w:tcPr>
          <w:p>
            <w:r>
              <w:t>Documentos y ZIP privados</w:t>
            </w:r>
          </w:p>
        </w:tc>
        <w:tc>
          <w:tcPr>
            <w:tcW w:type="dxa" w:w="3264"/>
            <w:vAlign w:val="center"/>
          </w:tcPr>
          <w:p>
            <w:r>
              <w:t>API compatible S3; MinIO dev</w:t>
            </w:r>
          </w:p>
        </w:tc>
      </w:tr>
      <w:tr>
        <w:tc>
          <w:tcPr>
            <w:tcW w:type="dxa" w:w="3264"/>
            <w:vAlign w:val="center"/>
          </w:tcPr>
          <w:p>
            <w:r>
              <w:t>IA externa</w:t>
            </w:r>
          </w:p>
        </w:tc>
        <w:tc>
          <w:tcPr>
            <w:tcW w:type="dxa" w:w="3264"/>
            <w:vAlign w:val="center"/>
          </w:tcPr>
          <w:p>
            <w:r>
              <w:t>Extracción multimodal bajo contrato estructurado</w:t>
            </w:r>
          </w:p>
        </w:tc>
        <w:tc>
          <w:tcPr>
            <w:tcW w:type="dxa" w:w="3264"/>
            <w:vAlign w:val="center"/>
          </w:tcPr>
          <w:p>
            <w:r>
              <w:t>Proveedor aún sin seleccionar</w:t>
            </w:r>
          </w:p>
        </w:tc>
      </w:tr>
    </w:tbl>
    <w:p>
      <w:pPr>
        <w:pStyle w:val="Heading1"/>
      </w:pPr>
      <w:r>
        <w:rPr>
          <w:color w:val="000000"/>
        </w:rPr>
        <w:t>2.3 Vista de despliegue</w:t>
      </w:r>
    </w:p>
    <w:p>
      <w:r>
        <w:t>Los entornos dev, staging y prod estarán aislados en credenciales y almacenamiento. Docker Compose es la plataforma de orquestación inicial; se evita Kubernetes en el MVP. La aplicación web y la API comparten despliegue Symfony; los workers son procesos separados. El móvil sigue su propia publicación y versionado.</w:t>
      </w:r>
    </w:p>
    <w:p>
      <w:pPr>
        <w:pStyle w:val="Heading1"/>
      </w:pPr>
      <w:r>
        <w:rPr>
          <w:color w:val="000000"/>
        </w:rPr>
        <w:t>3. Organización del código y módulos</w:t>
      </w:r>
    </w:p>
    <w:p>
      <w:pPr>
        <w:pStyle w:val="Heading1"/>
      </w:pPr>
      <w:r>
        <w:rPr>
          <w:color w:val="000000"/>
        </w:rPr>
        <w:t>3.1 Monorepositorio</w:t>
      </w:r>
    </w:p>
    <w:p>
      <w:pPr>
        <w:pStyle w:val="CodeSpec"/>
      </w:pPr>
      <w:r>
        <w:t>repo/</w:t>
      </w:r>
    </w:p>
    <w:p>
      <w:pPr>
        <w:pStyle w:val="CodeSpec"/>
      </w:pPr>
      <w:r>
        <w:t xml:space="preserve">  backend/       # Symfony: API REST, Twig, dominio y workers</w:t>
      </w:r>
    </w:p>
    <w:p>
      <w:pPr>
        <w:pStyle w:val="CodeSpec"/>
      </w:pPr>
      <w:r>
        <w:t xml:space="preserve">  mobile/        # Flutter Android inicial e iOS en roadmap</w:t>
      </w:r>
    </w:p>
    <w:p>
      <w:pPr>
        <w:pStyle w:val="CodeSpec"/>
      </w:pPr>
      <w:r>
        <w:t xml:space="preserve">  infrastructure/# Docker, proxy, deployment y observabilidad</w:t>
      </w:r>
    </w:p>
    <w:p>
      <w:pPr>
        <w:pStyle w:val="CodeSpec"/>
      </w:pPr>
      <w:r>
        <w:t xml:space="preserve">  docs/          # Requisitos, ADR, especificaciones, OpenAPI</w:t>
      </w:r>
    </w:p>
    <w:p>
      <w:pPr>
        <w:pStyle w:val="CodeSpec"/>
      </w:pPr>
      <w:r>
        <w:t xml:space="preserve">  .github/workflows/</w:t>
      </w:r>
    </w:p>
    <w:p>
      <w:pPr>
        <w:pStyle w:val="CodeSpec"/>
      </w:pPr>
      <w:r>
        <w:t xml:space="preserve">  AGENTS.md</w:t>
      </w:r>
    </w:p>
    <w:p>
      <w:pPr>
        <w:pStyle w:val="CodeSpec"/>
      </w:pPr>
      <w:r>
        <w:t xml:space="preserve">  README.md</w:t>
      </w:r>
    </w:p>
    <w:p>
      <w:pPr>
        <w:pStyle w:val="Heading1"/>
      </w:pPr>
      <w:r>
        <w:rPr>
          <w:color w:val="000000"/>
        </w:rPr>
        <w:t>3.2 Límites del monolito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</w:tcPr>
          <w:p>
            <w:r>
              <w:t>Módulos</w:t>
            </w:r>
          </w:p>
        </w:tc>
        <w:tc>
          <w:tcPr>
            <w:tcW w:type="dxa" w:w="4896"/>
            <w:vAlign w:val="center"/>
          </w:tcPr>
          <w:p>
            <w:r>
              <w:t>Responsabilidad</w:t>
            </w:r>
          </w:p>
        </w:tc>
      </w:tr>
      <w:tr>
        <w:tc>
          <w:tcPr>
            <w:tcW w:type="dxa" w:w="4896"/>
            <w:vAlign w:val="center"/>
          </w:tcPr>
          <w:p>
            <w:r>
              <w:t>Identity, AccessControl</w:t>
            </w:r>
          </w:p>
        </w:tc>
        <w:tc>
          <w:tcPr>
            <w:tcW w:type="dxa" w:w="4896"/>
            <w:vAlign w:val="center"/>
          </w:tcPr>
          <w:p>
            <w:r>
              <w:t>Credenciales, sesiones, 2FA, roles y permisos</w:t>
            </w:r>
          </w:p>
        </w:tc>
      </w:tr>
      <w:tr>
        <w:tc>
          <w:tcPr>
            <w:tcW w:type="dxa" w:w="4896"/>
            <w:vAlign w:val="center"/>
          </w:tcPr>
          <w:p>
            <w:r>
              <w:t>Organization, Collaboration</w:t>
            </w:r>
          </w:p>
        </w:tc>
        <w:tc>
          <w:tcPr>
            <w:tcW w:type="dxa" w:w="4896"/>
            <w:vAlign w:val="center"/>
          </w:tcPr>
          <w:p>
            <w:r>
              <w:t>Entidades fiscales, asesorías, membresías y vínculos</w:t>
            </w:r>
          </w:p>
        </w:tc>
      </w:tr>
      <w:tr>
        <w:tc>
          <w:tcPr>
            <w:tcW w:type="dxa" w:w="4896"/>
            <w:vAlign w:val="center"/>
          </w:tcPr>
          <w:p>
            <w:r>
              <w:t>Subscription</w:t>
            </w:r>
          </w:p>
        </w:tc>
        <w:tc>
          <w:tcPr>
            <w:tcW w:type="dxa" w:w="4896"/>
            <w:vAlign w:val="center"/>
          </w:tcPr>
          <w:p>
            <w:r>
              <w:t>Planes, cuotas, consumo y límites</w:t>
            </w:r>
          </w:p>
        </w:tc>
      </w:tr>
      <w:tr>
        <w:tc>
          <w:tcPr>
            <w:tcW w:type="dxa" w:w="4896"/>
            <w:vAlign w:val="center"/>
          </w:tcPr>
          <w:p>
            <w:r>
              <w:t>Contacts, Income, Expense</w:t>
            </w:r>
          </w:p>
        </w:tc>
        <w:tc>
          <w:tcPr>
            <w:tcW w:type="dxa" w:w="4896"/>
            <w:vAlign w:val="center"/>
          </w:tcPr>
          <w:p>
            <w:r>
              <w:t>Terceros, ingresos/cobros y gastos/pagos</w:t>
            </w:r>
          </w:p>
        </w:tc>
      </w:tr>
      <w:tr>
        <w:tc>
          <w:tcPr>
            <w:tcW w:type="dxa" w:w="4896"/>
            <w:vAlign w:val="center"/>
          </w:tcPr>
          <w:p>
            <w:r>
              <w:t>Document, AIProcessing</w:t>
            </w:r>
          </w:p>
        </w:tc>
        <w:tc>
          <w:tcPr>
            <w:tcW w:type="dxa" w:w="4896"/>
            <w:vAlign w:val="center"/>
          </w:tcPr>
          <w:p>
            <w:r>
              <w:t>Custodia documental, análisis y revisión</w:t>
            </w:r>
          </w:p>
        </w:tc>
      </w:tr>
      <w:tr>
        <w:tc>
          <w:tcPr>
            <w:tcW w:type="dxa" w:w="4896"/>
            <w:vAlign w:val="center"/>
          </w:tcPr>
          <w:p>
            <w:r>
              <w:t>Category, Tax</w:t>
            </w:r>
          </w:p>
        </w:tc>
        <w:tc>
          <w:tcPr>
            <w:tcW w:type="dxa" w:w="4896"/>
            <w:vAlign w:val="center"/>
          </w:tcPr>
          <w:p>
            <w:r>
              <w:t>Clasificación y reglas tributarias</w:t>
            </w:r>
          </w:p>
        </w:tc>
      </w:tr>
      <w:tr>
        <w:tc>
          <w:tcPr>
            <w:tcW w:type="dxa" w:w="4896"/>
            <w:vAlign w:val="center"/>
          </w:tcPr>
          <w:p>
            <w:r>
              <w:t>Reporting, Export</w:t>
            </w:r>
          </w:p>
        </w:tc>
        <w:tc>
          <w:tcPr>
            <w:tcW w:type="dxa" w:w="4896"/>
            <w:vAlign w:val="center"/>
          </w:tcPr>
          <w:p>
            <w:r>
              <w:t>Dashboards, informes y portabilidad</w:t>
            </w:r>
          </w:p>
        </w:tc>
      </w:tr>
      <w:tr>
        <w:tc>
          <w:tcPr>
            <w:tcW w:type="dxa" w:w="4896"/>
            <w:vAlign w:val="center"/>
          </w:tcPr>
          <w:p>
            <w:r>
              <w:t>Notification, Audit</w:t>
            </w:r>
          </w:p>
        </w:tc>
        <w:tc>
          <w:tcPr>
            <w:tcW w:type="dxa" w:w="4896"/>
            <w:vAlign w:val="center"/>
          </w:tcPr>
          <w:p>
            <w:r>
              <w:t>Avisos, trazabilidad y control de seguridad</w:t>
            </w:r>
          </w:p>
        </w:tc>
      </w:tr>
    </w:tbl>
    <w:p>
      <w:pPr>
        <w:pStyle w:val="Heading1"/>
      </w:pPr>
      <w:r>
        <w:rPr>
          <w:color w:val="000000"/>
        </w:rPr>
        <w:t>3.3 Estructura interna de módulo complejo</w:t>
      </w:r>
    </w:p>
    <w:p>
      <w:pPr>
        <w:pStyle w:val="CodeSpec"/>
      </w:pPr>
      <w:r>
        <w:t>Tax/</w:t>
      </w:r>
    </w:p>
    <w:p>
      <w:pPr>
        <w:pStyle w:val="CodeSpec"/>
      </w:pPr>
      <w:r>
        <w:t xml:space="preserve">  Domain/           # Entidades, value objects, reglas</w:t>
      </w:r>
    </w:p>
    <w:p>
      <w:pPr>
        <w:pStyle w:val="CodeSpec"/>
      </w:pPr>
      <w:r>
        <w:t xml:space="preserve">  Application/      # Casos de uso, puertos, DTO/commands/queries</w:t>
      </w:r>
    </w:p>
    <w:p>
      <w:pPr>
        <w:pStyle w:val="CodeSpec"/>
      </w:pPr>
      <w:r>
        <w:t xml:space="preserve">  Infrastructure/   # Doctrine, adaptadores, HTTP y mensajería</w:t>
      </w:r>
    </w:p>
    <w:p>
      <w:r>
        <w:t>Para módulos de mantenimiento simple se admiten implementaciones reducidas, sin duplicar entidades Doctrine y modelos de dominio artificialmente. Las dependencias entre módulos se articulan mediante interfaces, casos de uso y eventos explícitos; no se autoriza consultar libremente repositorios internos de otro módulo.</w:t>
      </w:r>
    </w:p>
    <w:p>
      <w:pPr>
        <w:pStyle w:val="Heading1"/>
      </w:pPr>
      <w:r>
        <w:rPr>
          <w:color w:val="000000"/>
        </w:rPr>
        <w:t>3.4 Reglas de implementación</w:t>
      </w:r>
    </w:p>
    <w:p>
      <w:pPr>
        <w:pStyle w:val="ListBullet"/>
      </w:pPr>
      <w:r>
        <w:t>DTO de entrada/salida; comandos/consultas y handlers cuando simplifiquen responsabilidades, sin CQRS distribuido.</w:t>
      </w:r>
    </w:p>
    <w:p>
      <w:pPr>
        <w:pStyle w:val="ListBullet"/>
      </w:pPr>
      <w:r>
        <w:t>Objetos de valor para Money, Percentage, FiscalPeriod e identificadores fiscales.</w:t>
      </w:r>
    </w:p>
    <w:p>
      <w:pPr>
        <w:pStyle w:val="ListBullet"/>
      </w:pPr>
      <w:r>
        <w:t>Valores monetarios DECIMAL y aritmética exacta; jamás float para impuestos.</w:t>
      </w:r>
    </w:p>
    <w:p>
      <w:pPr>
        <w:pStyle w:val="ListBullet"/>
      </w:pPr>
      <w:r>
        <w:t>Publicación de eventos fiable mediante Transactional Outbox cuando corresponda y con garantía de idempotencia.</w:t>
      </w:r>
    </w:p>
    <w:p>
      <w:pPr>
        <w:pStyle w:val="ListBullet"/>
      </w:pPr>
      <w:r>
        <w:t>Las operaciones multi-entidad deben ser atómicas o tener compensación explícita.</w:t>
      </w:r>
    </w:p>
    <w:p>
      <w:pPr>
        <w:pStyle w:val="ListBullet"/>
      </w:pPr>
      <w:r>
        <w:t>Errores seguros y tipados; no filtrar trazas ni datos fiscales en respuestas.</w:t>
      </w:r>
    </w:p>
    <w:p>
      <w:pPr>
        <w:pStyle w:val="Heading1"/>
      </w:pPr>
      <w:r>
        <w:rPr>
          <w:color w:val="000000"/>
        </w:rPr>
        <w:t>4. Persistencia, multi-tenancy y transacciones</w:t>
      </w:r>
    </w:p>
    <w:p>
      <w:pPr>
        <w:pStyle w:val="Heading1"/>
      </w:pPr>
      <w:r>
        <w:rPr>
          <w:color w:val="000000"/>
        </w:rPr>
        <w:t>4.1 Aislamiento lógico</w:t>
      </w:r>
    </w:p>
    <w:p>
      <w:r>
        <w:t>Se utiliza una base de datos compartida con separación de registros por FiscalEntity. FiscalEntity es el eje de aislamiento, no User ni AdvisoryFirm. Un usuario puede pertenecer a varias entidades; una entidad puede estar vinculada, como máximo, a una asesoría activa.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</w:tcPr>
          <w:p>
            <w:r>
              <w:t>Agregado / entidad lógica</w:t>
            </w:r>
          </w:p>
        </w:tc>
        <w:tc>
          <w:tcPr>
            <w:tcW w:type="dxa" w:w="4896"/>
            <w:vAlign w:val="center"/>
          </w:tcPr>
          <w:p>
            <w:r>
              <w:t>Relaciones clave</w:t>
            </w:r>
          </w:p>
        </w:tc>
      </w:tr>
      <w:tr>
        <w:tc>
          <w:tcPr>
            <w:tcW w:type="dxa" w:w="4896"/>
            <w:vAlign w:val="center"/>
          </w:tcPr>
          <w:p>
            <w:r>
              <w:t>User, FiscalEntity, FiscalEntityMembership</w:t>
            </w:r>
          </w:p>
        </w:tc>
        <w:tc>
          <w:tcPr>
            <w:tcW w:type="dxa" w:w="4896"/>
            <w:vAlign w:val="center"/>
          </w:tcPr>
          <w:p>
            <w:r>
              <w:t>Identidad y acceso a entidades</w:t>
            </w:r>
          </w:p>
        </w:tc>
      </w:tr>
      <w:tr>
        <w:tc>
          <w:tcPr>
            <w:tcW w:type="dxa" w:w="4896"/>
            <w:vAlign w:val="center"/>
          </w:tcPr>
          <w:p>
            <w:r>
              <w:t>AdvisoryFirm, AdvisoryMembership, EmployeePermission, AdvisoryClientLink</w:t>
            </w:r>
          </w:p>
        </w:tc>
        <w:tc>
          <w:tcPr>
            <w:tcW w:type="dxa" w:w="4896"/>
            <w:vAlign w:val="center"/>
          </w:tcPr>
          <w:p>
            <w:r>
              <w:t>Colaboración; permisos individuales</w:t>
            </w:r>
          </w:p>
        </w:tc>
      </w:tr>
      <w:tr>
        <w:tc>
          <w:tcPr>
            <w:tcW w:type="dxa" w:w="4896"/>
            <w:vAlign w:val="center"/>
          </w:tcPr>
          <w:p>
            <w:r>
              <w:t>Income, IncomeLine, Collection</w:t>
            </w:r>
          </w:p>
        </w:tc>
        <w:tc>
          <w:tcPr>
            <w:tcW w:type="dxa" w:w="4896"/>
            <w:vAlign w:val="center"/>
          </w:tcPr>
          <w:p>
            <w:r>
              <w:t>Ingresos, líneas y cobros parciales</w:t>
            </w:r>
          </w:p>
        </w:tc>
      </w:tr>
      <w:tr>
        <w:tc>
          <w:tcPr>
            <w:tcW w:type="dxa" w:w="4896"/>
            <w:vAlign w:val="center"/>
          </w:tcPr>
          <w:p>
            <w:r>
              <w:t>Expense, ExpenseLine, Payment</w:t>
            </w:r>
          </w:p>
        </w:tc>
        <w:tc>
          <w:tcPr>
            <w:tcW w:type="dxa" w:w="4896"/>
            <w:vAlign w:val="center"/>
          </w:tcPr>
          <w:p>
            <w:r>
              <w:t>Gastos, líneas y pagos</w:t>
            </w:r>
          </w:p>
        </w:tc>
      </w:tr>
      <w:tr>
        <w:tc>
          <w:tcPr>
            <w:tcW w:type="dxa" w:w="4896"/>
            <w:vAlign w:val="center"/>
          </w:tcPr>
          <w:p>
            <w:r>
              <w:t>Document, StoredFile, Attachment, Analysis, Review</w:t>
            </w:r>
          </w:p>
        </w:tc>
        <w:tc>
          <w:tcPr>
            <w:tcW w:type="dxa" w:w="4896"/>
            <w:vAlign w:val="center"/>
          </w:tcPr>
          <w:p>
            <w:r>
              <w:t>Metadatos, archivos, vínculos, IA y revisión</w:t>
            </w:r>
          </w:p>
        </w:tc>
      </w:tr>
      <w:tr>
        <w:tc>
          <w:tcPr>
            <w:tcW w:type="dxa" w:w="4896"/>
            <w:vAlign w:val="center"/>
          </w:tcPr>
          <w:p>
            <w:r>
              <w:t>FiscalProfile, FiscalActivity, RegimeAssignment</w:t>
            </w:r>
          </w:p>
        </w:tc>
        <w:tc>
          <w:tcPr>
            <w:tcW w:type="dxa" w:w="4896"/>
            <w:vAlign w:val="center"/>
          </w:tcPr>
          <w:p>
            <w:r>
              <w:t>Configuración fiscal con vigencias</w:t>
            </w:r>
          </w:p>
        </w:tc>
      </w:tr>
      <w:tr>
        <w:tc>
          <w:tcPr>
            <w:tcW w:type="dxa" w:w="4896"/>
            <w:vAlign w:val="center"/>
          </w:tcPr>
          <w:p>
            <w:r>
              <w:t>TaxRuleVersion, TaxCalculation, TaxAdjustment, TaxFilingRecord</w:t>
            </w:r>
          </w:p>
        </w:tc>
        <w:tc>
          <w:tcPr>
            <w:tcW w:type="dxa" w:w="4896"/>
            <w:vAlign w:val="center"/>
          </w:tcPr>
          <w:p>
            <w:r>
              <w:t>Reglas y resultados reproducibles</w:t>
            </w:r>
          </w:p>
        </w:tc>
      </w:tr>
      <w:tr>
        <w:tc>
          <w:tcPr>
            <w:tcW w:type="dxa" w:w="4896"/>
            <w:vAlign w:val="center"/>
          </w:tcPr>
          <w:p>
            <w:r>
              <w:t>SubscriptionPlan, Subscription, UsageRecord</w:t>
            </w:r>
          </w:p>
        </w:tc>
        <w:tc>
          <w:tcPr>
            <w:tcW w:type="dxa" w:w="4896"/>
            <w:vAlign w:val="center"/>
          </w:tcPr>
          <w:p>
            <w:r>
              <w:t>Cuotas y control del consumo</w:t>
            </w:r>
          </w:p>
        </w:tc>
      </w:tr>
    </w:tbl>
    <w:p>
      <w:pPr>
        <w:pStyle w:val="Heading1"/>
      </w:pPr>
      <w:r>
        <w:rPr>
          <w:color w:val="000000"/>
        </w:rPr>
        <w:t>4.2 Identificadores e integridad</w:t>
      </w:r>
    </w:p>
    <w:p>
      <w:pPr>
        <w:pStyle w:val="ListBullet"/>
      </w:pPr>
      <w:r>
        <w:t>UUIDv7 como identificador lógico, almacenado normalmente como BINARY(16) en MySQL.</w:t>
      </w:r>
    </w:p>
    <w:p>
      <w:pPr>
        <w:pStyle w:val="ListBullet"/>
      </w:pPr>
      <w:r>
        <w:t>Foreign keys e índices compuestos iniciados por fiscal_entity_id para consultas del tenant.</w:t>
      </w:r>
    </w:p>
    <w:p>
      <w:pPr>
        <w:pStyle w:val="ListBullet"/>
      </w:pPr>
      <w:r>
        <w:t>Restricciones de unicidad y protección ante duplicados; estrategia verificable para garantizar un solo vínculo de asesoría activo.</w:t>
      </w:r>
    </w:p>
    <w:p>
      <w:pPr>
        <w:pStyle w:val="ListBullet"/>
      </w:pPr>
      <w:r>
        <w:t>Snapshots de datos fiscales de contactos en facturas para no alterar históricos al editar un proveedor.</w:t>
      </w:r>
    </w:p>
    <w:p>
      <w:pPr>
        <w:pStyle w:val="ListBullet"/>
      </w:pPr>
      <w:r>
        <w:t>Soft delete o desactivación cuando corresponda legal y funcionalmente; no borrar información con retención obligatoria.</w:t>
      </w:r>
    </w:p>
    <w:p>
      <w:pPr>
        <w:pStyle w:val="ListBullet"/>
      </w:pPr>
      <w:r>
        <w:t>Control de concurrencia optimista para registros editables; transacciones explícitas para confirmación y cambios de estado.</w:t>
      </w:r>
    </w:p>
    <w:p>
      <w:pPr>
        <w:pStyle w:val="Heading1"/>
      </w:pPr>
      <w:r>
        <w:rPr>
          <w:color w:val="000000"/>
        </w:rPr>
        <w:t>4.3 Contexto activo</w:t>
      </w:r>
    </w:p>
    <w:p>
      <w:r>
        <w:t>El contexto FiscalEntity se valida en cada caso de uso, consulta, descarga y mensaje asíncrono. Nunca basta con que un cliente envíe un entityId. Los permisos vigentes se comprueban en servidor incluso si el JWT todavía no ha expirado. Las consultas multi-cliente de asesorías se filtran por vínculos y permisos efectivos.</w:t>
      </w:r>
    </w:p>
    <w:p>
      <w:pPr>
        <w:pStyle w:val="Heading1"/>
      </w:pPr>
      <w:r>
        <w:rPr>
          <w:color w:val="000000"/>
        </w:rPr>
        <w:t>5. Identidad, seguridad y autorización</w:t>
      </w:r>
    </w:p>
    <w:p>
      <w:pPr>
        <w:pStyle w:val="Heading1"/>
      </w:pPr>
      <w:r>
        <w:rPr>
          <w:color w:val="000000"/>
        </w:rPr>
        <w:t>5.1 Autenticación web y móvil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</w:tcPr>
          <w:p>
            <w:r>
              <w:t>Canal</w:t>
            </w:r>
          </w:p>
        </w:tc>
        <w:tc>
          <w:tcPr>
            <w:tcW w:type="dxa" w:w="4896"/>
            <w:vAlign w:val="center"/>
          </w:tcPr>
          <w:p>
            <w:r>
              <w:t>Mecanismo</w:t>
            </w:r>
          </w:p>
        </w:tc>
      </w:tr>
      <w:tr>
        <w:tc>
          <w:tcPr>
            <w:tcW w:type="dxa" w:w="4896"/>
            <w:vAlign w:val="center"/>
          </w:tcPr>
          <w:p>
            <w:r>
              <w:t>Web Twig</w:t>
            </w:r>
          </w:p>
        </w:tc>
        <w:tc>
          <w:tcPr>
            <w:tcW w:type="dxa" w:w="4896"/>
            <w:vAlign w:val="center"/>
          </w:tcPr>
          <w:p>
            <w:r>
              <w:t>Sesión Symfony en cookie HttpOnly/Secure/SameSite; CSRF; 120 minutos de inactividad; Redis para sesiones</w:t>
            </w:r>
          </w:p>
        </w:tc>
      </w:tr>
      <w:tr>
        <w:tc>
          <w:tcPr>
            <w:tcW w:type="dxa" w:w="4896"/>
            <w:vAlign w:val="center"/>
          </w:tcPr>
          <w:p>
            <w:r>
              <w:t>Flutter</w:t>
            </w:r>
          </w:p>
        </w:tc>
        <w:tc>
          <w:tcPr>
            <w:tcW w:type="dxa" w:w="4896"/>
            <w:vAlign w:val="center"/>
          </w:tcPr>
          <w:p>
            <w:r>
              <w:t>JWT de acceso 15 min; refresh opaco 30 días, rotatorio, almacenado hasheado en servidor y de forma segura en cliente</w:t>
            </w:r>
          </w:p>
        </w:tc>
      </w:tr>
      <w:tr>
        <w:tc>
          <w:tcPr>
            <w:tcW w:type="dxa" w:w="4896"/>
            <w:vAlign w:val="center"/>
          </w:tcPr>
          <w:p>
            <w:r>
              <w:t>2FA</w:t>
            </w:r>
          </w:p>
        </w:tc>
        <w:tc>
          <w:tcPr>
            <w:tcW w:type="dxa" w:w="4896"/>
            <w:vAlign w:val="center"/>
          </w:tcPr>
          <w:p>
            <w:r>
              <w:t>TOTP obligatorio para asesorías y superadmin, opcional para autónomos, códigos de recuperación</w:t>
            </w:r>
          </w:p>
        </w:tc>
      </w:tr>
      <w:tr>
        <w:tc>
          <w:tcPr>
            <w:tcW w:type="dxa" w:w="4896"/>
            <w:vAlign w:val="center"/>
          </w:tcPr>
          <w:p>
            <w:r>
              <w:t>Recuperación</w:t>
            </w:r>
          </w:p>
        </w:tc>
        <w:tc>
          <w:tcPr>
            <w:tcW w:type="dxa" w:w="4896"/>
            <w:vAlign w:val="center"/>
          </w:tcPr>
          <w:p>
            <w:r>
              <w:t>Correo verificado, restablecimiento mediante enlace de un uso (30 min), limitación de intentos</w:t>
            </w:r>
          </w:p>
        </w:tc>
      </w:tr>
      <w:tr>
        <w:tc>
          <w:tcPr>
            <w:tcW w:type="dxa" w:w="4896"/>
            <w:vAlign w:val="center"/>
          </w:tcPr>
          <w:p>
            <w:r>
              <w:t>Seguridad adicional</w:t>
            </w:r>
          </w:p>
        </w:tc>
        <w:tc>
          <w:tcPr>
            <w:tcW w:type="dxa" w:w="4896"/>
            <w:vAlign w:val="center"/>
          </w:tcPr>
          <w:p>
            <w:r>
              <w:t>Contraseña &gt;=12 caracteres, detección de contraseñas comprometidas y revocación remota</w:t>
            </w:r>
          </w:p>
        </w:tc>
      </w:tr>
    </w:tbl>
    <w:p>
      <w:pPr>
        <w:pStyle w:val="Heading1"/>
      </w:pPr>
      <w:r>
        <w:rPr>
          <w:color w:val="000000"/>
        </w:rPr>
        <w:t>5.2 Autorización</w:t>
      </w:r>
    </w:p>
    <w:p>
      <w:r>
        <w:t>Autorización compuesta por rol global, pertenencia a entidad fiscal, vinculación de asesoría y permisos funcionales individuales de empleados. Se implementan políticas y Symfony Voters, reutilizando reglas en casos de uso. Todos los empleados de asesoría visualizan clientes por defecto, con permisos funcionales editables por su administrador.</w:t>
      </w:r>
    </w:p>
    <w:p>
      <w:pPr>
        <w:pStyle w:val="Heading1"/>
      </w:pPr>
      <w:r>
        <w:rPr>
          <w:color w:val="000000"/>
        </w:rPr>
        <w:t>5.3 Controles transversales</w:t>
      </w:r>
    </w:p>
    <w:p>
      <w:pPr>
        <w:pStyle w:val="ListBullet"/>
      </w:pPr>
      <w:r>
        <w:t>OWASP API/web; validación y saneamiento de entradas, protección XSS/CSRF, límites HTTP y rate limiting.</w:t>
      </w:r>
    </w:p>
    <w:p>
      <w:pPr>
        <w:pStyle w:val="ListBullet"/>
      </w:pPr>
      <w:r>
        <w:t>Uploads sujetos a tamaño, tipo MIME real, antimalware, cuarentena y almacenamiento privado.</w:t>
      </w:r>
    </w:p>
    <w:p>
      <w:pPr>
        <w:pStyle w:val="ListBullet"/>
      </w:pPr>
      <w:r>
        <w:t>Auditoría de operaciones sensibles, accesos extraordinarios autorizados y exportaciones.</w:t>
      </w:r>
    </w:p>
    <w:p>
      <w:pPr>
        <w:pStyle w:val="ListBullet"/>
      </w:pPr>
      <w:r>
        <w:t>Superadmin sin acceso libre al contenido fiscal: acceso excepcional justificado y auditado.</w:t>
      </w:r>
    </w:p>
    <w:p>
      <w:pPr>
        <w:pStyle w:val="ListBullet"/>
      </w:pPr>
      <w:r>
        <w:t>Cifrado en tránsito y en reposo, copias cifradas, minimización de datos, RGPD/LOPDGDD.</w:t>
      </w:r>
    </w:p>
    <w:p>
      <w:pPr>
        <w:pStyle w:val="ListBullet"/>
      </w:pPr>
      <w:r>
        <w:t>Autorización previa a emisión de URL firmada; expiración corta y registro cuando proceda.</w:t>
      </w:r>
    </w:p>
    <w:p>
      <w:pPr>
        <w:pStyle w:val="Heading1"/>
      </w:pPr>
      <w:r>
        <w:rPr>
          <w:color w:val="000000"/>
        </w:rPr>
        <w:t>6. API REST y contratos</w:t>
      </w:r>
    </w:p>
    <w:p>
      <w:pPr>
        <w:pStyle w:val="Heading1"/>
      </w:pPr>
      <w:r>
        <w:rPr>
          <w:color w:val="000000"/>
        </w:rPr>
        <w:t>6.1 Convenciones</w:t>
      </w:r>
    </w:p>
    <w:p>
      <w:pPr>
        <w:pStyle w:val="ListBullet"/>
      </w:pPr>
      <w:r>
        <w:t>Versionado /api/v1; recursos plurales y acciones explícitas para operaciones de negocio.</w:t>
      </w:r>
    </w:p>
    <w:p>
      <w:pPr>
        <w:pStyle w:val="ListBullet"/>
      </w:pPr>
      <w:r>
        <w:t>JSON camelCase, fechas ISO 8601, UUID en cadenas y dinero como decimal string.</w:t>
      </w:r>
    </w:p>
    <w:p>
      <w:pPr>
        <w:pStyle w:val="ListBullet"/>
      </w:pPr>
      <w:r>
        <w:t>Contexto fiscal explícito: /api/v1/fiscal-entities/{entityId}/expenses; recursos globales como /api/v1/me.</w:t>
      </w:r>
    </w:p>
    <w:p>
      <w:pPr>
        <w:pStyle w:val="ListBullet"/>
      </w:pPr>
      <w:r>
        <w:t>Paginación page/pageSize, tamaño 25 por defecto y máximo 100; sort y filtros validados.</w:t>
      </w:r>
    </w:p>
    <w:p>
      <w:pPr>
        <w:pStyle w:val="ListBullet"/>
      </w:pPr>
      <w:r>
        <w:t>RFC 9457 application/problem+json, códigos de error estables y requestId.</w:t>
      </w:r>
    </w:p>
    <w:p>
      <w:pPr>
        <w:pStyle w:val="ListBullet"/>
      </w:pPr>
      <w:r>
        <w:t>Idempotency-Key para POST críticos; If-Match / control optimista y 412 para conflictos.</w:t>
      </w:r>
    </w:p>
    <w:p>
      <w:pPr>
        <w:pStyle w:val="ListBullet"/>
      </w:pPr>
      <w:r>
        <w:t>Operaciones pesadas devuelven 202 Accepted y un identificador consultable; notificaciones pueden avisar de finalización.</w:t>
      </w:r>
    </w:p>
    <w:p>
      <w:pPr>
        <w:pStyle w:val="ListBullet"/>
      </w:pPr>
      <w:r>
        <w:t>OpenAPI 3.1 como contrato versionado y comprobado en CI.</w:t>
      </w:r>
    </w:p>
    <w:p>
      <w:pPr>
        <w:pStyle w:val="Heading1"/>
      </w:pPr>
      <w:r>
        <w:rPr>
          <w:color w:val="000000"/>
        </w:rPr>
        <w:t>6.2 Ejemplos ilustrativos (no contrato final)</w:t>
      </w:r>
    </w:p>
    <w:p>
      <w:pPr>
        <w:pStyle w:val="CodeSpec"/>
      </w:pPr>
      <w:r>
        <w:t>GET  /api/v1/me</w:t>
      </w:r>
    </w:p>
    <w:p>
      <w:pPr>
        <w:pStyle w:val="CodeSpec"/>
      </w:pPr>
      <w:r>
        <w:t>GET  /api/v1/fiscal-entities/{entityId}/expenses?page=1&amp;pageSize=25</w:t>
      </w:r>
    </w:p>
    <w:p>
      <w:pPr>
        <w:pStyle w:val="CodeSpec"/>
      </w:pPr>
      <w:r>
        <w:t>POST /api/v1/fiscal-entities/{entityId}/expenses</w:t>
      </w:r>
    </w:p>
    <w:p>
      <w:pPr>
        <w:pStyle w:val="CodeSpec"/>
      </w:pPr>
      <w:r>
        <w:t>POST /api/v1/fiscal-entities/{entityId}/expenses/{expenseId}/confirm</w:t>
      </w:r>
    </w:p>
    <w:p>
      <w:pPr>
        <w:pStyle w:val="CodeSpec"/>
      </w:pPr>
      <w:r>
        <w:t>POST /api/v1/fiscal-entities/{entityId}/documents</w:t>
      </w:r>
    </w:p>
    <w:p>
      <w:pPr>
        <w:pStyle w:val="CodeSpec"/>
      </w:pPr>
      <w:r>
        <w:t>GET  /api/v1/fiscal-entities/{entityId}/document-analyses/{analysisId}</w:t>
      </w:r>
    </w:p>
    <w:p>
      <w:pPr>
        <w:pStyle w:val="CodeSpec"/>
      </w:pPr>
      <w:r>
        <w:t>POST /api/v1/fiscal-entities/{entityId}/tax-calculations</w:t>
      </w:r>
    </w:p>
    <w:p>
      <w:r>
        <w:t>Los nombres, parámetros, payloads, esquemas de error y autorizaciones definitivas se fijarán en DOC-06 y prevalecerán sobre estos ejemplos.</w:t>
      </w:r>
    </w:p>
    <w:p>
      <w:pPr>
        <w:pStyle w:val="Heading1"/>
      </w:pPr>
      <w:r>
        <w:rPr>
          <w:color w:val="000000"/>
        </w:rPr>
        <w:t>7. Aplicación web Symfony / Twig</w:t>
      </w:r>
    </w:p>
    <w:p>
      <w:pPr>
        <w:pStyle w:val="Heading1"/>
      </w:pPr>
      <w:r>
        <w:rPr>
          <w:color w:val="000000"/>
        </w:rPr>
        <w:t>7.1 Arquitectura integrada</w:t>
      </w:r>
    </w:p>
    <w:p>
      <w:r>
        <w:t>La aplicación web se implementa en el mismo proyecto Symfony que la API. Los controladores Twig y REST son adaptadores de entrada distintos hacia los mismos casos de uso; Twig no hará llamadas HTTP internas a la API para operaciones habituales.</w:t>
      </w:r>
    </w:p>
    <w:p>
      <w:pPr>
        <w:pStyle w:val="Heading1"/>
      </w:pPr>
      <w:r>
        <w:rPr>
          <w:color w:val="000000"/>
        </w:rPr>
        <w:t>7.2 Tecnologías y UX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</w:tcPr>
          <w:p>
            <w:r>
              <w:t>Área</w:t>
            </w:r>
          </w:p>
        </w:tc>
        <w:tc>
          <w:tcPr>
            <w:tcW w:type="dxa" w:w="4896"/>
            <w:vAlign w:val="center"/>
          </w:tcPr>
          <w:p>
            <w:r>
              <w:t>Decisión</w:t>
            </w:r>
          </w:p>
        </w:tc>
      </w:tr>
      <w:tr>
        <w:tc>
          <w:tcPr>
            <w:tcW w:type="dxa" w:w="4896"/>
            <w:vAlign w:val="center"/>
          </w:tcPr>
          <w:p>
            <w:r>
              <w:t>Presentación</w:t>
            </w:r>
          </w:p>
        </w:tc>
        <w:tc>
          <w:tcPr>
            <w:tcW w:type="dxa" w:w="4896"/>
            <w:vAlign w:val="center"/>
          </w:tcPr>
          <w:p>
            <w:r>
              <w:t>Twig y Bootstrap 5.3; diseño administrativo propio responsive</w:t>
            </w:r>
          </w:p>
        </w:tc>
      </w:tr>
      <w:tr>
        <w:tc>
          <w:tcPr>
            <w:tcW w:type="dxa" w:w="4896"/>
            <w:vAlign w:val="center"/>
          </w:tcPr>
          <w:p>
            <w:r>
              <w:t>Interacciones</w:t>
            </w:r>
          </w:p>
        </w:tc>
        <w:tc>
          <w:tcPr>
            <w:tcW w:type="dxa" w:w="4896"/>
            <w:vAlign w:val="center"/>
          </w:tcPr>
          <w:p>
            <w:r>
              <w:t>Stimulus y Turbo selectivos; no SPA completa</w:t>
            </w:r>
          </w:p>
        </w:tc>
      </w:tr>
      <w:tr>
        <w:tc>
          <w:tcPr>
            <w:tcW w:type="dxa" w:w="4896"/>
            <w:vAlign w:val="center"/>
          </w:tcPr>
          <w:p>
            <w:r>
              <w:t>Formularios</w:t>
            </w:r>
          </w:p>
        </w:tc>
        <w:tc>
          <w:tcPr>
            <w:tcW w:type="dxa" w:w="4896"/>
            <w:vAlign w:val="center"/>
          </w:tcPr>
          <w:p>
            <w:r>
              <w:t>Symfony Forms, validación definitiva backend y CSRF</w:t>
            </w:r>
          </w:p>
        </w:tc>
      </w:tr>
      <w:tr>
        <w:tc>
          <w:tcPr>
            <w:tcW w:type="dxa" w:w="4896"/>
            <w:vAlign w:val="center"/>
          </w:tcPr>
          <w:p>
            <w:r>
              <w:t>Tablas</w:t>
            </w:r>
          </w:p>
        </w:tc>
        <w:tc>
          <w:tcPr>
            <w:tcW w:type="dxa" w:w="4896"/>
            <w:vAlign w:val="center"/>
          </w:tcPr>
          <w:p>
            <w:r>
              <w:t>DataTables server-side, filtros, selección y acciones masivas</w:t>
            </w:r>
          </w:p>
        </w:tc>
      </w:tr>
      <w:tr>
        <w:tc>
          <w:tcPr>
            <w:tcW w:type="dxa" w:w="4896"/>
            <w:vAlign w:val="center"/>
          </w:tcPr>
          <w:p>
            <w:r>
              <w:t>Visualización</w:t>
            </w:r>
          </w:p>
        </w:tc>
        <w:tc>
          <w:tcPr>
            <w:tcW w:type="dxa" w:w="4896"/>
            <w:vAlign w:val="center"/>
          </w:tcPr>
          <w:p>
            <w:r>
              <w:t>Chart.js con series agregadas desde backend</w:t>
            </w:r>
          </w:p>
        </w:tc>
      </w:tr>
      <w:tr>
        <w:tc>
          <w:tcPr>
            <w:tcW w:type="dxa" w:w="4896"/>
            <w:vAlign w:val="center"/>
          </w:tcPr>
          <w:p>
            <w:r>
              <w:t>Documentos</w:t>
            </w:r>
          </w:p>
        </w:tc>
        <w:tc>
          <w:tcPr>
            <w:tcW w:type="dxa" w:w="4896"/>
            <w:vAlign w:val="center"/>
          </w:tcPr>
          <w:p>
            <w:r>
              <w:t>Visor integrado con campos editables, notas y confirmación</w:t>
            </w:r>
          </w:p>
        </w:tc>
      </w:tr>
      <w:tr>
        <w:tc>
          <w:tcPr>
            <w:tcW w:type="dxa" w:w="4896"/>
            <w:vAlign w:val="center"/>
          </w:tcPr>
          <w:p>
            <w:r>
              <w:t>Perfiles</w:t>
            </w:r>
          </w:p>
        </w:tc>
        <w:tc>
          <w:tcPr>
            <w:tcW w:type="dxa" w:w="4896"/>
            <w:vAlign w:val="center"/>
          </w:tcPr>
          <w:p>
            <w:r>
              <w:t>Interfaces de autónomo, asesoría y superadmin con componentes comunes</w:t>
            </w:r>
          </w:p>
        </w:tc>
      </w:tr>
      <w:tr>
        <w:tc>
          <w:tcPr>
            <w:tcW w:type="dxa" w:w="4896"/>
            <w:vAlign w:val="center"/>
          </w:tcPr>
          <w:p>
            <w:r>
              <w:t>Activos</w:t>
            </w:r>
          </w:p>
        </w:tc>
        <w:tc>
          <w:tcPr>
            <w:tcW w:type="dxa" w:w="4896"/>
            <w:vAlign w:val="center"/>
          </w:tcPr>
          <w:p>
            <w:r>
              <w:t>Symfony AssetMapper como solución inicial</w:t>
            </w:r>
          </w:p>
        </w:tc>
      </w:tr>
    </w:tbl>
    <w:p>
      <w:pPr>
        <w:pStyle w:val="Heading1"/>
      </w:pPr>
      <w:r>
        <w:rPr>
          <w:color w:val="000000"/>
        </w:rPr>
        <w:t>7.3 Arquitectura de experiencia</w:t>
      </w:r>
    </w:p>
    <w:p>
      <w:r>
        <w:t>Panel lateral, cabecera con entidad activa, filtros persistibles y módulos visibles según permisos. En asesorías se priorizan listados masivos, revisión consecutiva de documentos y alertas; en autónomos, simplicidad de captura, estado económico y previsiones. Accesibilidad de teclado, contrastes, errores y estados de carga forman parte de la definición de terminado.</w:t>
      </w:r>
    </w:p>
    <w:p>
      <w:pPr>
        <w:pStyle w:val="Heading1"/>
      </w:pPr>
      <w:r>
        <w:rPr>
          <w:color w:val="000000"/>
        </w:rPr>
        <w:t>8. Aplicación móvil Flutter</w:t>
      </w:r>
    </w:p>
    <w:p>
      <w:pPr>
        <w:keepNext w:val="0"/>
      </w:pPr>
      <w:r>
        <w:t>Flutter mantiene su arquitectura multiplataforma y una base de código común. La primera entrega móvil del TFM se desarrolla, prueba y entrega para Android; iOS queda en el roadmap y no es criterio de aceptación de esta entrega. Visual Studio Code con extensiones Flutter y Dart será el editor habitual de la app. Se instalarán Flutter SDK y Dart, y Android Studio para gestionar Android SDK, SDK Manager, Device Manager, emuladores y build tools. La cadena Android incluirá un JDK compatible, Gradle Wrapper y Android Gradle Plugin compatibles con Flutter, y ADB de Platform Tools para detectar, instalar y depurar en dispositivos.</w:t>
      </w:r>
    </w:p>
    <w:p>
      <w:pPr>
        <w:pStyle w:val="Heading1"/>
      </w:pPr>
      <w:r>
        <w:rPr>
          <w:color w:val="000000"/>
        </w:rPr>
        <w:t>8.1 Estructura</w:t>
      </w:r>
    </w:p>
    <w:p>
      <w:pPr>
        <w:pStyle w:val="CodeSpec"/>
      </w:pPr>
      <w:r>
        <w:t>mobile/lib/</w:t>
      </w:r>
    </w:p>
    <w:p>
      <w:pPr>
        <w:pStyle w:val="CodeSpec"/>
      </w:pPr>
      <w:r>
        <w:t xml:space="preserve">  app/           # theme, router, bootstrap</w:t>
      </w:r>
    </w:p>
    <w:p>
      <w:pPr>
        <w:pStyle w:val="CodeSpec"/>
      </w:pPr>
      <w:r>
        <w:t xml:space="preserve">  core/          # api, auth, error, storage, utilities</w:t>
      </w:r>
    </w:p>
    <w:p>
      <w:pPr>
        <w:pStyle w:val="CodeSpec"/>
      </w:pPr>
      <w:r>
        <w:t xml:space="preserve">  features/      # auth, entities, dashboard, income, expense,</w:t>
      </w:r>
    </w:p>
    <w:p>
      <w:pPr>
        <w:pStyle w:val="CodeSpec"/>
      </w:pPr>
      <w:r>
        <w:t xml:space="preserve">                 # documents, taxes, notifications, settings</w:t>
      </w:r>
    </w:p>
    <w:p>
      <w:pPr>
        <w:pStyle w:val="CodeSpec"/>
      </w:pPr>
      <w:r>
        <w:t xml:space="preserve">  l10n/</w:t>
      </w:r>
    </w:p>
    <w:p>
      <w:pPr>
        <w:pStyle w:val="Heading1"/>
      </w:pPr>
      <w:r>
        <w:rPr>
          <w:color w:val="000000"/>
        </w:rPr>
        <w:t>8.2 Decisiones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</w:tcPr>
          <w:p>
            <w:r>
              <w:t>Tema</w:t>
            </w:r>
          </w:p>
        </w:tc>
        <w:tc>
          <w:tcPr>
            <w:tcW w:type="dxa" w:w="4896"/>
            <w:vAlign w:val="center"/>
          </w:tcPr>
          <w:p>
            <w:r>
              <w:t>Diseño</w:t>
            </w:r>
          </w:p>
        </w:tc>
      </w:tr>
      <w:tr>
        <w:tc>
          <w:tcPr>
            <w:tcW w:type="dxa" w:w="4896"/>
            <w:vAlign w:val="center"/>
          </w:tcPr>
          <w:p>
            <w:r>
              <w:t>Arquitectura</w:t>
            </w:r>
          </w:p>
        </w:tc>
        <w:tc>
          <w:tcPr>
            <w:tcW w:type="dxa" w:w="4896"/>
            <w:vAlign w:val="center"/>
          </w:tcPr>
          <w:p>
            <w:r>
              <w:t>Feature-first + MVVM, dominio opcional cuando exista lógica compleja</w:t>
            </w:r>
          </w:p>
        </w:tc>
      </w:tr>
      <w:tr>
        <w:tc>
          <w:tcPr>
            <w:tcW w:type="dxa" w:w="4896"/>
            <w:vAlign w:val="center"/>
          </w:tcPr>
          <w:p>
            <w:r>
              <w:t>Estado / DI</w:t>
            </w:r>
          </w:p>
        </w:tc>
        <w:tc>
          <w:tcPr>
            <w:tcW w:type="dxa" w:w="4896"/>
            <w:vAlign w:val="center"/>
          </w:tcPr>
          <w:p>
            <w:r>
              <w:t>Riverpod y AsyncNotifier según caso</w:t>
            </w:r>
          </w:p>
        </w:tc>
      </w:tr>
      <w:tr>
        <w:tc>
          <w:tcPr>
            <w:tcW w:type="dxa" w:w="4896"/>
            <w:vAlign w:val="center"/>
          </w:tcPr>
          <w:p>
            <w:r>
              <w:t>Navegación</w:t>
            </w:r>
          </w:p>
        </w:tc>
        <w:tc>
          <w:tcPr>
            <w:tcW w:type="dxa" w:w="4896"/>
            <w:vAlign w:val="center"/>
          </w:tcPr>
          <w:p>
            <w:r>
              <w:t>GoRouter con guardas de sesión, 2FA y entidad</w:t>
            </w:r>
          </w:p>
        </w:tc>
      </w:tr>
      <w:tr>
        <w:tc>
          <w:tcPr>
            <w:tcW w:type="dxa" w:w="4896"/>
            <w:vAlign w:val="center"/>
          </w:tcPr>
          <w:p>
            <w:r>
              <w:t>HTTP</w:t>
            </w:r>
          </w:p>
        </w:tc>
        <w:tc>
          <w:tcPr>
            <w:tcW w:type="dxa" w:w="4896"/>
            <w:vAlign w:val="center"/>
          </w:tcPr>
          <w:p>
            <w:r>
              <w:t>Dio, interceptores de refresh, idempotencia y errores</w:t>
            </w:r>
          </w:p>
        </w:tc>
      </w:tr>
      <w:tr>
        <w:tc>
          <w:tcPr>
            <w:tcW w:type="dxa" w:w="4896"/>
            <w:vAlign w:val="center"/>
          </w:tcPr>
          <w:p>
            <w:r>
              <w:t>Modelos</w:t>
            </w:r>
          </w:p>
        </w:tc>
        <w:tc>
          <w:tcPr>
            <w:tcW w:type="dxa" w:w="4896"/>
            <w:vAlign w:val="center"/>
          </w:tcPr>
          <w:p>
            <w:r>
              <w:t>Modelos tipados con serialización y contrato OpenAPI</w:t>
            </w:r>
          </w:p>
        </w:tc>
      </w:tr>
      <w:tr>
        <w:tc>
          <w:tcPr>
            <w:tcW w:type="dxa" w:w="4896"/>
            <w:vAlign w:val="center"/>
          </w:tcPr>
          <w:p>
            <w:r>
              <w:t>Seguridad</w:t>
            </w:r>
          </w:p>
        </w:tc>
        <w:tc>
          <w:tcPr>
            <w:tcW w:type="dxa" w:w="4896"/>
            <w:vAlign w:val="center"/>
          </w:tcPr>
          <w:p>
            <w:r>
              <w:t>Refresh token en Keychain / almacenamiento protegido Android; limpieza de caché por usuario y entidad</w:t>
            </w:r>
          </w:p>
        </w:tc>
      </w:tr>
      <w:tr>
        <w:tc>
          <w:tcPr>
            <w:tcW w:type="dxa" w:w="4896"/>
            <w:vAlign w:val="center"/>
          </w:tcPr>
          <w:p>
            <w:r>
              <w:t>UX</w:t>
            </w:r>
          </w:p>
        </w:tc>
        <w:tc>
          <w:tcPr>
            <w:tcW w:type="dxa" w:w="4896"/>
            <w:vAlign w:val="center"/>
          </w:tcPr>
          <w:p>
            <w:r>
              <w:t>Material 3, tema claro/oscuro, localización española e i18n preparada</w:t>
            </w:r>
          </w:p>
        </w:tc>
      </w:tr>
      <w:tr>
        <w:tc>
          <w:tcPr>
            <w:tcW w:type="dxa" w:w="4896"/>
            <w:vAlign w:val="center"/>
          </w:tcPr>
          <w:p>
            <w:r>
              <w:t>Offline</w:t>
            </w:r>
          </w:p>
        </w:tc>
        <w:tc>
          <w:tcPr>
            <w:tcW w:type="dxa" w:w="4896"/>
            <w:vAlign w:val="center"/>
          </w:tcPr>
          <w:p>
            <w:r>
              <w:t>Consulta de caché marcada como potencialmente desactualizada y borradores documentales locales protegidos</w:t>
            </w:r>
          </w:p>
        </w:tc>
      </w:tr>
      <w:tr>
        <w:tc>
          <w:tcPr>
            <w:tcW w:type="dxa" w:w="4896"/>
            <w:vAlign w:val="center"/>
          </w:tcPr>
          <w:p>
            <w:r>
              <w:t>Pruebas</w:t>
            </w:r>
          </w:p>
        </w:tc>
        <w:tc>
          <w:tcPr>
            <w:tcW w:type="dxa" w:w="4896"/>
            <w:vAlign w:val="center"/>
          </w:tcPr>
          <w:p>
            <w:r>
              <w:t>Unitarias, widgets, integración y pruebas de seguridad de sesión</w:t>
            </w:r>
          </w:p>
        </w:tc>
      </w:tr>
    </w:tbl>
    <w:p>
      <w:pPr>
        <w:pStyle w:val="Heading1"/>
      </w:pPr>
      <w:r>
        <w:rPr>
          <w:color w:val="000000"/>
        </w:rPr>
        <w:t>8.3 Captura móvil</w:t>
      </w:r>
    </w:p>
    <w:p>
      <w:r>
        <w:t>Fotografía o importación del documento; previsualización, recorte y rotación; agrupación multipágina; conservación de integridad documental; envío seguro al almacenamiento; análisis asíncrono; revisión y confirmación humana. No se confirman asientos ni decisiones fiscales sin conexión y autorización del backend.</w:t>
      </w:r>
    </w:p>
    <w:p>
      <w:pPr>
        <w:keepNext w:val="0"/>
      </w:pPr>
      <w:r>
        <w:t>Se documentarán compilaciones Android mediante flutter build apk --release y flutter build appbundle --release, con configuración de firma de publicación. El APK firmado permite instalación y demostración; el AAB firmado se prepara para distribución mediante Google Play, que no es obligatoria para superar el TFM. Keystore, contraseñas y archivos privados de firma quedarán fuera del repositorio y de las evidencias, con copia de recuperación y acceso controlado. La etapa iOS requerirá un Mac con macOS y Xcode compatibles, herramientas de línea de comandos y simulador iOS. Se validarán plugins, permisos, almacenamiento seguro y pruebas en esa plataforma. La distribución mediante TestFlight o App Store requerirá firma, certificados y perfiles de aprovisionamiento y una cuenta con membresía Apple Developer adecuada; no se confunde la ejecución en simulador con la distribución.</w:t>
      </w:r>
    </w:p>
    <w:p>
      <w:pPr>
        <w:pStyle w:val="Heading1"/>
      </w:pPr>
      <w:r>
        <w:rPr>
          <w:color w:val="000000"/>
        </w:rPr>
        <w:t>9. Gestión documental e IA</w:t>
      </w:r>
    </w:p>
    <w:p>
      <w:pPr>
        <w:pStyle w:val="Heading1"/>
      </w:pPr>
      <w:r>
        <w:rPr>
          <w:color w:val="000000"/>
        </w:rPr>
        <w:t>9.1 Almacenamiento documental</w:t>
      </w:r>
    </w:p>
    <w:p>
      <w:r>
        <w:t>StoredFile representa un objeto físico privado; Document aporta metadatos lógicos; Attachment permite vinculación a ingresos, gastos, revisiones y otros procesos. El almacenamiento es S3-compatible en producción y MinIO en desarrollo. Formatos PDF/JPEG/JPG/PNG/WEBP, máximo 20 MB por archivo; límite comercial inicial 5 GB por entidad. Múltiples vínculos sin duplicación de bytes.</w:t>
      </w:r>
    </w:p>
    <w:p>
      <w:pPr>
        <w:pStyle w:val="Heading1"/>
      </w:pPr>
      <w:r>
        <w:rPr>
          <w:color w:val="000000"/>
        </w:rPr>
        <w:t>9.2 Pipeline asíncrono</w:t>
      </w:r>
    </w:p>
    <w:p>
      <w:pPr>
        <w:pStyle w:val="CodeSpec"/>
      </w:pPr>
      <w:r>
        <w:t>Upload -&gt; Validación MIME/tamaño/antimalware -&gt; StoredFile</w:t>
      </w:r>
    </w:p>
    <w:p>
      <w:pPr>
        <w:pStyle w:val="CodeSpec"/>
      </w:pPr>
      <w:r>
        <w:t xml:space="preserve">          -&gt; AnalysisRequested -&gt; Messenger/worker IA</w:t>
      </w:r>
    </w:p>
    <w:p>
      <w:pPr>
        <w:pStyle w:val="CodeSpec"/>
      </w:pPr>
      <w:r>
        <w:t xml:space="preserve">          -&gt; Respuesta JSON estructurada y validada</w:t>
      </w:r>
    </w:p>
    <w:p>
      <w:pPr>
        <w:pStyle w:val="CodeSpec"/>
      </w:pPr>
      <w:r>
        <w:t xml:space="preserve">          -&gt; Comprobaciones deterministas / duplicados</w:t>
      </w:r>
    </w:p>
    <w:p>
      <w:pPr>
        <w:pStyle w:val="CodeSpec"/>
      </w:pPr>
      <w:r>
        <w:t xml:space="preserve">          -&gt; Revisión humana -&gt; Registro confirmado</w:t>
      </w:r>
    </w:p>
    <w:p>
      <w:pPr>
        <w:pStyle w:val="Heading1"/>
      </w:pPr>
      <w:r>
        <w:rPr>
          <w:color w:val="000000"/>
        </w:rPr>
        <w:t>9.3 Contratos y estado</w:t>
      </w:r>
    </w:p>
    <w:p>
      <w:pPr>
        <w:pStyle w:val="ListBullet"/>
      </w:pPr>
      <w:r>
        <w:t>Proveedor intercambiable detrás de DocumentExtractorInterface; proveedor concreto no seleccionado.</w:t>
      </w:r>
    </w:p>
    <w:p>
      <w:pPr>
        <w:pStyle w:val="ListBullet"/>
      </w:pPr>
      <w:r>
        <w:t>Modelo multimodal con extracción estructurada; OCR especializado solo si el banco de pruebas lo exige.</w:t>
      </w:r>
    </w:p>
    <w:p>
      <w:pPr>
        <w:pStyle w:val="ListBullet"/>
      </w:pPr>
      <w:r>
        <w:t>Campos desconocidos y advertencias explícitos; formato correcto no implica dato correcto.</w:t>
      </w:r>
    </w:p>
    <w:p>
      <w:pPr>
        <w:pStyle w:val="ListBullet"/>
      </w:pPr>
      <w:r>
        <w:t>Estados de análisis: pending, processing, completed, needs_review, failed y cancelled.</w:t>
      </w:r>
    </w:p>
    <w:p>
      <w:pPr>
        <w:pStyle w:val="ListBullet"/>
      </w:pPr>
      <w:r>
        <w:t>Estados de revisión de negocio independientes de estados del trabajo IA.</w:t>
      </w:r>
    </w:p>
    <w:p>
      <w:pPr>
        <w:pStyle w:val="ListBullet"/>
      </w:pPr>
      <w:r>
        <w:t>Tres reintentos como máximo para fallos transitorios, cola de fallos e idempotencia.</w:t>
      </w:r>
    </w:p>
    <w:p>
      <w:pPr>
        <w:pStyle w:val="ListBullet"/>
      </w:pPr>
      <w:r>
        <w:t>50 análisis mensuales por entidad; registrar proveedor, modelo, coste, unidades consumidas y fechas.</w:t>
      </w:r>
    </w:p>
    <w:p>
      <w:pPr>
        <w:pStyle w:val="ListBullet"/>
      </w:pPr>
      <w:r>
        <w:t>Proteger documentos personales y no almacenar payloads íntegros en logs; verificar contrato y ubicación del proveedor.</w:t>
      </w:r>
    </w:p>
    <w:p>
      <w:pPr>
        <w:pStyle w:val="Heading1"/>
      </w:pPr>
      <w:r>
        <w:rPr>
          <w:color w:val="000000"/>
        </w:rPr>
        <w:t>9.4 Validación experimental</w:t>
      </w:r>
    </w:p>
    <w:p>
      <w:r>
        <w:t>El banco de pruebas incluirá facturas/tickets españoles y canarios, varios tipos impositivos, documentos multipágina y capturas de calidad variable. Objetivos de precisión propuestos: total &gt;=98 %, fecha/proveedor &gt;=95 %, categoría &gt;=90 % y detección de discrepancias de prueba &gt;=95 %. Estos valores son hipótesis de aceptación a validar, no garantías de rendimiento.</w:t>
      </w:r>
    </w:p>
    <w:p>
      <w:pPr>
        <w:pStyle w:val="Heading1"/>
      </w:pPr>
      <w:r>
        <w:rPr>
          <w:color w:val="000000"/>
        </w:rPr>
        <w:t>10. Motor fiscal, informes y exportaciones</w:t>
      </w:r>
    </w:p>
    <w:p>
      <w:pPr>
        <w:pStyle w:val="Heading1"/>
      </w:pPr>
      <w:r>
        <w:rPr>
          <w:color w:val="000000"/>
        </w:rPr>
        <w:t>10.1 Separación del motor fiscal</w:t>
      </w:r>
    </w:p>
    <w:p>
      <w:r>
        <w:t>El dominio Tax contendrá calculadores especializados por tributo y régimen con configuraciones versionadas por fecha de vigencia. No se almacenará código PHP ejecutable en base de datos. Los algoritmos se versionarán en Git; la persistencia conservará parámetros, referencias normativas, entradas utilizadas, versiones de regla y resultados.</w:t>
      </w:r>
    </w:p>
    <w:p>
      <w:pPr>
        <w:pStyle w:val="Heading1"/>
      </w:pPr>
      <w:r>
        <w:rPr>
          <w:color w:val="000000"/>
        </w:rPr>
        <w:t>10.2 Cobertura y elegibilidad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</w:tcPr>
          <w:p>
            <w:r>
              <w:t>Modelo</w:t>
            </w:r>
          </w:p>
        </w:tc>
        <w:tc>
          <w:tcPr>
            <w:tcW w:type="dxa" w:w="3264"/>
            <w:vAlign w:val="center"/>
          </w:tcPr>
          <w:p>
            <w:r>
              <w:t>Cobertura prevista para MVP</w:t>
            </w:r>
          </w:p>
        </w:tc>
        <w:tc>
          <w:tcPr>
            <w:tcW w:type="dxa" w:w="3264"/>
            <w:vAlign w:val="center"/>
          </w:tcPr>
          <w:p>
            <w:r>
              <w:t>Límite</w:t>
            </w:r>
          </w:p>
        </w:tc>
      </w:tr>
      <w:tr>
        <w:tc>
          <w:tcPr>
            <w:tcW w:type="dxa" w:w="3264"/>
            <w:vAlign w:val="center"/>
          </w:tcPr>
          <w:p>
            <w:r>
              <w:t>130</w:t>
            </w:r>
          </w:p>
        </w:tc>
        <w:tc>
          <w:tcPr>
            <w:tcW w:type="dxa" w:w="3264"/>
            <w:vAlign w:val="center"/>
          </w:tcPr>
          <w:p>
            <w:r>
              <w:t>Pagos fraccionados de IRPF para supuestos implementados de estimación directa</w:t>
            </w:r>
          </w:p>
        </w:tc>
        <w:tc>
          <w:tcPr>
            <w:tcW w:type="dxa" w:w="3264"/>
            <w:vAlign w:val="center"/>
          </w:tcPr>
          <w:p>
            <w:r>
              <w:t>No sustituye declaración anual</w:t>
            </w:r>
          </w:p>
        </w:tc>
      </w:tr>
      <w:tr>
        <w:tc>
          <w:tcPr>
            <w:tcW w:type="dxa" w:w="3264"/>
            <w:vAlign w:val="center"/>
          </w:tcPr>
          <w:p>
            <w:r>
              <w:t>303</w:t>
            </w:r>
          </w:p>
        </w:tc>
        <w:tc>
          <w:tcPr>
            <w:tcW w:type="dxa" w:w="3264"/>
            <w:vAlign w:val="center"/>
          </w:tcPr>
          <w:p>
            <w:r>
              <w:t>IVA general y operaciones explícitamente soportadas</w:t>
            </w:r>
          </w:p>
        </w:tc>
        <w:tc>
          <w:tcPr>
            <w:tcW w:type="dxa" w:w="3264"/>
            <w:vAlign w:val="center"/>
          </w:tcPr>
          <w:p>
            <w:r>
              <w:t>Supuestos especiales no calculables hasta implementarse</w:t>
            </w:r>
          </w:p>
        </w:tc>
      </w:tr>
      <w:tr>
        <w:tc>
          <w:tcPr>
            <w:tcW w:type="dxa" w:w="3264"/>
            <w:vAlign w:val="center"/>
          </w:tcPr>
          <w:p>
            <w:r>
              <w:t>420</w:t>
            </w:r>
          </w:p>
        </w:tc>
        <w:tc>
          <w:tcPr>
            <w:tcW w:type="dxa" w:w="3264"/>
            <w:vAlign w:val="center"/>
          </w:tcPr>
          <w:p>
            <w:r>
              <w:t>IGIC general y operaciones explícitamente soportadas</w:t>
            </w:r>
          </w:p>
        </w:tc>
        <w:tc>
          <w:tcPr>
            <w:tcW w:type="dxa" w:w="3264"/>
            <w:vAlign w:val="center"/>
          </w:tcPr>
          <w:p>
            <w:r>
              <w:t>Supuestos especiales no calculables hasta implementarse</w:t>
            </w:r>
          </w:p>
        </w:tc>
      </w:tr>
    </w:tbl>
    <w:p>
      <w:r>
        <w:t>TaxEligibilityChecker determinará calculable, provisional o no calculable y emitirá avisos claros. Nunca se fabricará un importe para un régimen desconocido. El motor conservará ajustes, declaraciones presentadas registradas y snapshots inmutables de cálculos anteriores.</w:t>
      </w:r>
    </w:p>
    <w:p>
      <w:pPr>
        <w:pStyle w:val="Heading1"/>
      </w:pPr>
      <w:r>
        <w:rPr>
          <w:color w:val="000000"/>
        </w:rPr>
        <w:t>10.3 Recalculo y consistencia</w:t>
      </w:r>
    </w:p>
    <w:p>
      <w:r>
        <w:t>Cambios confirmados de ingresos, gastos, deducibilidad y ajustes originarán eventos que invalidan los periodos pertinentes. Symfony Messenger recalculará de forma asíncrona lo afectado, incluidos periodos posteriores cuando existan acumulados. El dashboard distinguirá cálculo actualizado de cálculo pendiente.</w:t>
      </w:r>
    </w:p>
    <w:p>
      <w:pPr>
        <w:pStyle w:val="Heading1"/>
      </w:pPr>
      <w:r>
        <w:rPr>
          <w:color w:val="000000"/>
        </w:rPr>
        <w:t>10.4 Reporting y export</w:t>
      </w:r>
    </w:p>
    <w:p>
      <w:r>
        <w:t>Reporting utilizará consultas agregadas y filtros por entidad/periodo, con dashboards individuales y de asesoría. Export generará CSV/XLSX/PDF y paquetes ZIP incluyendo anexos autorizados. Descargas mediante URLs firmadas con caducidad y auditoría. Exportaciones programadas quedan aplazadas a fase 2.</w:t>
      </w:r>
    </w:p>
    <w:p>
      <w:pPr>
        <w:pStyle w:val="Heading1"/>
      </w:pPr>
      <w:r>
        <w:rPr>
          <w:color w:val="000000"/>
        </w:rPr>
        <w:t>11. Infraestructura y operaciones</w:t>
      </w:r>
    </w:p>
    <w:p>
      <w:pPr>
        <w:pStyle w:val="Heading1"/>
      </w:pPr>
      <w:r>
        <w:rPr>
          <w:color w:val="000000"/>
        </w:rPr>
        <w:t>11.1 Servicios y entornos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</w:tcPr>
          <w:p>
            <w:r>
              <w:t>Componente</w:t>
            </w:r>
          </w:p>
        </w:tc>
        <w:tc>
          <w:tcPr>
            <w:tcW w:type="dxa" w:w="4896"/>
            <w:vAlign w:val="center"/>
          </w:tcPr>
          <w:p>
            <w:r>
              <w:t>Decisión operativa</w:t>
            </w:r>
          </w:p>
        </w:tc>
      </w:tr>
      <w:tr>
        <w:tc>
          <w:tcPr>
            <w:tcW w:type="dxa" w:w="4896"/>
            <w:vAlign w:val="center"/>
          </w:tcPr>
          <w:p>
            <w:r>
              <w:t>Desarrollo</w:t>
            </w:r>
          </w:p>
        </w:tc>
        <w:tc>
          <w:tcPr>
            <w:tcW w:type="dxa" w:w="4896"/>
            <w:vAlign w:val="center"/>
          </w:tcPr>
          <w:p>
            <w:r>
              <w:t>Docker Compose; datos ficticios; MinIO</w:t>
            </w:r>
          </w:p>
        </w:tc>
      </w:tr>
      <w:tr>
        <w:tc>
          <w:tcPr>
            <w:tcW w:type="dxa" w:w="4896"/>
            <w:vAlign w:val="center"/>
          </w:tcPr>
          <w:p>
            <w:r>
              <w:t>Staging</w:t>
            </w:r>
          </w:p>
        </w:tc>
        <w:tc>
          <w:tcPr>
            <w:tcW w:type="dxa" w:w="4896"/>
            <w:vAlign w:val="center"/>
          </w:tcPr>
          <w:p>
            <w:r>
              <w:t>Separado de producción; datos sintéticos/anonimizados</w:t>
            </w:r>
          </w:p>
        </w:tc>
      </w:tr>
      <w:tr>
        <w:tc>
          <w:tcPr>
            <w:tcW w:type="dxa" w:w="4896"/>
            <w:vAlign w:val="center"/>
          </w:tcPr>
          <w:p>
            <w:r>
              <w:t>Producción inicial</w:t>
            </w:r>
          </w:p>
        </w:tc>
        <w:tc>
          <w:tcPr>
            <w:tcW w:type="dxa" w:w="4896"/>
            <w:vAlign w:val="center"/>
          </w:tcPr>
          <w:p>
            <w:r>
              <w:t>VPS Linux, Nginx, PHP-FPM, MySQL persistente, Redis, workers, almacenamiento objeto externo</w:t>
            </w:r>
          </w:p>
        </w:tc>
      </w:tr>
      <w:tr>
        <w:tc>
          <w:tcPr>
            <w:tcW w:type="dxa" w:w="4896"/>
            <w:vAlign w:val="center"/>
          </w:tcPr>
          <w:p>
            <w:r>
              <w:t>Workers</w:t>
            </w:r>
          </w:p>
        </w:tc>
        <w:tc>
          <w:tcPr>
            <w:tcW w:type="dxa" w:w="4896"/>
            <w:vAlign w:val="center"/>
          </w:tcPr>
          <w:p>
            <w:r>
              <w:t>Colas ai, tax, exports, notifications con límites de concurrencia y supervisión</w:t>
            </w:r>
          </w:p>
        </w:tc>
      </w:tr>
      <w:tr>
        <w:tc>
          <w:tcPr>
            <w:tcW w:type="dxa" w:w="4896"/>
            <w:vAlign w:val="center"/>
          </w:tcPr>
          <w:p>
            <w:r>
              <w:t>Seguridad</w:t>
            </w:r>
          </w:p>
        </w:tc>
        <w:tc>
          <w:tcPr>
            <w:tcW w:type="dxa" w:w="4896"/>
            <w:vAlign w:val="center"/>
          </w:tcPr>
          <w:p>
            <w:r>
              <w:t>Secretos externos a Git, certificados TLS, accesos mínimos, cifrado y rotación</w:t>
            </w:r>
          </w:p>
        </w:tc>
      </w:tr>
      <w:tr>
        <w:tc>
          <w:tcPr>
            <w:tcW w:type="dxa" w:w="4896"/>
            <w:vAlign w:val="center"/>
          </w:tcPr>
          <w:p>
            <w:r>
              <w:t>Observabilidad</w:t>
            </w:r>
          </w:p>
        </w:tc>
        <w:tc>
          <w:tcPr>
            <w:tcW w:type="dxa" w:w="4896"/>
            <w:vAlign w:val="center"/>
          </w:tcPr>
          <w:p>
            <w:r>
              <w:t>Monolog JSON, requestId, métricas, errores, colas, OpenTelemetry disponible</w:t>
            </w:r>
          </w:p>
        </w:tc>
      </w:tr>
    </w:tbl>
    <w:p>
      <w:pPr>
        <w:pStyle w:val="Heading1"/>
      </w:pPr>
      <w:r>
        <w:rPr>
          <w:color w:val="000000"/>
        </w:rPr>
        <w:t>11.2 Backups y objetivos</w:t>
      </w:r>
    </w:p>
    <w:p>
      <w:r>
        <w:t>Copias cifradas y externas diarias con retención de 30 días, versionado/protección del almacenamiento documental y ejercicios de restauración al menos trimestrales. Objetivos iniciales RPO &lt;=24 h y RTO &lt;=8 h, sujetos a prueba y ajuste antes de uso comercial. Un RPO de 24 h puede resultar insuficiente para una plataforma fiscal real y se valorará recuperación puntual con binlogs.</w:t>
      </w:r>
    </w:p>
    <w:p>
      <w:pPr>
        <w:pStyle w:val="Heading1"/>
      </w:pPr>
      <w:r>
        <w:rPr>
          <w:color w:val="000000"/>
        </w:rPr>
        <w:t>11.3 Despliegue</w:t>
      </w:r>
    </w:p>
    <w:p>
      <w:r>
        <w:t>Images Docker inmutables, CI validada y aprobación manual para producción. Migraciones expansivas y compatibles antes de retirar campos o cambiar contratos. Despliegue de workers coordinado. Rollback del código distinto a restauración de datos; no se revertirán automáticamente migraciones destructivas.</w:t>
      </w:r>
    </w:p>
    <w:p>
      <w:pPr>
        <w:pStyle w:val="Heading1"/>
      </w:pPr>
      <w:r>
        <w:rPr>
          <w:color w:val="000000"/>
        </w:rPr>
        <w:t>12. CI/CD, pruebas y calidad</w:t>
      </w:r>
    </w:p>
    <w:p>
      <w:pPr>
        <w:pStyle w:val="Heading1"/>
      </w:pPr>
      <w:r>
        <w:rPr>
          <w:color w:val="000000"/>
        </w:rPr>
        <w:t>12.1 Estrategia Git corregida y aprobada</w:t>
      </w:r>
    </w:p>
    <w:p>
      <w:pPr>
        <w:pStyle w:val="CodeSpec"/>
      </w:pPr>
      <w:r>
        <w:t>feature/*  -&gt; Pull Request -&gt; develop  -&gt; PR release -&gt; main -&gt; producción</w:t>
      </w:r>
    </w:p>
    <w:p>
      <w:pPr>
        <w:pStyle w:val="CodeSpec"/>
      </w:pPr>
      <w:r>
        <w:t>fix/*      -&gt; Pull Request -&gt; develop</w:t>
      </w:r>
    </w:p>
    <w:p>
      <w:pPr>
        <w:pStyle w:val="CodeSpec"/>
      </w:pPr>
      <w:r>
        <w:t>hotfix/*   -&gt; Pull Request -&gt; main (y sincronización posterior a develop)</w:t>
      </w:r>
    </w:p>
    <w:p>
      <w:r>
        <w:t>Un solo monorepositorio para Symfony/Twig/API y Flutter. main es protegida y exclusiva de cambios aprobados para producción; develop es la rama de integración, también preferentemente protegida frente a push directos. Los releases móviles y backend se versionan y distribuyen independientemente.</w:t>
      </w:r>
    </w:p>
    <w:p>
      <w:pPr>
        <w:pStyle w:val="Heading1"/>
      </w:pPr>
      <w:r>
        <w:rPr>
          <w:color w:val="000000"/>
        </w:rPr>
        <w:t>12.2 Pipelines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</w:tcPr>
          <w:p>
            <w:r>
              <w:t>Workflow</w:t>
            </w:r>
          </w:p>
        </w:tc>
        <w:tc>
          <w:tcPr>
            <w:tcW w:type="dxa" w:w="4896"/>
            <w:vAlign w:val="center"/>
          </w:tcPr>
          <w:p>
            <w:r>
              <w:t>Validaciones</w:t>
            </w:r>
          </w:p>
        </w:tc>
      </w:tr>
      <w:tr>
        <w:tc>
          <w:tcPr>
            <w:tcW w:type="dxa" w:w="4896"/>
            <w:vAlign w:val="center"/>
          </w:tcPr>
          <w:p>
            <w:r>
              <w:t>backend.yml</w:t>
            </w:r>
          </w:p>
        </w:tc>
        <w:tc>
          <w:tcPr>
            <w:tcW w:type="dxa" w:w="4896"/>
            <w:vAlign w:val="center"/>
          </w:tcPr>
          <w:p>
            <w:r>
              <w:t>Composer, PHP-CS-Fixer, PHPStan, PHPUnit, integración MySQL, OpenAPI, seguridad</w:t>
            </w:r>
          </w:p>
        </w:tc>
      </w:tr>
      <w:tr>
        <w:tc>
          <w:tcPr>
            <w:tcW w:type="dxa" w:w="4896"/>
            <w:vAlign w:val="center"/>
          </w:tcPr>
          <w:p>
            <w:r>
              <w:t>flutter.yml</w:t>
            </w:r>
          </w:p>
        </w:tc>
        <w:tc>
          <w:tcPr>
            <w:tcW w:type="dxa" w:w="4896"/>
            <w:vAlign w:val="center"/>
          </w:tcPr>
          <w:p>
            <w:r>
              <w:t>dart format/analyze, unit/widget/integration cuando corresponda, compilaciones</w:t>
            </w:r>
          </w:p>
        </w:tc>
      </w:tr>
      <w:tr>
        <w:tc>
          <w:tcPr>
            <w:tcW w:type="dxa" w:w="4896"/>
            <w:vAlign w:val="center"/>
          </w:tcPr>
          <w:p>
            <w:r>
              <w:t>deploy.yml</w:t>
            </w:r>
          </w:p>
        </w:tc>
        <w:tc>
          <w:tcPr>
            <w:tcW w:type="dxa" w:w="4896"/>
            <w:vAlign w:val="center"/>
          </w:tcPr>
          <w:p>
            <w:r>
              <w:t>Imagen versionada, staging, aprobación manual, despliegue y health checks</w:t>
            </w:r>
          </w:p>
        </w:tc>
      </w:tr>
      <w:tr>
        <w:tc>
          <w:tcPr>
            <w:tcW w:type="dxa" w:w="4896"/>
            <w:vAlign w:val="center"/>
          </w:tcPr>
          <w:p>
            <w:r>
              <w:t>docs.yml (opcional)</w:t>
            </w:r>
          </w:p>
        </w:tc>
        <w:tc>
          <w:tcPr>
            <w:tcW w:type="dxa" w:w="4896"/>
            <w:vAlign w:val="center"/>
          </w:tcPr>
          <w:p>
            <w:r>
              <w:t>Integridad de enlaces/diagramas y contratos documentales</w:t>
            </w:r>
          </w:p>
        </w:tc>
      </w:tr>
    </w:tbl>
    <w:p>
      <w:pPr>
        <w:keepNext w:val="0"/>
      </w:pPr>
      <w:r>
        <w:t>La aceptación móvil se ejecutará en Android: flutter analyze, pruebas unitarias y widget, integración y flujos E2E, cámara y permisos concedidos/denegados, importación documental, autenticación y renovación de tokens, aislamiento y limpieza de caché, borradores offline y reconexión, notificaciones y enlaces cuando estén implementados. Se comprobarán instalación y arranque del APK firmado y validación del AAB generado; los resultados se vincularán al commit, versión Android, dispositivo y configuración de compilación.</w:t>
      </w:r>
    </w:p>
    <w:p>
      <w:pPr>
        <w:pStyle w:val="Heading1"/>
      </w:pPr>
      <w:r>
        <w:rPr>
          <w:color w:val="000000"/>
        </w:rPr>
        <w:t>12.3 Pruebas y criterios de salida</w:t>
      </w:r>
    </w:p>
    <w:p>
      <w:pPr>
        <w:pStyle w:val="ListBullet"/>
      </w:pPr>
      <w:r>
        <w:t>Pruebas unitarias de dominio y aplicación; integración de persistencia; funcionales API/Twig/Flutter.</w:t>
      </w:r>
    </w:p>
    <w:p>
      <w:pPr>
        <w:pStyle w:val="ListBullet"/>
      </w:pPr>
      <w:r>
        <w:t>Pruebas obligatorias de aislamiento entre entidades, permisos de asesoría, 2FA, tokens y URL firmadas.</w:t>
      </w:r>
    </w:p>
    <w:p>
      <w:pPr>
        <w:pStyle w:val="ListBullet"/>
      </w:pPr>
      <w:r>
        <w:t>Pruebas fiscales de referencia y reproducibilidad por periodo y reglas.</w:t>
      </w:r>
    </w:p>
    <w:p>
      <w:pPr>
        <w:pStyle w:val="ListBullet"/>
      </w:pPr>
      <w:r>
        <w:t>Pruebas de extracción IA con corpus versionado y métricas; separar estimaciones de resultados observados.</w:t>
      </w:r>
    </w:p>
    <w:p>
      <w:pPr>
        <w:pStyle w:val="ListBullet"/>
      </w:pPr>
      <w:r>
        <w:t>Validación de criterios de aceptación trazables a DOC-04; revisión humana antes de PR a main.</w:t>
      </w:r>
    </w:p>
    <w:p>
      <w:pPr>
        <w:pStyle w:val="Heading1"/>
      </w:pPr>
      <w:r>
        <w:rPr>
          <w:color w:val="000000"/>
        </w:rPr>
        <w:t>13. IA como herramienta de desarrollo</w:t>
      </w:r>
    </w:p>
    <w:p>
      <w:r>
        <w:t>La herramienta de ideación y decisiones es ChatGPT Plus; Cursor Pro será el IDE asistido por IA para backend y apoyo al código; Visual Studio Code con Flutter/Dart será el editor habitual de la app. Claude Code y GitHub Copilot fueron descartados inicialmente como herramientas adicionales. Esta decisión no selecciona proveedor de IA para la funcionalidad documental del producto.</w:t>
      </w:r>
    </w:p>
    <w:p>
      <w:pPr>
        <w:pStyle w:val="Heading1"/>
      </w:pPr>
      <w:r>
        <w:rPr>
          <w:color w:val="000000"/>
        </w:rPr>
        <w:t>13.1 Gobernanza de agentes</w:t>
      </w:r>
    </w:p>
    <w:p>
      <w:pPr>
        <w:pStyle w:val="ListBullet"/>
      </w:pPr>
      <w:r>
        <w:t>SDD: cada cambio parte de una especificación y criterios comprobables.</w:t>
      </w:r>
    </w:p>
    <w:p>
      <w:pPr>
        <w:pStyle w:val="ListBullet"/>
      </w:pPr>
      <w:r>
        <w:t>AGENTS.md raíz y por backend/mobile/docs, con reglas por área.</w:t>
      </w:r>
    </w:p>
    <w:p>
      <w:pPr>
        <w:pStyle w:val="ListBullet"/>
      </w:pPr>
      <w:r>
        <w:t>Agentes leen contexto, planifican, implementan cambios pequeños, ejecutan pruebas e informan de límites.</w:t>
      </w:r>
    </w:p>
    <w:p>
      <w:pPr>
        <w:pStyle w:val="ListBullet"/>
      </w:pPr>
      <w:r>
        <w:t>No alterar reglas de negocio, arquitectura, interfaces públicas o alcance sin aprobación.</w:t>
      </w:r>
    </w:p>
    <w:p>
      <w:pPr>
        <w:pStyle w:val="ListBullet"/>
      </w:pPr>
      <w:r>
        <w:t>No utilizar secretos de producción, desactivar controles ni introducir dependencias sin evaluación.</w:t>
      </w:r>
    </w:p>
    <w:p>
      <w:pPr>
        <w:pStyle w:val="ListBullet"/>
      </w:pPr>
      <w:r>
        <w:t>Registro de prompts, tareas, tiempo, iteraciones, pruebas, commits y correcciones humanas para el TFM.</w:t>
      </w:r>
    </w:p>
    <w:p>
      <w:pPr>
        <w:pStyle w:val="Heading1"/>
      </w:pPr>
      <w:r>
        <w:rPr>
          <w:color w:val="000000"/>
        </w:rPr>
        <w:t>14. Decisiones, riesgos y asuntos pendientes</w:t>
      </w:r>
    </w:p>
    <w:p>
      <w:pPr>
        <w:pStyle w:val="Heading1"/>
      </w:pPr>
      <w:r>
        <w:rPr>
          <w:color w:val="000000"/>
        </w:rPr>
        <w:t>14.1 Resumen de decisiones arquitectónicas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</w:tcPr>
          <w:p>
            <w:r>
              <w:t>ADR propuesto</w:t>
            </w:r>
          </w:p>
        </w:tc>
        <w:tc>
          <w:tcPr>
            <w:tcW w:type="dxa" w:w="3264"/>
            <w:vAlign w:val="center"/>
          </w:tcPr>
          <w:p>
            <w:r>
              <w:t>Decisión</w:t>
            </w:r>
          </w:p>
        </w:tc>
        <w:tc>
          <w:tcPr>
            <w:tcW w:type="dxa" w:w="3264"/>
            <w:vAlign w:val="center"/>
          </w:tcPr>
          <w:p>
            <w:r>
              <w:t>Estado</w:t>
            </w:r>
          </w:p>
        </w:tc>
      </w:tr>
      <w:tr>
        <w:tc>
          <w:tcPr>
            <w:tcW w:type="dxa" w:w="3264"/>
            <w:vAlign w:val="center"/>
          </w:tcPr>
          <w:p>
            <w:r>
              <w:t>ADR-001</w:t>
            </w:r>
          </w:p>
        </w:tc>
        <w:tc>
          <w:tcPr>
            <w:tcW w:type="dxa" w:w="3264"/>
            <w:vAlign w:val="center"/>
          </w:tcPr>
          <w:p>
            <w:r>
              <w:t>Monolito modular + Hexagonal selectiva + Clean</w:t>
            </w:r>
          </w:p>
        </w:tc>
        <w:tc>
          <w:tcPr>
            <w:tcW w:type="dxa" w:w="3264"/>
            <w:vAlign w:val="center"/>
          </w:tcPr>
          <w:p>
            <w:r>
              <w:t>Aprobada</w:t>
            </w:r>
          </w:p>
        </w:tc>
      </w:tr>
      <w:tr>
        <w:tc>
          <w:tcPr>
            <w:tcW w:type="dxa" w:w="3264"/>
            <w:vAlign w:val="center"/>
          </w:tcPr>
          <w:p>
            <w:r>
              <w:t>ADR-002</w:t>
            </w:r>
          </w:p>
        </w:tc>
        <w:tc>
          <w:tcPr>
            <w:tcW w:type="dxa" w:w="3264"/>
            <w:vAlign w:val="center"/>
          </w:tcPr>
          <w:p>
            <w:r>
              <w:t>Symfony Twig y REST comparten aplicación y casos de uso</w:t>
            </w:r>
          </w:p>
        </w:tc>
        <w:tc>
          <w:tcPr>
            <w:tcW w:type="dxa" w:w="3264"/>
            <w:vAlign w:val="center"/>
          </w:tcPr>
          <w:p>
            <w:r>
              <w:t>Aprobada</w:t>
            </w:r>
          </w:p>
        </w:tc>
      </w:tr>
      <w:tr>
        <w:tc>
          <w:tcPr>
            <w:tcW w:type="dxa" w:w="3264"/>
            <w:vAlign w:val="center"/>
          </w:tcPr>
          <w:p>
            <w:r>
              <w:t>ADR-003</w:t>
            </w:r>
          </w:p>
        </w:tc>
        <w:tc>
          <w:tcPr>
            <w:tcW w:type="dxa" w:w="3264"/>
            <w:vAlign w:val="center"/>
          </w:tcPr>
          <w:p>
            <w:r>
              <w:t>MySQL compartido y aislamiento por FiscalEntity</w:t>
            </w:r>
          </w:p>
        </w:tc>
        <w:tc>
          <w:tcPr>
            <w:tcW w:type="dxa" w:w="3264"/>
            <w:vAlign w:val="center"/>
          </w:tcPr>
          <w:p>
            <w:r>
              <w:t>Aprobada</w:t>
            </w:r>
          </w:p>
        </w:tc>
      </w:tr>
      <w:tr>
        <w:tc>
          <w:tcPr>
            <w:tcW w:type="dxa" w:w="3264"/>
            <w:vAlign w:val="center"/>
          </w:tcPr>
          <w:p>
            <w:r>
              <w:t>ADR-004</w:t>
            </w:r>
          </w:p>
        </w:tc>
        <w:tc>
          <w:tcPr>
            <w:tcW w:type="dxa" w:w="3264"/>
            <w:vAlign w:val="center"/>
          </w:tcPr>
          <w:p>
            <w:r>
              <w:t>Flutter feature-first / Riverpod / GoRouter / Dio</w:t>
            </w:r>
          </w:p>
        </w:tc>
        <w:tc>
          <w:tcPr>
            <w:tcW w:type="dxa" w:w="3264"/>
            <w:vAlign w:val="center"/>
          </w:tcPr>
          <w:p>
            <w:r>
              <w:t>Aprobada</w:t>
            </w:r>
          </w:p>
        </w:tc>
      </w:tr>
      <w:tr>
        <w:tc>
          <w:tcPr>
            <w:tcW w:type="dxa" w:w="3264"/>
            <w:vAlign w:val="center"/>
          </w:tcPr>
          <w:p>
            <w:r>
              <w:t>ADR-005</w:t>
            </w:r>
          </w:p>
        </w:tc>
        <w:tc>
          <w:tcPr>
            <w:tcW w:type="dxa" w:w="3264"/>
            <w:vAlign w:val="center"/>
          </w:tcPr>
          <w:p>
            <w:r>
              <w:t>S3 privado + workers Messenger/Redis</w:t>
            </w:r>
          </w:p>
        </w:tc>
        <w:tc>
          <w:tcPr>
            <w:tcW w:type="dxa" w:w="3264"/>
            <w:vAlign w:val="center"/>
          </w:tcPr>
          <w:p>
            <w:r>
              <w:t>Aprobada</w:t>
            </w:r>
          </w:p>
        </w:tc>
      </w:tr>
      <w:tr>
        <w:tc>
          <w:tcPr>
            <w:tcW w:type="dxa" w:w="3264"/>
            <w:vAlign w:val="center"/>
          </w:tcPr>
          <w:p>
            <w:r>
              <w:t>ADR-006</w:t>
            </w:r>
          </w:p>
        </w:tc>
        <w:tc>
          <w:tcPr>
            <w:tcW w:type="dxa" w:w="3264"/>
            <w:vAlign w:val="center"/>
          </w:tcPr>
          <w:p>
            <w:r>
              <w:t>Reglas fiscales deterministas y versionadas</w:t>
            </w:r>
          </w:p>
        </w:tc>
        <w:tc>
          <w:tcPr>
            <w:tcW w:type="dxa" w:w="3264"/>
            <w:vAlign w:val="center"/>
          </w:tcPr>
          <w:p>
            <w:r>
              <w:t>Aprobada</w:t>
            </w:r>
          </w:p>
        </w:tc>
      </w:tr>
      <w:tr>
        <w:tc>
          <w:tcPr>
            <w:tcW w:type="dxa" w:w="3264"/>
            <w:vAlign w:val="center"/>
          </w:tcPr>
          <w:p>
            <w:r>
              <w:t>ADR-007</w:t>
            </w:r>
          </w:p>
        </w:tc>
        <w:tc>
          <w:tcPr>
            <w:tcW w:type="dxa" w:w="3264"/>
            <w:vAlign w:val="center"/>
          </w:tcPr>
          <w:p>
            <w:r>
              <w:t>Monorepositorio, ramas develop y main protegida</w:t>
            </w:r>
          </w:p>
        </w:tc>
        <w:tc>
          <w:tcPr>
            <w:tcW w:type="dxa" w:w="3264"/>
            <w:vAlign w:val="center"/>
          </w:tcPr>
          <w:p>
            <w:r>
              <w:t>Aprobada</w:t>
            </w:r>
          </w:p>
        </w:tc>
      </w:tr>
      <w:tr>
        <w:tc>
          <w:tcPr>
            <w:tcW w:type="dxa" w:w="3264"/>
            <w:vAlign w:val="center"/>
          </w:tcPr>
          <w:p>
            <w:r>
              <w:t>ADR-008</w:t>
            </w:r>
          </w:p>
        </w:tc>
        <w:tc>
          <w:tcPr>
            <w:tcW w:type="dxa" w:w="3264"/>
            <w:vAlign w:val="center"/>
          </w:tcPr>
          <w:p>
            <w:r>
              <w:t>ChatGPT Plus y Cursor Pro para desarrollo asistido</w:t>
            </w:r>
          </w:p>
        </w:tc>
        <w:tc>
          <w:tcPr>
            <w:tcW w:type="dxa" w:w="3264"/>
            <w:vAlign w:val="center"/>
          </w:tcPr>
          <w:p>
            <w:r>
              <w:t>Aprobada</w:t>
            </w:r>
          </w:p>
        </w:tc>
      </w:tr>
      <w:tr>
        <w:tc>
          <w:tcPr>
            <w:tcW w:type="dxa" w:w="3264"/>
          </w:tcPr>
          <w:p>
            <w:r>
              <w:t>ADR-009</w:t>
            </w:r>
          </w:p>
        </w:tc>
        <w:tc>
          <w:tcPr>
            <w:tcW w:type="dxa" w:w="3264"/>
          </w:tcPr>
          <w:p>
            <w:r>
              <w:t>Entrega Android inicial con VS Code y cadena Android; iOS en roadmap con Mac/Xcode</w:t>
            </w:r>
          </w:p>
        </w:tc>
        <w:tc>
          <w:tcPr>
            <w:tcW w:type="dxa" w:w="3264"/>
          </w:tcPr>
          <w:p>
            <w:r>
              <w:t>Aprobada por decisión del responsable; sustituye el calendario móvil simultáneo y precisa ADR-008</w:t>
            </w:r>
          </w:p>
        </w:tc>
      </w:tr>
    </w:tbl>
    <w:p>
      <w:pPr>
        <w:pStyle w:val="Heading1"/>
      </w:pPr>
      <w:r>
        <w:rPr>
          <w:color w:val="000000"/>
        </w:rPr>
        <w:t>14.2 Riesgos de arquitectura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</w:tcPr>
          <w:p>
            <w:r>
              <w:t>Riesgo</w:t>
            </w:r>
          </w:p>
        </w:tc>
        <w:tc>
          <w:tcPr>
            <w:tcW w:type="dxa" w:w="4896"/>
            <w:vAlign w:val="center"/>
          </w:tcPr>
          <w:p>
            <w:r>
              <w:t>Mitigación</w:t>
            </w:r>
          </w:p>
        </w:tc>
      </w:tr>
      <w:tr>
        <w:tc>
          <w:tcPr>
            <w:tcW w:type="dxa" w:w="4896"/>
            <w:vAlign w:val="center"/>
          </w:tcPr>
          <w:p>
            <w:r>
              <w:t>Aislamiento multi-tenant defectuoso</w:t>
            </w:r>
          </w:p>
        </w:tc>
        <w:tc>
          <w:tcPr>
            <w:tcW w:type="dxa" w:w="4896"/>
            <w:vAlign w:val="center"/>
          </w:tcPr>
          <w:p>
            <w:r>
              <w:t>Políticas centrales, repositorios filtrados, pruebas cruzadas y auditoría</w:t>
            </w:r>
          </w:p>
        </w:tc>
      </w:tr>
      <w:tr>
        <w:tc>
          <w:tcPr>
            <w:tcW w:type="dxa" w:w="4896"/>
            <w:vAlign w:val="center"/>
          </w:tcPr>
          <w:p>
            <w:r>
              <w:t>Complejidad fiscal y normativa cambiante</w:t>
            </w:r>
          </w:p>
        </w:tc>
        <w:tc>
          <w:tcPr>
            <w:tcW w:type="dxa" w:w="4896"/>
            <w:vAlign w:val="center"/>
          </w:tcPr>
          <w:p>
            <w:r>
              <w:t>Elegibilidad, versionado, validación profesional y cobertura gradual</w:t>
            </w:r>
          </w:p>
        </w:tc>
      </w:tr>
      <w:tr>
        <w:tc>
          <w:tcPr>
            <w:tcW w:type="dxa" w:w="4896"/>
            <w:vAlign w:val="center"/>
          </w:tcPr>
          <w:p>
            <w:r>
              <w:t>Coste/errores del proveedor IA</w:t>
            </w:r>
          </w:p>
        </w:tc>
        <w:tc>
          <w:tcPr>
            <w:tcW w:type="dxa" w:w="4896"/>
            <w:vAlign w:val="center"/>
          </w:tcPr>
          <w:p>
            <w:r>
              <w:t>Interfaz intercambiable, cuotas, observabilidad, revisión humana</w:t>
            </w:r>
          </w:p>
        </w:tc>
      </w:tr>
      <w:tr>
        <w:tc>
          <w:tcPr>
            <w:tcW w:type="dxa" w:w="4896"/>
            <w:vAlign w:val="center"/>
          </w:tcPr>
          <w:p>
            <w:r>
              <w:t>Pérdida de datos</w:t>
            </w:r>
          </w:p>
        </w:tc>
        <w:tc>
          <w:tcPr>
            <w:tcW w:type="dxa" w:w="4896"/>
            <w:vAlign w:val="center"/>
          </w:tcPr>
          <w:p>
            <w:r>
              <w:t>Copias externas, versionado objetos, pruebas restore, futura PITR</w:t>
            </w:r>
          </w:p>
        </w:tc>
      </w:tr>
      <w:tr>
        <w:tc>
          <w:tcPr>
            <w:tcW w:type="dxa" w:w="4896"/>
            <w:vAlign w:val="center"/>
          </w:tcPr>
          <w:p>
            <w:r>
              <w:t>Bloqueo por entorno móvil iOS</w:t>
            </w:r>
          </w:p>
        </w:tc>
        <w:tc>
          <w:tcPr>
            <w:tcW w:type="dxa" w:w="4896"/>
            <w:vAlign w:val="center"/>
          </w:tcPr>
          <w:p>
            <w:r>
              <w:t>iOS en roadmap; prever acceso a Mac, Xcode, simulador, firma y membresía Apple Developer para distribución</w:t>
            </w:r>
          </w:p>
        </w:tc>
      </w:tr>
      <w:tr>
        <w:tc>
          <w:tcPr>
            <w:tcW w:type="dxa" w:w="4896"/>
            <w:vAlign w:val="center"/>
          </w:tcPr>
          <w:p>
            <w:r>
              <w:t>Deuda de modularización</w:t>
            </w:r>
          </w:p>
        </w:tc>
        <w:tc>
          <w:tcPr>
            <w:tcW w:type="dxa" w:w="4896"/>
            <w:vAlign w:val="center"/>
          </w:tcPr>
          <w:p>
            <w:r>
              <w:t>Reglas de dependencias y ADR; revisión de PR</w:t>
            </w:r>
          </w:p>
        </w:tc>
      </w:tr>
      <w:tr>
        <w:tc>
          <w:tcPr>
            <w:tcW w:type="dxa" w:w="4896"/>
            <w:vAlign w:val="center"/>
          </w:tcPr>
          <w:p>
            <w:r>
              <w:t>Desfase OpenAPI/app</w:t>
            </w:r>
          </w:p>
        </w:tc>
        <w:tc>
          <w:tcPr>
            <w:tcW w:type="dxa" w:w="4896"/>
            <w:vAlign w:val="center"/>
          </w:tcPr>
          <w:p>
            <w:r>
              <w:t>Contrato versionado, CI y pruebas de compatibilidad</w:t>
            </w:r>
          </w:p>
        </w:tc>
      </w:tr>
    </w:tbl>
    <w:p>
      <w:pPr>
        <w:pStyle w:val="Heading1"/>
      </w:pPr>
      <w:r>
        <w:rPr>
          <w:color w:val="000000"/>
        </w:rPr>
        <w:t>14.3 Asuntos para DOC-06 y E0</w:t>
      </w:r>
    </w:p>
    <w:p>
      <w:pPr>
        <w:pStyle w:val="ListBullet"/>
      </w:pPr>
      <w:r>
        <w:t>Esquema físico MySQL completo: columnas, constraints, índices y migraciones iniciales.</w:t>
      </w:r>
    </w:p>
    <w:p>
      <w:pPr>
        <w:pStyle w:val="ListBullet"/>
      </w:pPr>
      <w:r>
        <w:t>Catálogo OpenAPI 3.1 completo: esquemas, estados, seguridad, paginación y ejemplos.</w:t>
      </w:r>
    </w:p>
    <w:p>
      <w:pPr>
        <w:pStyle w:val="ListBullet"/>
      </w:pPr>
      <w:r>
        <w:t>Definición exacta de eventos, idempotencia, outbox y consistencia transaccional.</w:t>
      </w:r>
    </w:p>
    <w:p>
      <w:pPr>
        <w:pStyle w:val="ListBullet"/>
      </w:pPr>
      <w:r>
        <w:t>Selección de proveedor IA externo mediante evaluación contractual y técnica cuando corresponda.</w:t>
      </w:r>
    </w:p>
    <w:p>
      <w:pPr>
        <w:pStyle w:val="ListBullet"/>
      </w:pPr>
      <w:r>
        <w:t>Selección operativa de hosting, correo, push, observabilidad y almacenamiento concreto.</w:t>
      </w:r>
    </w:p>
    <w:p>
      <w:pPr>
        <w:pStyle w:val="ListBullet"/>
      </w:pPr>
      <w:r>
        <w:t>Parámetros definitivos del cierre fiscal, fórmulas y cobertura verificada de modelos 130/303/420.</w:t>
      </w:r>
    </w:p>
    <w:p>
      <w:pPr>
        <w:pStyle w:val="ListBullet"/>
      </w:pPr>
      <w:r>
        <w:t>Aprobación del corpus de pruebas fiscales y documentales y datos sintéticos de demostración.</w:t>
      </w:r>
    </w:p>
    <w:p>
      <w:pPr>
        <w:pStyle w:val="Heading1"/>
      </w:pPr>
      <w:r>
        <w:rPr>
          <w:color w:val="000000"/>
        </w:rPr>
        <w:t>Anexo A. Flujos de referencia</w:t>
      </w:r>
    </w:p>
    <w:p>
      <w:pPr>
        <w:pStyle w:val="Heading2"/>
      </w:pPr>
      <w:r>
        <w:rPr>
          <w:color w:val="000000"/>
        </w:rPr>
        <w:t>A.1 Ticket móvil hasta gasto confirmado</w:t>
      </w:r>
    </w:p>
    <w:p>
      <w:pPr>
        <w:pStyle w:val="CodeSpec"/>
      </w:pPr>
      <w:r>
        <w:t>Flutter captura -&gt; documento privado -&gt; evento Messenger -&gt; proveedor IA</w:t>
      </w:r>
    </w:p>
    <w:p>
      <w:pPr>
        <w:pStyle w:val="CodeSpec"/>
      </w:pPr>
      <w:r>
        <w:t>-&gt; resultado estructurado -&gt; validaciones y aviso -&gt; revisión humana</w:t>
      </w:r>
    </w:p>
    <w:p>
      <w:pPr>
        <w:pStyle w:val="CodeSpec"/>
      </w:pPr>
      <w:r>
        <w:t>-&gt; Expense confirmado -&gt; TaxRecalculationRequested -&gt; dashboard</w:t>
      </w:r>
    </w:p>
    <w:p>
      <w:pPr>
        <w:pStyle w:val="Heading2"/>
      </w:pPr>
      <w:r>
        <w:rPr>
          <w:color w:val="000000"/>
        </w:rPr>
        <w:t>A.2 Revisión por asesoría</w:t>
      </w:r>
    </w:p>
    <w:p>
      <w:pPr>
        <w:pStyle w:val="CodeSpec"/>
      </w:pPr>
      <w:r>
        <w:t>AdvisoryEmployee -&gt; sesión + rol + permiso -&gt; vínculo FiscalEntity</w:t>
      </w:r>
    </w:p>
    <w:p>
      <w:pPr>
        <w:pStyle w:val="CodeSpec"/>
      </w:pPr>
      <w:r>
        <w:t>-&gt; listado pendientes filtrado -&gt; visor original + datos -&gt; observaciones</w:t>
      </w:r>
    </w:p>
    <w:p>
      <w:pPr>
        <w:pStyle w:val="CodeSpec"/>
      </w:pPr>
      <w:r>
        <w:t>-&gt; corrección/validación -&gt; auditoría -&gt; notificación al autónomo</w:t>
      </w:r>
    </w:p>
    <w:p>
      <w:pPr>
        <w:pStyle w:val="Heading2"/>
      </w:pPr>
      <w:r>
        <w:rPr>
          <w:color w:val="000000"/>
        </w:rPr>
        <w:t>A.3 Cierre fiscal</w:t>
      </w:r>
    </w:p>
    <w:p>
      <w:pPr>
        <w:pStyle w:val="CodeSpec"/>
      </w:pPr>
      <w:r>
        <w:t>Configuración fiscal vigente + datos confirmados + ajustes</w:t>
      </w:r>
    </w:p>
    <w:p>
      <w:pPr>
        <w:pStyle w:val="CodeSpec"/>
      </w:pPr>
      <w:r>
        <w:t>-&gt; elegibilidad -&gt; motor de reglas versionado -&gt; snapshot de cálculo</w:t>
      </w:r>
    </w:p>
    <w:p>
      <w:pPr>
        <w:pStyle w:val="CodeSpec"/>
      </w:pPr>
      <w:r>
        <w:t>-&gt; revisión -&gt; cierre periodo -&gt; restricciones de edición -&gt; exportación</w:t>
      </w:r>
    </w:p>
    <w:p>
      <w:pPr>
        <w:pStyle w:val="Heading1"/>
      </w:pPr>
      <w:r>
        <w:rPr>
          <w:color w:val="000000"/>
        </w:rPr>
        <w:t>Anexo B. Trazabilidad hacia DOC-04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</w:tcPr>
          <w:p>
            <w:r>
              <w:t>Ámbito funcional DOC-04</w:t>
            </w:r>
          </w:p>
        </w:tc>
        <w:tc>
          <w:tcPr>
            <w:tcW w:type="dxa" w:w="4896"/>
            <w:vAlign w:val="center"/>
          </w:tcPr>
          <w:p>
            <w:r>
              <w:t>Módulos / secciones DOC-05</w:t>
            </w:r>
          </w:p>
        </w:tc>
      </w:tr>
      <w:tr>
        <w:tc>
          <w:tcPr>
            <w:tcW w:type="dxa" w:w="4896"/>
            <w:vAlign w:val="center"/>
          </w:tcPr>
          <w:p>
            <w:r>
              <w:t>Identidad y entidades</w:t>
            </w:r>
          </w:p>
        </w:tc>
        <w:tc>
          <w:tcPr>
            <w:tcW w:type="dxa" w:w="4896"/>
            <w:vAlign w:val="center"/>
          </w:tcPr>
          <w:p>
            <w:r>
              <w:t>Identity, Organization, AccessControl; apartados 4–6</w:t>
            </w:r>
          </w:p>
        </w:tc>
      </w:tr>
      <w:tr>
        <w:tc>
          <w:tcPr>
            <w:tcW w:type="dxa" w:w="4896"/>
            <w:vAlign w:val="center"/>
          </w:tcPr>
          <w:p>
            <w:r>
              <w:t>Asesoría y colaboración</w:t>
            </w:r>
          </w:p>
        </w:tc>
        <w:tc>
          <w:tcPr>
            <w:tcW w:type="dxa" w:w="4896"/>
            <w:vAlign w:val="center"/>
          </w:tcPr>
          <w:p>
            <w:r>
              <w:t>Collaboration y permisos; apartados 3–5, 7</w:t>
            </w:r>
          </w:p>
        </w:tc>
      </w:tr>
      <w:tr>
        <w:tc>
          <w:tcPr>
            <w:tcW w:type="dxa" w:w="4896"/>
            <w:vAlign w:val="center"/>
          </w:tcPr>
          <w:p>
            <w:r>
              <w:t>Ingresos, gastos, contactos</w:t>
            </w:r>
          </w:p>
        </w:tc>
        <w:tc>
          <w:tcPr>
            <w:tcW w:type="dxa" w:w="4896"/>
            <w:vAlign w:val="center"/>
          </w:tcPr>
          <w:p>
            <w:r>
              <w:t>Contacts, Income, Expense; apartados 3–4, 6–8</w:t>
            </w:r>
          </w:p>
        </w:tc>
      </w:tr>
      <w:tr>
        <w:tc>
          <w:tcPr>
            <w:tcW w:type="dxa" w:w="4896"/>
            <w:vAlign w:val="center"/>
          </w:tcPr>
          <w:p>
            <w:r>
              <w:t>Gestión documental</w:t>
            </w:r>
          </w:p>
        </w:tc>
        <w:tc>
          <w:tcPr>
            <w:tcW w:type="dxa" w:w="4896"/>
            <w:vAlign w:val="center"/>
          </w:tcPr>
          <w:p>
            <w:r>
              <w:t>Document; apartados 4, 8–9</w:t>
            </w:r>
          </w:p>
        </w:tc>
      </w:tr>
      <w:tr>
        <w:tc>
          <w:tcPr>
            <w:tcW w:type="dxa" w:w="4896"/>
            <w:vAlign w:val="center"/>
          </w:tcPr>
          <w:p>
            <w:r>
              <w:t>IA de documentos</w:t>
            </w:r>
          </w:p>
        </w:tc>
        <w:tc>
          <w:tcPr>
            <w:tcW w:type="dxa" w:w="4896"/>
            <w:vAlign w:val="center"/>
          </w:tcPr>
          <w:p>
            <w:r>
              <w:t>AIProcessing; apartados 9, 11</w:t>
            </w:r>
          </w:p>
        </w:tc>
      </w:tr>
      <w:tr>
        <w:tc>
          <w:tcPr>
            <w:tcW w:type="dxa" w:w="4896"/>
            <w:vAlign w:val="center"/>
          </w:tcPr>
          <w:p>
            <w:r>
              <w:t>Categorías</w:t>
            </w:r>
          </w:p>
        </w:tc>
        <w:tc>
          <w:tcPr>
            <w:tcW w:type="dxa" w:w="4896"/>
            <w:vAlign w:val="center"/>
          </w:tcPr>
          <w:p>
            <w:r>
              <w:t>Category; apartados 3–4</w:t>
            </w:r>
          </w:p>
        </w:tc>
      </w:tr>
      <w:tr>
        <w:tc>
          <w:tcPr>
            <w:tcW w:type="dxa" w:w="4896"/>
            <w:vAlign w:val="center"/>
          </w:tcPr>
          <w:p>
            <w:r>
              <w:t>Fiscalidad</w:t>
            </w:r>
          </w:p>
        </w:tc>
        <w:tc>
          <w:tcPr>
            <w:tcW w:type="dxa" w:w="4896"/>
            <w:vAlign w:val="center"/>
          </w:tcPr>
          <w:p>
            <w:r>
              <w:t>Tax; apartados 4, 10</w:t>
            </w:r>
          </w:p>
        </w:tc>
      </w:tr>
      <w:tr>
        <w:tc>
          <w:tcPr>
            <w:tcW w:type="dxa" w:w="4896"/>
            <w:vAlign w:val="center"/>
          </w:tcPr>
          <w:p>
            <w:r>
              <w:t>Dashboards y exportación</w:t>
            </w:r>
          </w:p>
        </w:tc>
        <w:tc>
          <w:tcPr>
            <w:tcW w:type="dxa" w:w="4896"/>
            <w:vAlign w:val="center"/>
          </w:tcPr>
          <w:p>
            <w:r>
              <w:t>Reporting, Export; apartados 7, 10</w:t>
            </w:r>
          </w:p>
        </w:tc>
      </w:tr>
      <w:tr>
        <w:tc>
          <w:tcPr>
            <w:tcW w:type="dxa" w:w="4896"/>
            <w:vAlign w:val="center"/>
          </w:tcPr>
          <w:p>
            <w:r>
              <w:t>Notificaciones</w:t>
            </w:r>
          </w:p>
        </w:tc>
        <w:tc>
          <w:tcPr>
            <w:tcW w:type="dxa" w:w="4896"/>
            <w:vAlign w:val="center"/>
          </w:tcPr>
          <w:p>
            <w:r>
              <w:t>Notification, Messenger; apartados 8, 11</w:t>
            </w:r>
          </w:p>
        </w:tc>
      </w:tr>
      <w:tr>
        <w:tc>
          <w:tcPr>
            <w:tcW w:type="dxa" w:w="4896"/>
            <w:vAlign w:val="center"/>
          </w:tcPr>
          <w:p>
            <w:r>
              <w:t>Suscripción y límites</w:t>
            </w:r>
          </w:p>
        </w:tc>
        <w:tc>
          <w:tcPr>
            <w:tcW w:type="dxa" w:w="4896"/>
            <w:vAlign w:val="center"/>
          </w:tcPr>
          <w:p>
            <w:r>
              <w:t>Subscription, UsageRecord; apartados 3–4, 9</w:t>
            </w:r>
          </w:p>
        </w:tc>
      </w:tr>
      <w:tr>
        <w:tc>
          <w:tcPr>
            <w:tcW w:type="dxa" w:w="4896"/>
            <w:vAlign w:val="center"/>
          </w:tcPr>
          <w:p>
            <w:r>
              <w:t>Seguridad y auditoría</w:t>
            </w:r>
          </w:p>
        </w:tc>
        <w:tc>
          <w:tcPr>
            <w:tcW w:type="dxa" w:w="4896"/>
            <w:vAlign w:val="center"/>
          </w:tcPr>
          <w:p>
            <w:r>
              <w:t>AccessControl, Audit; apartados 5, 11–12</w:t>
            </w:r>
          </w:p>
        </w:tc>
      </w:tr>
    </w:tbl>
    <w:p>
      <w:r>
        <w:t>Fin del documento DOC-05. Cambios posteriores se registrarán mediante control de versiones y ADR. Los contratos de bajo nivel se definirán en DOC-06.</w:t>
      </w:r>
    </w:p>
    <w:p>
      <w:pPr>
        <w:pStyle w:val="Heading1"/>
      </w:pPr>
      <w:r>
        <w:rPr>
          <w:color w:val="000000"/>
        </w:rPr>
        <w:t>Registro de cambio de la versión 1 1</w:t>
      </w:r>
    </w:p>
    <w:p>
      <w:r>
        <w:t>18 de octubre de 2026 — ADR-009 — Decisión del responsable del TFM: entrega móvil inicial Android y definición del entorno de desarrollo. La revisión actualiza alcance de plataforma, herramientas, planificación, pruebas y evidencias; no acredita implementación ni ejecución de pruebas.</w:t>
      </w:r>
    </w:p>
    <w:p>
      <w:r>
        <w:t>Flutter mantiene su arquitectura multiplataforma y una base de código común. La primera entrega móvil del TFM se desarrolla, prueba y entrega para Android; iOS queda en el roadmap y no es criterio de aceptación de esta entrega.</w:t>
      </w:r>
    </w:p>
    <w:p>
      <w:r>
        <w:t>Se conservan el monorepositorio, develop y main protegida, Symfony/Twig/API compartidos, Feature-First y MVVM con Riverpod, GoRouter y Dio, y los contratos y reglas funcionales aprobados. Se mantienen aislamiento por FiscalEntity, precisión decimal, fiscalidad determinista y confirmación humana de datos extraídos por IA. Este cambio no selecciona proveedor IA del producto ni modifica cuotas, permisos o cobertura tributaria.</w:t>
      </w:r>
    </w:p>
    <w:p>
      <w:pPr>
        <w:pStyle w:val="Heading1"/>
      </w:pPr>
      <w:r>
        <w:rPr>
          <w:color w:val="000000"/>
        </w:rPr>
        <w:t>ADR 009 Entrega Android y entorno de desarrollo móvil</w:t>
      </w:r>
    </w:p>
    <w:p>
      <w:r>
        <w:t>Estado: aceptada por la decisión expresada del responsable del proyecto. Fecha de registro: 18 de octubre de 2026. Contexto: concretar las herramientas necesarias antes de E0 y separar la capacidad multiplataforma de la primera entrega verificable.</w:t>
      </w:r>
    </w:p>
    <w:p>
      <w:r>
        <w:t>Decisión: Flutter mantiene su arquitectura multiplataforma y una base de código común. La primera entrega móvil del TFM se desarrolla, prueba y entrega para Android; iOS queda en el roadmap y no es criterio de aceptación de esta entrega. Visual Studio Code con extensiones Flutter y Dart será el editor habitual de la app. Se instalarán Flutter SDK y Dart, y Android Studio para gestionar Android SDK, SDK Manager, Device Manager, emuladores y build tools. La cadena Android incluirá un JDK compatible, Gradle Wrapper y Android Gradle Plugin compatibles con Flutter, y ADB de Platform Tools para detectar, instalar y depurar en dispositivos. Cursor Pro permanece como IDE asistido por IA para backend y como apoyo al código, refactorización y pruebas. ChatGPT Plus se mantiene para ideación, análisis, planificación y documentación. Visual Studio Code y Android Studio son herramientas de desarrollo y no se contabilizan por sí solas como intervenciones de IA.</w:t>
      </w:r>
    </w:p>
    <w:p>
      <w:r>
        <w:t>Consecuencias: Se documentarán compilaciones Android mediante flutter build apk --release y flutter build appbundle --release, con configuración de firma de publicación. El APK firmado permite instalación y demostración; el AAB firmado se prepara para distribución mediante Google Play, que no es obligatoria para superar el TFM. Keystore, contraseñas y archivos privados de firma quedarán fuera del repositorio y de las evidencias, con copia de recuperación y acceso controlado. La etapa iOS requerirá un Mac con macOS y Xcode compatibles, herramientas de línea de comandos y simulador iOS. Se validarán plugins, permisos, almacenamiento seguro y pruebas en esa plataforma. La distribución mediante TestFlight o App Store requerirá firma, certificados y perfiles de aprovisionamiento y una cuenta con membresía Apple Developer adecuada; no se confunde la ejecución en simulador con la distribución.</w:t>
      </w:r>
    </w:p>
    <w:p>
      <w:r>
        <w:t>Alternativas: se aplaza la entrega simultánea Android/iOS por la dependencia de un entorno Apple y validación específica. Android Studio se usa para la cadena Android; VS Code se adopta para edición Flutter. Se preserva una sola base Flutter y se revisará la compatibilidad de plugins antes de incorporar iOS.</w:t>
      </w:r>
    </w:p>
    <w:p>
      <w:r>
        <w:t>Trazabilidad: precisa ADR-004 y ADR-008 sin revocar la arquitectura Flutter ni la metodología asistida. Impacta DOC-01 a DOC-09, PLT-003 en E0, calidad y entrega en E9 y casos AND-ENV-01, AND-REL-01, AND-REL-02 e IOS-ROAD-01 de DOC-08. Criterio de cierre documental: referencias coherentes y alcance Android explícito; criterio técnico: evidencias reales de los ensayos previstos.</w:t>
      </w:r>
    </w:p>
    <w:p>
      <w:r>
        <w:t>Se conservan el monorepositorio, develop y main protegida, Symfony/Twig/API compartidos, Feature-First y MVVM con Riverpod, GoRouter y Dio, y los contratos y reglas funcionales aprobados. Se mantienen aislamiento por FiscalEntity, precisión decimal, fiscalidad determinista y confirmación humana de datos extraídos por IA. Este cambio no selecciona proveedor IA del producto ni modifica cuotas, permisos o cobertura tributaria.</w:t>
      </w:r>
    </w:p>
    <w:p>
      <w:pPr>
        <w:pStyle w:val="Heading1"/>
      </w:pPr>
      <w:r>
        <w:rPr>
          <w:color w:val="000000"/>
        </w:rPr>
        <w:t>Referencias para el entorno móvil</w:t>
      </w:r>
    </w:p>
    <w:p>
      <w:r>
        <w:t>https://docs.flutter.dev/tools/vs-code</w:t>
      </w:r>
    </w:p>
    <w:p>
      <w:r>
        <w:t>https://docs.flutter.dev/platform-integration/android/setup</w:t>
      </w:r>
    </w:p>
    <w:p>
      <w:r>
        <w:t>https://docs.flutter.dev/deployment/android</w:t>
      </w:r>
    </w:p>
    <w:p>
      <w:r>
        <w:t>https://docs.flutter.dev/platform-integration/ios/setup</w:t>
      </w:r>
    </w:p>
    <w:p>
      <w:r>
        <w:t>https://docs.flutter.dev/deployment/ios</w:t>
      </w:r>
    </w:p>
    <w:p>
      <w:r>
        <w:t>Documentación oficial Flutter consultada el 18 de octubre de 2026. Las versiones exactas y su compatibilidad se fijarán durante E0.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24" w:bottom="1037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DOC-05 · v1.0 · 17/10/2026   | 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TFM · SaaS de gestión fiscal y documental     |     DOC-05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2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pec">
    <w:name w:val="CodeSpec"/>
    <w:pPr>
      <w:spacing w:after="40"/>
    </w:pPr>
    <w:rPr>
      <w:rFonts w:ascii="Consolas" w:hAnsi="Consolas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DOC-05 — Arquitectura y especificación técnica</dc:title>
  <dc:subject>TFM SaaS de gestión fiscal y documental</dc:subject>
  <dc:creator>Proyecto TFM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