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DOC-07 | Planificación, backlog y criterios de aceptación</w:t>
      </w:r>
    </w:p>
    <w:p>
      <w:pPr>
        <w:pStyle w:val="Subtitle"/>
      </w:pPr>
      <w:r>
        <w:rPr>
          <w:color w:val="000000"/>
        </w:rPr>
        <w:t>TFM · SaaS de gestión fiscal y documental para autónomos y asesorías</w:t>
      </w:r>
    </w:p>
    <w:p>
      <w:r>
        <w:t>Versión 1.1 · 18 de octubre de 2026 · Estado: propuesta de planificación derivada de decisiones aprobadas</w:t>
      </w:r>
    </w:p>
    <w:p>
      <w:r>
        <w:t>Documento de referencia: DOC-01 a DOC-06. El backlog descompone requisitos aprobados; sus estimaciones y su partición en historias constituyen propuestas operativas revisables, no decisiones de alcance nuevas.</w:t>
      </w:r>
    </w:p>
    <w:p/>
    <w:p>
      <w:pPr>
        <w:pStyle w:val="Heading1"/>
      </w:pPr>
      <w:r>
        <w:rPr>
          <w:color w:val="000000"/>
        </w:rPr>
        <w:t>Ficha de control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925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Valor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Identificador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DOC-07</w:t>
            </w:r>
          </w:p>
        </w:tc>
      </w:tr>
      <w:tr>
        <w:tc>
          <w:tcPr>
            <w:tcW w:type="dxa" w:w="4925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Propósito</w:t>
            </w:r>
          </w:p>
        </w:tc>
        <w:tc>
          <w:tcPr>
            <w:tcW w:type="dxa" w:w="4925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Planificar la construcción del MVP y los controles de aceptación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Alcance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Entregas E0–E9, backlog funcional y técnico, dependencias, riesgos y evidencias de IA</w:t>
            </w:r>
          </w:p>
        </w:tc>
      </w:tr>
      <w:tr>
        <w:tc>
          <w:tcPr>
            <w:tcW w:type="dxa" w:w="4925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Repositorio</w:t>
            </w:r>
          </w:p>
        </w:tc>
        <w:tc>
          <w:tcPr>
            <w:tcW w:type="dxa" w:w="4925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Monorepositorio: backend/, mobile/, infrastructure/, docs/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Estrategia Git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feature/* → develop (PR); develop → main (PR aprobado para producción)</w:t>
            </w:r>
          </w:p>
        </w:tc>
      </w:tr>
      <w:tr>
        <w:tc>
          <w:tcPr>
            <w:tcW w:type="dxa" w:w="4925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IA para desarrollo</w:t>
            </w:r>
          </w:p>
        </w:tc>
        <w:tc>
          <w:tcPr>
            <w:tcW w:type="dxa" w:w="4925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ChatGPT Plus (análisis y documentación), Cursor Pro (IDE asistido por IA para backend y apoyo al código), VS Code Flutter/Dart (edición móvil) y Android Studio (SDK y emuladores)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IA en producto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Extracción documental con proveedor sustituible; selección de proveedor pendiente</w:t>
            </w:r>
          </w:p>
        </w:tc>
      </w:tr>
      <w:tr>
        <w:tc>
          <w:tcPr>
            <w:tcW w:type="dxa" w:w="4925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Responsabilidad</w:t>
            </w:r>
          </w:p>
        </w:tc>
        <w:tc>
          <w:tcPr>
            <w:tcW w:type="dxa" w:w="4925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La aceptación de cada incremento requiere revisión humana y pruebas</w:t>
            </w:r>
          </w:p>
        </w:tc>
      </w:tr>
    </w:tbl>
    <w:p>
      <w:pPr>
        <w:pStyle w:val="Heading1"/>
      </w:pPr>
      <w:r>
        <w:rPr>
          <w:color w:val="000000"/>
        </w:rPr>
        <w:t>1. Resumen ejecutivo</w:t>
      </w:r>
    </w:p>
    <w:p>
      <w:r>
        <w:t>La implantación se estructura en diez entregas progresivas, E0 a E9, comenzando por la base técnica y terminando con la verificación transversal del MVP. Se priorizan primero el aislamiento de datos y el control de acceso, después el registro económico y documental, seguido del procesamiento con IA y del cálculo fiscal determinista. La secuencia reduce riesgos y permite producir evidencias de desarrollo asistido por IA por incremento.</w:t>
      </w:r>
    </w:p>
    <w:p>
      <w:r>
        <w:t>No se establece una fecha de publicación comercial ni un calendario contractual. Los esfuerzos son estimaciones orientativas de trabajo activo para un desarrollador con conocimientos avanzados de Symfony y aprendizaje/práctica simultánea en Flutter; deberán calibrarse tras E0 y E1.</w:t>
      </w:r>
    </w:p>
    <w:p>
      <w:pPr>
        <w:pStyle w:val="Heading1"/>
      </w:pPr>
      <w:r>
        <w:rPr>
          <w:color w:val="000000"/>
        </w:rPr>
        <w:t>2. Principios de planificación</w:t>
      </w:r>
    </w:p>
    <w:p>
      <w:pPr>
        <w:pStyle w:val="ListBullet"/>
      </w:pPr>
      <w:r>
        <w:t>Contrato primero: cada historia enlaza a requisitos DOC-04 y decisiones técnicas DOC-05/06; OpenAPI evoluciona con los casos de uso.</w:t>
      </w:r>
    </w:p>
    <w:p>
      <w:pPr>
        <w:pStyle w:val="ListBullet"/>
      </w:pPr>
      <w:r>
        <w:t>Verticalidad: las entregas incorporan un recorrido verificable entre interfaz, aplicación, persistencia y pruebas cuando es posible.</w:t>
      </w:r>
    </w:p>
    <w:p>
      <w:pPr>
        <w:pStyle w:val="ListBullet"/>
      </w:pPr>
      <w:r>
        <w:t>Seguridad desde el inicio: todo acceso a datos fiscales exige tenant activo, pertenencia y permisos efectivos.</w:t>
      </w:r>
    </w:p>
    <w:p>
      <w:pPr>
        <w:pStyle w:val="ListBullet"/>
      </w:pPr>
      <w:r>
        <w:t>Fiscalidad y extracción con IA no se dan por válidas hasta superar pruebas específicas y revisión humana.</w:t>
      </w:r>
    </w:p>
    <w:p>
      <w:pPr>
        <w:pStyle w:val="ListBullet"/>
      </w:pPr>
      <w:r>
        <w:t>MVP cerrado: emisión de facturas, integración bancaria/contable, presentación electrónica y fiscalidad completa de todos los regímenes quedan fuera del alcance obligatorio.</w:t>
      </w:r>
    </w:p>
    <w:p>
      <w:pPr>
        <w:pStyle w:val="ListBullet"/>
      </w:pPr>
      <w:r>
        <w:t>Separación entre completado, demostrado y comercializable: superar pruebas de TFM no equivale a certificación o adecuación comercial.</w:t>
      </w:r>
    </w:p>
    <w:p>
      <w:pPr>
        <w:pStyle w:val="Heading1"/>
      </w:pPr>
      <w:r>
        <w:rPr>
          <w:color w:val="000000"/>
        </w:rPr>
        <w:t>3. Mapa de entregas E0–E9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62"/>
        <w:gridCol w:w="2462"/>
        <w:gridCol w:w="2462"/>
        <w:gridCol w:w="2462"/>
      </w:tblGrid>
      <w:tr>
        <w:tc>
          <w:tcPr>
            <w:tcW w:type="dxa" w:w="2462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Entrega</w:t>
            </w:r>
          </w:p>
        </w:tc>
        <w:tc>
          <w:tcPr>
            <w:tcW w:type="dxa" w:w="2462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Foco</w:t>
            </w:r>
          </w:p>
        </w:tc>
        <w:tc>
          <w:tcPr>
            <w:tcW w:type="dxa" w:w="2462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Salida verificable</w:t>
            </w:r>
          </w:p>
        </w:tc>
        <w:tc>
          <w:tcPr>
            <w:tcW w:type="dxa" w:w="2462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Dependencias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E0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Cimientos técnicos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Entorno reproducible y pipelines verdes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462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E1</w:t>
            </w:r>
          </w:p>
        </w:tc>
        <w:tc>
          <w:tcPr>
            <w:tcW w:type="dxa" w:w="2462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Identidad y entidades</w:t>
            </w:r>
          </w:p>
        </w:tc>
        <w:tc>
          <w:tcPr>
            <w:tcW w:type="dxa" w:w="2462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Usuario accede únicamente a sus entidades</w:t>
            </w:r>
          </w:p>
        </w:tc>
        <w:tc>
          <w:tcPr>
            <w:tcW w:type="dxa" w:w="2462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E0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E2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Asesorías y permisos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Un empleado opera solo sobre recursos autorizados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E1</w:t>
            </w:r>
          </w:p>
        </w:tc>
      </w:tr>
      <w:tr>
        <w:tc>
          <w:tcPr>
            <w:tcW w:type="dxa" w:w="2462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E3</w:t>
            </w:r>
          </w:p>
        </w:tc>
        <w:tc>
          <w:tcPr>
            <w:tcW w:type="dxa" w:w="2462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Ingresos y contactos</w:t>
            </w:r>
          </w:p>
        </w:tc>
        <w:tc>
          <w:tcPr>
            <w:tcW w:type="dxa" w:w="2462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Ingreso con cobros parciales y trazabilidad</w:t>
            </w:r>
          </w:p>
        </w:tc>
        <w:tc>
          <w:tcPr>
            <w:tcW w:type="dxa" w:w="2462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E1; E2 para vista asesoría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E4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Gastos y categorías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Registro y revisión del gasto con cuota/base consistentes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E1; E3 contactos</w:t>
            </w:r>
          </w:p>
        </w:tc>
      </w:tr>
      <w:tr>
        <w:tc>
          <w:tcPr>
            <w:tcW w:type="dxa" w:w="2462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E5</w:t>
            </w:r>
          </w:p>
        </w:tc>
        <w:tc>
          <w:tcPr>
            <w:tcW w:type="dxa" w:w="2462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Gestión documental</w:t>
            </w:r>
          </w:p>
        </w:tc>
        <w:tc>
          <w:tcPr>
            <w:tcW w:type="dxa" w:w="2462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Factura subida, vinculada y descargable con autorización</w:t>
            </w:r>
          </w:p>
        </w:tc>
        <w:tc>
          <w:tcPr>
            <w:tcW w:type="dxa" w:w="2462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E1; E3/E4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E6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Procesamiento IA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Imagen → borrador revisado → gasto confirmado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E5; E4; E2</w:t>
            </w:r>
          </w:p>
        </w:tc>
      </w:tr>
      <w:tr>
        <w:tc>
          <w:tcPr>
            <w:tcW w:type="dxa" w:w="2462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E7</w:t>
            </w:r>
          </w:p>
        </w:tc>
        <w:tc>
          <w:tcPr>
            <w:tcW w:type="dxa" w:w="2462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Motor fiscal</w:t>
            </w:r>
          </w:p>
        </w:tc>
        <w:tc>
          <w:tcPr>
            <w:tcW w:type="dxa" w:w="2462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Previsión reproducible o mensaje de no calculable</w:t>
            </w:r>
          </w:p>
        </w:tc>
        <w:tc>
          <w:tcPr>
            <w:tcW w:type="dxa" w:w="2462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E3; E4; E6 no imprescindible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E8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Explotación funcional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Informe y trimestre descargable; avisos auditables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E2–E7</w:t>
            </w:r>
          </w:p>
        </w:tc>
      </w:tr>
      <w:tr>
        <w:tc>
          <w:tcPr>
            <w:tcW w:type="dxa" w:w="2462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E9</w:t>
            </w:r>
          </w:p>
        </w:tc>
        <w:tc>
          <w:tcPr>
            <w:tcW w:type="dxa" w:w="2462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Cierre y validación</w:t>
            </w:r>
          </w:p>
        </w:tc>
        <w:tc>
          <w:tcPr>
            <w:tcW w:type="dxa" w:w="2462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Demo reproducible, regresión y defensa con evidencias</w:t>
            </w:r>
          </w:p>
        </w:tc>
        <w:tc>
          <w:tcPr>
            <w:tcW w:type="dxa" w:w="2462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E0–E8</w:t>
            </w:r>
          </w:p>
        </w:tc>
      </w:tr>
    </w:tbl>
    <w:p>
      <w:pPr>
        <w:pStyle w:val="Heading1"/>
      </w:pPr>
      <w:r>
        <w:rPr>
          <w:color w:val="000000"/>
        </w:rPr>
        <w:t>4. Backlog: criterio de lectura</w:t>
      </w:r>
    </w:p>
    <w:p>
      <w:r>
        <w:t>Prioridades: P0 = requisito imprescindible para un flujo MVP; P1 = incluido en el MVP aprobado, realizable dentro de la entrega o posterior antes del cierre; P2 = mejora adicional o fase comercial, excluida de aceptación mínima. Tamaños XS/S/M/L indican esfuerzo relativo, no horas comprometidas. “DOC-04” en la columna Traza indica una familia de requisitos cuyo identificador exacto se cotejará antes de crear la issue.</w:t>
      </w:r>
    </w:p>
    <w:p>
      <w:pPr>
        <w:pStyle w:val="Heading1"/>
      </w:pPr>
      <w:r>
        <w:rPr>
          <w:color w:val="000000"/>
        </w:rPr>
        <w:t>5. Backlog por entrega</w:t>
      </w:r>
    </w:p>
    <w:p>
      <w:pPr>
        <w:keepNext w:val="0"/>
      </w:pPr>
      <w:r>
        <w:t>Visual Studio Code con extensiones Flutter y Dart será el editor habitual de la app. Se instalarán Flutter SDK y Dart, y Android Studio para gestionar Android SDK, SDK Manager, Device Manager, emuladores y build tools. La cadena Android incluirá un JDK compatible, Gradle Wrapper y Android Gradle Plugin compatibles con Flutter, y ADB de Platform Tools para detectar, instalar y depurar en dispositivos. Cursor Pro permanece como IDE asistido por IA para backend y como apoyo al código, refactorización y pruebas. ChatGPT Plus se mantiene para ideación, análisis, planificación y documentación. Visual Studio Code y Android Studio son herramientas de desarrollo y no se contabilizan por sí solas como intervenciones de IA.</w:t>
      </w:r>
    </w:p>
    <w:p>
      <w:pPr>
        <w:pStyle w:val="Heading2"/>
      </w:pPr>
      <w:r>
        <w:rPr>
          <w:color w:val="000000"/>
        </w:rPr>
        <w:t>E0 — Cimientos técnicos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70"/>
        <w:gridCol w:w="1970"/>
        <w:gridCol w:w="1970"/>
        <w:gridCol w:w="1970"/>
        <w:gridCol w:w="1970"/>
      </w:tblGrid>
      <w:tr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Historia</w:t>
            </w:r>
          </w:p>
        </w:tc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Prio./tam.</w:t>
            </w:r>
          </w:p>
        </w:tc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Criterio de aceptación verificable</w:t>
            </w:r>
          </w:p>
        </w:tc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Traza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PLT-001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Inicializar monorepo y estándares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P0 / S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Estructura backend/mobile/infrastructure/docs; README arranque; AGENTS.md raíz; ramas documentadas.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DOC-05 § monorepo, DOC-03</w:t>
            </w:r>
          </w:p>
        </w:tc>
      </w:tr>
      <w:tr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PLT-002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Entorno Symfony reproducible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P0 / M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Docker Compose ejecuta Nginx, PHP-FPM, MySQL y Redis; healthchecks; migración de ejemplo reversible.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DOC-05 infraestructura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PLT-003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Esqueleto Flutter y navegación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P0 / S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Configura VS Code Flutter/Dart y cadena Android; flutter doctor sin bloqueos Android, app en emulador y dispositivo; navegación protegida placeholder y análisis Dart sin errores.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DOC-05 Flutter</w:t>
            </w:r>
          </w:p>
        </w:tc>
      </w:tr>
      <w:tr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PLT-004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CI y políticas de ramas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P0 / M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PR a develop ejecuta PHPStan/PHPUnit y análisis/test Flutter; main bloquea push directo; producción exige PR.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DOC-03, decisión Git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PLT-005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OpenAPI y logging base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P0 / S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Ruta /api/v1/health; error problem+json; requestId; esquema OpenAPI validado en CI.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DOC-06 API</w:t>
            </w:r>
          </w:p>
        </w:tc>
      </w:tr>
      <w:tr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PLT-006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Storage local y secretos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P0 / S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S3 compatible local privado; .env.example sin secretos; descarga directa no pública.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DOC-05 Documental</w:t>
            </w:r>
          </w:p>
        </w:tc>
      </w:tr>
    </w:tbl>
    <w:p>
      <w:r>
        <w:t>Puerta de salida: Entorno reproducible y pipelines verdes.</w:t>
      </w:r>
    </w:p>
    <w:p>
      <w:pPr>
        <w:keepNext w:val="0"/>
      </w:pPr>
      <w:r>
        <w:t>E0 incorporará instalación y registro de versiones Flutter/Dart, VS Code y extensiones, Android Studio, SDK/API, build tools, JDK, Gradle Wrapper y Android Gradle Plugin. Se comprobarán flutter doctor -v, licencias Android, flutter devices y adb devices; se arrancará un emulador y se ejecutará la app en un dispositivo Android físico. Se registrarán incidencias, versiones y evidencias sanitizadas, sin declarar comprobaciones aún no ejecutadas.</w:t>
      </w:r>
    </w:p>
    <w:p>
      <w:pPr>
        <w:pStyle w:val="Heading2"/>
      </w:pPr>
      <w:r>
        <w:rPr>
          <w:color w:val="000000"/>
        </w:rPr>
        <w:t>E1 — Identidad y entidades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70"/>
        <w:gridCol w:w="1970"/>
        <w:gridCol w:w="1970"/>
        <w:gridCol w:w="1970"/>
        <w:gridCol w:w="1970"/>
      </w:tblGrid>
      <w:tr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Historia</w:t>
            </w:r>
          </w:p>
        </w:tc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Prio./tam.</w:t>
            </w:r>
          </w:p>
        </w:tc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Criterio de aceptación verificable</w:t>
            </w:r>
          </w:p>
        </w:tc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Traza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IDN-001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Registro y verificación de correo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P0 / M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Alta con email; enlace de confirmación único/temporal; no puede operar sin validar correo.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IDN-001</w:t>
            </w:r>
          </w:p>
        </w:tc>
      </w:tr>
      <w:tr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IDN-002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Inicio y recuperación de sesión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P0 / M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Web: cookie segura y caducidad por inactividad 120 min; móvil: refresh rotatorio; recuperación 30 min.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IDN / DOC-05 15.4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IDN-003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2FA TOTP por rol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P0 / M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Obligatorio asesor y superadmin; opcional autónomo; códigos recuperación un solo uso.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IDN-003</w:t>
            </w:r>
          </w:p>
        </w:tc>
      </w:tr>
      <w:tr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ORG-001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Crear y seleccionar entidad fiscal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P0 / M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Usuario puede pertenecer a varias entidades; entidad activa válida obligatoria en operaciones tenant.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DOC-04 identidad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SEC-001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Aislamiento multiempresa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P0 / L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Tests negativos prueban que UUID ajeno nunca permite acceder, modificar o exportar datos.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SEC-001</w:t>
            </w:r>
          </w:p>
        </w:tc>
      </w:tr>
      <w:tr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IDN-004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Revocación y sesiones activas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P1 / M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Cierre remoto invalida refresh; cambio permisos efectivo al siguiente acceso; reutilización detectada.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DOC-04 autenticación</w:t>
            </w:r>
          </w:p>
        </w:tc>
      </w:tr>
    </w:tbl>
    <w:p>
      <w:r>
        <w:t>Puerta de salida: Usuario accede únicamente a sus entidades.</w:t>
      </w:r>
    </w:p>
    <w:p>
      <w:pPr>
        <w:pStyle w:val="Heading2"/>
      </w:pPr>
      <w:r>
        <w:rPr>
          <w:color w:val="000000"/>
        </w:rPr>
        <w:t>E2 — Asesorías y permisos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70"/>
        <w:gridCol w:w="1970"/>
        <w:gridCol w:w="1970"/>
        <w:gridCol w:w="1970"/>
        <w:gridCol w:w="1970"/>
      </w:tblGrid>
      <w:tr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Historia</w:t>
            </w:r>
          </w:p>
        </w:tc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Prio./tam.</w:t>
            </w:r>
          </w:p>
        </w:tc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Criterio de aceptación verificable</w:t>
            </w:r>
          </w:p>
        </w:tc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Traza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ADV-001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Alta de asesoría y empleados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P0 / M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Admin invita empleados; 2FA exigido; pertenencia a asesoría comprobada en servidor.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ADV-001</w:t>
            </w:r>
          </w:p>
        </w:tc>
      </w:tr>
      <w:tr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ADV-002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Invitaciones asesoría–autónomo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P0 / M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Invitación en ambos sentidos, caduca a siete días; una asesoría activa por entidad.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DOC-04 colaboración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ADV-003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Permisos individuales por empleado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P0 / L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Sin concesión explícita de función, empleado no la usa; permisos efectivos desde backend.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ADV-003</w:t>
            </w:r>
          </w:p>
        </w:tc>
      </w:tr>
      <w:tr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ADV-004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Desvincular y conservar datos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P0 / M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El autónomo revoca asesoría sin autorización de esta; conserva documentos y auditoría.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ADV-004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ADV-005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Bandeja de trabajo de asesoría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P1 / M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Lista de entidades vinculadas con filtros, estados y tareas pendientes.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DOC-04 asesoría</w:t>
            </w:r>
          </w:p>
        </w:tc>
      </w:tr>
    </w:tbl>
    <w:p>
      <w:r>
        <w:t>Puerta de salida: Un empleado opera solo sobre recursos autorizados.</w:t>
      </w:r>
    </w:p>
    <w:p>
      <w:pPr>
        <w:pStyle w:val="Heading2"/>
      </w:pPr>
      <w:r>
        <w:rPr>
          <w:color w:val="000000"/>
        </w:rPr>
        <w:t>E3 — Ingresos y contactos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70"/>
        <w:gridCol w:w="1970"/>
        <w:gridCol w:w="1970"/>
        <w:gridCol w:w="1970"/>
        <w:gridCol w:w="1970"/>
      </w:tblGrid>
      <w:tr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Historia</w:t>
            </w:r>
          </w:p>
        </w:tc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Prio./tam.</w:t>
            </w:r>
          </w:p>
        </w:tc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Criterio de aceptación verificable</w:t>
            </w:r>
          </w:p>
        </w:tc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Traza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CNT-001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Directorio de contactos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P0 / M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Contacto cliente y proveedor; aislamiento fiscal; campos y NIF validados según reglas aplicables.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DOC-04 contactos</w:t>
            </w:r>
          </w:p>
        </w:tc>
      </w:tr>
      <w:tr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INC-001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Alta de ingreso y líneas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P0 / L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Ingreso multirenglón con bases/cuotas/retenciones; snapshots de contacto; decimales exactos.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INC-001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INC-002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Cobros parciales y estados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P0 / M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Cobros no exceden saldo sin rectificación; estados pendientes/parciales/pagados consistentes.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DOC-04 ingresos</w:t>
            </w:r>
          </w:p>
        </w:tc>
      </w:tr>
      <w:tr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INC-003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Adjuntos, anulaciones y cierres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P0 / M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Adjunto autorizado; histórico conserva acciones; periodo cerrado restringe edición.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DOC-04 ingresos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INC-004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Búsqueda e importación CSV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P1 / M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Importación informa errores por fila; duplicados detectados; operaciones autorizadas.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DOC-04 ingresos</w:t>
            </w:r>
          </w:p>
        </w:tc>
      </w:tr>
    </w:tbl>
    <w:p>
      <w:r>
        <w:t>Puerta de salida: Ingreso con cobros parciales y trazabilidad.</w:t>
      </w:r>
    </w:p>
    <w:p>
      <w:pPr>
        <w:pStyle w:val="Heading2"/>
      </w:pPr>
      <w:r>
        <w:rPr>
          <w:color w:val="000000"/>
        </w:rPr>
        <w:t>E4 — Gastos y categorías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70"/>
        <w:gridCol w:w="1970"/>
        <w:gridCol w:w="1970"/>
        <w:gridCol w:w="1970"/>
        <w:gridCol w:w="1970"/>
      </w:tblGrid>
      <w:tr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Historia</w:t>
            </w:r>
          </w:p>
        </w:tc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Prio./tam.</w:t>
            </w:r>
          </w:p>
        </w:tc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Criterio de aceptación verificable</w:t>
            </w:r>
          </w:p>
        </w:tc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Traza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CAT-001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Categorías y subcategorías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P0 / M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Defecto + personalizadas, un nivel; categorías usadas se desactivan, no borran.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DOC-04 categorías</w:t>
            </w:r>
          </w:p>
        </w:tc>
      </w:tr>
      <w:tr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EXP-001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Registro manual de gastos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P0 / L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Factura/ticket/otro gasto con múltiples líneas y método pago; validación servidor.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EXP-001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EXP-002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Deducibilidad coste e impuesto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P0 / M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Campos independientes con razones; liquidación usa sus reglas fiscales, no inferencia IA.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EXP-004</w:t>
            </w:r>
          </w:p>
        </w:tc>
      </w:tr>
      <w:tr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EXP-003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Pagos y estados de revisión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P0 / M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Pendiente/parcial/pagado; borrador/revisado/rechazado/anulado; estados válidos.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EXP-003 / EXP-005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EXP-004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Duplicados y recurrentes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P1 / M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Alertas de duplicados sin supresión automática; repetitivos crean propuestas no confirmadas.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EXP-006 / EXP-007</w:t>
            </w:r>
          </w:p>
        </w:tc>
      </w:tr>
      <w:tr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EXP-005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CSV y auditoría de gasto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P1 / M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CSV con resultado por fila; historial de ediciones y bloqueo por cierre.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EXP-008 / EXP-009</w:t>
            </w:r>
          </w:p>
        </w:tc>
      </w:tr>
    </w:tbl>
    <w:p>
      <w:r>
        <w:t>Puerta de salida: Registro y revisión del gasto con cuota/base consistentes.</w:t>
      </w:r>
    </w:p>
    <w:p>
      <w:pPr>
        <w:pStyle w:val="Heading2"/>
      </w:pPr>
      <w:r>
        <w:rPr>
          <w:color w:val="000000"/>
        </w:rPr>
        <w:t>E5 — Gestión documental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70"/>
        <w:gridCol w:w="1970"/>
        <w:gridCol w:w="1970"/>
        <w:gridCol w:w="1970"/>
        <w:gridCol w:w="1970"/>
      </w:tblGrid>
      <w:tr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Historia</w:t>
            </w:r>
          </w:p>
        </w:tc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Prio./tam.</w:t>
            </w:r>
          </w:p>
        </w:tc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Criterio de aceptación verificable</w:t>
            </w:r>
          </w:p>
        </w:tc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Traza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DOC-001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Subida segura de archivos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P0 / L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PDF/JPEG/PNG/WEBP ≤20 MB, MIME validado, malware controlado; bytes fuera MySQL.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DOC-001</w:t>
            </w:r>
          </w:p>
        </w:tc>
      </w:tr>
      <w:tr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DOC-002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Almacenamiento y asociaciones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P0 / M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Objeto privado; documento asociable a múltiples registros sin duplicar bytes.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DOC-04 documentos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DOC-003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Bandeja, búsqueda y visor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P0 / L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Sin clasificar, año/trimestre/tipo, visor con permiso y descarga caducable.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DOC-04 documentos</w:t>
            </w:r>
          </w:p>
        </w:tc>
      </w:tr>
      <w:tr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DOC-004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Cuotas, retención y exportación ZIP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P1 / M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5 GB por entidad; cuotas fiables; ZIP solo elementos autorizados, borrado respetando retención.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DOC-007</w:t>
            </w:r>
          </w:p>
        </w:tc>
      </w:tr>
    </w:tbl>
    <w:p>
      <w:r>
        <w:t>Puerta de salida: Factura subida, vinculada y descargable con autorización.</w:t>
      </w:r>
    </w:p>
    <w:p>
      <w:pPr>
        <w:pStyle w:val="Heading2"/>
      </w:pPr>
      <w:r>
        <w:rPr>
          <w:color w:val="000000"/>
        </w:rPr>
        <w:t>E6 — Procesamiento IA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70"/>
        <w:gridCol w:w="1970"/>
        <w:gridCol w:w="1970"/>
        <w:gridCol w:w="1970"/>
        <w:gridCol w:w="1970"/>
      </w:tblGrid>
      <w:tr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Historia</w:t>
            </w:r>
          </w:p>
        </w:tc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Prio./tam.</w:t>
            </w:r>
          </w:p>
        </w:tc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Criterio de aceptación verificable</w:t>
            </w:r>
          </w:p>
        </w:tc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Traza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AIP-001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Pipeline asíncrono de IA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P0 / L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Messenger: pending/processing/completed/needs_review/failed; 3 reintentos transitorios.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AIP-001</w:t>
            </w:r>
          </w:p>
        </w:tc>
      </w:tr>
      <w:tr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AIP-002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Interfaz proveedor + contrato JSON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P0 / L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Extractor reemplazable; resultado versionado; sin acceso del dominio al SDK del proveedor.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DOC-05 IA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AIP-003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Validación y detección anomalías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P0 / L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Totales/fechas/coherencia/duplicados; error de extracción no registra gasto fiscalmente.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AIP-003</w:t>
            </w:r>
          </w:p>
        </w:tc>
      </w:tr>
      <w:tr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AIP-004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Revisión humana y correcciones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P0 / L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Datos IA editables; solo confirmación explícita crea asiento de gasto/ingreso.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DOC-04 IA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AIP-005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Cuota de análisis y costes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P0 / M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50 análisis/mes/entidad; consumo auditable; errores internos manejados conforme política.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AIP-007</w:t>
            </w:r>
          </w:p>
        </w:tc>
      </w:tr>
      <w:tr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AIP-006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Banco de calidad con muestras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P0 / M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Resultados frente a verdad de referencia; métricas por formato e impuesto, sin datos reales expuestos.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DOC-05 evaluación IA</w:t>
            </w:r>
          </w:p>
        </w:tc>
      </w:tr>
    </w:tbl>
    <w:p>
      <w:r>
        <w:t>Puerta de salida: Imagen → borrador revisado → gasto confirmado.</w:t>
      </w:r>
    </w:p>
    <w:p>
      <w:pPr>
        <w:pStyle w:val="Heading2"/>
      </w:pPr>
      <w:r>
        <w:rPr>
          <w:color w:val="000000"/>
        </w:rPr>
        <w:t>E7 — Motor fiscal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70"/>
        <w:gridCol w:w="1970"/>
        <w:gridCol w:w="1970"/>
        <w:gridCol w:w="1970"/>
        <w:gridCol w:w="1970"/>
      </w:tblGrid>
      <w:tr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Historia</w:t>
            </w:r>
          </w:p>
        </w:tc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Prio./tam.</w:t>
            </w:r>
          </w:p>
        </w:tc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Criterio de aceptación verificable</w:t>
            </w:r>
          </w:p>
        </w:tc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Traza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TAX-001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Perfil y obligaciones versionados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P0 / L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Territorio, actividad, régimen y periodos de vigencia; historial inmutable.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TAX-001</w:t>
            </w:r>
          </w:p>
        </w:tc>
      </w:tr>
      <w:tr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TAX-002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Elegibilidad y no calculable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P0 / M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Operaciones no soportadas producen resultado explícito no calculable; sin importe engañoso.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DOC-04 fiscal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TAX-003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Modelo 303 general soportado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P0 / L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Cálculo de supuestos soportados con bases/cuotas/ajustes; test comparativo revisado.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DOC-04 fiscal</w:t>
            </w:r>
          </w:p>
        </w:tc>
      </w:tr>
      <w:tr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TAX-004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Modelo 420 general soportado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P0 / L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Tratamientos IGIC soportados, validación del régimen y pruebas de cuotas.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DOC-04 fiscal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TAX-005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Modelo 130 directo soportado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P0 / L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Cálculo acumulado, retenciones y pagos previos según reglas vigentes implementadas.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DOC-04 fiscal</w:t>
            </w:r>
          </w:p>
        </w:tc>
      </w:tr>
      <w:tr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TAX-006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Ajustes y declaraciones registradas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P0 / M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Ajustes con motivo y auditoría; presentado registra justificante sin enviar a AEAT/ATC.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DOC-04 fiscal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TAX-007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Snapshots y eventos recálculo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P0 / L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Resultado reproducible con versión; cambio a periodo anterior invalida periodos dependientes.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TAX-008</w:t>
            </w:r>
          </w:p>
        </w:tc>
      </w:tr>
    </w:tbl>
    <w:p>
      <w:r>
        <w:t>Puerta de salida: Previsión reproducible o mensaje de no calculable.</w:t>
      </w:r>
    </w:p>
    <w:p>
      <w:pPr>
        <w:pStyle w:val="Heading2"/>
      </w:pPr>
      <w:r>
        <w:rPr>
          <w:color w:val="000000"/>
        </w:rPr>
        <w:t>E8 — Explotación funcional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70"/>
        <w:gridCol w:w="1970"/>
        <w:gridCol w:w="1970"/>
        <w:gridCol w:w="1970"/>
        <w:gridCol w:w="1970"/>
      </w:tblGrid>
      <w:tr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Historia</w:t>
            </w:r>
          </w:p>
        </w:tc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Prio./tam.</w:t>
            </w:r>
          </w:p>
        </w:tc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Criterio de aceptación verificable</w:t>
            </w:r>
          </w:p>
        </w:tc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Traza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RPT-001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Dashboard autónomo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P0 / M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KPIs por periodo, fecha de actualización y avisos de cálculo provisional.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RPT-001</w:t>
            </w:r>
          </w:p>
        </w:tc>
      </w:tr>
      <w:tr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RPT-002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Panel de asesoría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P0 / M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Pendientes por cliente y filtros; operaciones respetan permisos individuales.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DOC-04 reportes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NOT-001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Notificaciones internas/email/push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P1 / L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Preferencias por canal; alertas de revisión, vencimientos y seguridad; deduplicación.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DOC-04 notificaciones</w:t>
            </w:r>
          </w:p>
        </w:tc>
      </w:tr>
      <w:tr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XPT-001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Exportaciones CSV/XLSX/PDF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P0 / L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Campos, filtros, fechas y permisos correctos; tipos numéricos exportados sin pérdida.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XPT-001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XPT-002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Paquete documental trimestral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P0 / M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ZIP contiene documentos, índice y reportes autorizados; enlace firmado caducable.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DOC-04 exportación</w:t>
            </w:r>
          </w:p>
        </w:tc>
      </w:tr>
      <w:tr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RPT-003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Informes adicionales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P1 / M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Gráficas Chart.js agregadas backend y comparación periodos, con verificación de totales.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DOC-04 informes</w:t>
            </w:r>
          </w:p>
        </w:tc>
      </w:tr>
    </w:tbl>
    <w:p>
      <w:r>
        <w:t>Puerta de salida: Informe y trimestre descargable; avisos auditables.</w:t>
      </w:r>
    </w:p>
    <w:p>
      <w:pPr>
        <w:pStyle w:val="Heading2"/>
      </w:pPr>
      <w:r>
        <w:rPr>
          <w:color w:val="000000"/>
        </w:rPr>
        <w:t>E9 — Cierre y validación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70"/>
        <w:gridCol w:w="1970"/>
        <w:gridCol w:w="1970"/>
        <w:gridCol w:w="1970"/>
        <w:gridCol w:w="1970"/>
      </w:tblGrid>
      <w:tr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Historia</w:t>
            </w:r>
          </w:p>
        </w:tc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Prio./tam.</w:t>
            </w:r>
          </w:p>
        </w:tc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Criterio de aceptación verificable</w:t>
            </w:r>
          </w:p>
        </w:tc>
        <w:tc>
          <w:tcPr>
            <w:tcW w:type="dxa" w:w="1970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Traza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SUB-001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Planes y límites operativos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P0 / M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Plan determina cuotas IA/almacenamiento y estado suscripción; no cobros externos en MVP.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DOC-04 suscripciones</w:t>
            </w:r>
          </w:p>
        </w:tc>
      </w:tr>
      <w:tr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ADM-001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Administración y auditoría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P0 / M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Superadmin gestiona parámetros sin acceso libre a documentos fiscales; acceso excepcional auditado.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DOC-04 auditoría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QA-001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Batería E2E de 14 escenarios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P0 / L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Escenarios DOC-04 automatizados/manuales con evidencias, incluyendo rechazo de tenant ajeno.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DOC-04 §8</w:t>
            </w:r>
          </w:p>
        </w:tc>
      </w:tr>
      <w:tr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QA-002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Verificación de seguridad y recuperación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P0 / L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Pruebas OWASP, copia/restauración, roles, sesiones, errores e incidentes.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DOC-05 seguridad</w:t>
            </w:r>
          </w:p>
        </w:tc>
      </w:tr>
      <w:tr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QA-003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Demo, documentación y defensa TFM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P0 / L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Dataset ficticio, guion, instrucciones arranque, evidencia IA, limitaciones y reproducibilidad.</w:t>
            </w:r>
          </w:p>
        </w:tc>
        <w:tc>
          <w:tcPr>
            <w:tcW w:type="dxa" w:w="1970"/>
            <w:vAlign w:val="center"/>
          </w:tcPr>
          <w:p>
            <w:pPr>
              <w:spacing w:after="40"/>
            </w:pPr>
            <w:r>
              <w:rPr>
                <w:sz w:val="16"/>
              </w:rPr>
              <w:t>DOC-01–DOC-06</w:t>
            </w:r>
          </w:p>
        </w:tc>
      </w:tr>
      <w:tr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QA-004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Accesibilidad, rendimiento y correcciones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P1 / L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Navegación teclado, pruebas móvil/web y objetivos de carga verificados con metodología documentada.</w:t>
            </w:r>
          </w:p>
        </w:tc>
        <w:tc>
          <w:tcPr>
            <w:tcW w:type="dxa" w:w="1970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DOC-05 calidad</w:t>
            </w:r>
          </w:p>
        </w:tc>
      </w:tr>
    </w:tbl>
    <w:p>
      <w:r>
        <w:t>Puerta de salida: Demo reproducible, regresión y defensa con evidencias.</w:t>
      </w:r>
    </w:p>
    <w:p>
      <w:pPr>
        <w:pStyle w:val="Heading1"/>
      </w:pPr>
      <w:r>
        <w:rPr>
          <w:color w:val="000000"/>
        </w:rPr>
        <w:t>6. Dependencias, camino crítico y paralelización</w:t>
      </w:r>
    </w:p>
    <w:p>
      <w:r>
        <w:t>Ruta principal de dependencias: E0 → E1 → E3/E4 → E5 → E6 → E8 → E9. El motor fiscal E7 depende de ingresos y gastos estructurados, pero no de tener IA operativa: debe poder calcular utilizando datos manuales y puede desarrollarse paralelamente a E5/E6 después de E4. La colaboración E2 puede avanzar en paralelo con E3 tras estabilizar E1; E8 requiere la integración de ambas líneas.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Relación</w:t>
            </w:r>
          </w:p>
        </w:tc>
        <w:tc>
          <w:tcPr>
            <w:tcW w:type="dxa" w:w="3283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Motivo</w:t>
            </w:r>
          </w:p>
        </w:tc>
        <w:tc>
          <w:tcPr>
            <w:tcW w:type="dxa" w:w="3283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Control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E0 → E1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Base de identidad, seguridad y contrato API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Pipeline y migraciones aprobadas</w:t>
            </w:r>
          </w:p>
        </w:tc>
      </w:tr>
      <w:tr>
        <w:tc>
          <w:tcPr>
            <w:tcW w:type="dxa" w:w="3283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E1 → E2/E3</w:t>
            </w:r>
          </w:p>
        </w:tc>
        <w:tc>
          <w:tcPr>
            <w:tcW w:type="dxa" w:w="3283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Tenant fiscal y autenticación listos</w:t>
            </w:r>
          </w:p>
        </w:tc>
        <w:tc>
          <w:tcPr>
            <w:tcW w:type="dxa" w:w="3283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Tests de permisos negativos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E3 → E4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Contactos/snapshots y movimientos definidos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Pruebas de integridad monetaria</w:t>
            </w:r>
          </w:p>
        </w:tc>
      </w:tr>
      <w:tr>
        <w:tc>
          <w:tcPr>
            <w:tcW w:type="dxa" w:w="3283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E4/E5 → E6</w:t>
            </w:r>
          </w:p>
        </w:tc>
        <w:tc>
          <w:tcPr>
            <w:tcW w:type="dxa" w:w="3283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Gasto y almacenamiento para registrar extracción</w:t>
            </w:r>
          </w:p>
        </w:tc>
        <w:tc>
          <w:tcPr>
            <w:tcW w:type="dxa" w:w="3283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Contrato JSON + revisión humana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E3/E4 → E7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Movimientos confirmados y perfil fiscal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Fixtures por modelo/régimen</w:t>
            </w:r>
          </w:p>
        </w:tc>
      </w:tr>
      <w:tr>
        <w:tc>
          <w:tcPr>
            <w:tcW w:type="dxa" w:w="3283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E2/E5/E7 → E8</w:t>
            </w:r>
          </w:p>
        </w:tc>
        <w:tc>
          <w:tcPr>
            <w:tcW w:type="dxa" w:w="3283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Bandejas, indicadores y exportaciones</w:t>
            </w:r>
          </w:p>
        </w:tc>
        <w:tc>
          <w:tcPr>
            <w:tcW w:type="dxa" w:w="3283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Filtros y agregados con tenant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Todas → E9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Aceptación integral de MVP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14 flujos completos y auditoría</w:t>
            </w:r>
          </w:p>
        </w:tc>
      </w:tr>
    </w:tbl>
    <w:p>
      <w:pPr>
        <w:keepNext w:val="0"/>
      </w:pPr>
      <w:r>
        <w:t>E0 añade configuración de la cadena Android, emulador/dispositivo y un ensayo de compilación; E9 verifica APK/AAB firmados y la demostración Android. Las estimaciones existentes siguen siendo orientativas y se recalibrarán tras E0 al medir el trabajo adicional. La adquisición o disponibilidad de Mac y la distribución iOS serán un hito posterior, sin fecha comprometida ni bloqueo de E0–E9.</w:t>
      </w:r>
    </w:p>
    <w:p>
      <w:pPr>
        <w:pStyle w:val="Heading1"/>
      </w:pPr>
      <w:r>
        <w:rPr>
          <w:color w:val="000000"/>
        </w:rPr>
        <w:t>7. Plan temporal orientativo y capacidad</w:t>
      </w:r>
    </w:p>
    <w:p>
      <w:r>
        <w:t>Las siguientes cifras son ventanas de esfuerzo orientativas, NO compromisos de calendario. Incluyen implementación y pruebas ordinarias pero no incidencias mayores, revisiones académicas ni investigación normativa externa. Tomarlas como referencia inicial de un único desarrollador y recalibrarlas tras las primeras entregas.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Entrega</w:t>
            </w:r>
          </w:p>
        </w:tc>
        <w:tc>
          <w:tcPr>
            <w:tcW w:type="dxa" w:w="4925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Esfuerzo orientativo (semanas de trabajo activo)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E0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1–2</w:t>
            </w:r>
          </w:p>
        </w:tc>
      </w:tr>
      <w:tr>
        <w:tc>
          <w:tcPr>
            <w:tcW w:type="dxa" w:w="4925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E1</w:t>
            </w:r>
          </w:p>
        </w:tc>
        <w:tc>
          <w:tcPr>
            <w:tcW w:type="dxa" w:w="4925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2–4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E2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2–3</w:t>
            </w:r>
          </w:p>
        </w:tc>
      </w:tr>
      <w:tr>
        <w:tc>
          <w:tcPr>
            <w:tcW w:type="dxa" w:w="4925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E3</w:t>
            </w:r>
          </w:p>
        </w:tc>
        <w:tc>
          <w:tcPr>
            <w:tcW w:type="dxa" w:w="4925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2–4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E4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2–4</w:t>
            </w:r>
          </w:p>
        </w:tc>
      </w:tr>
      <w:tr>
        <w:tc>
          <w:tcPr>
            <w:tcW w:type="dxa" w:w="4925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E5</w:t>
            </w:r>
          </w:p>
        </w:tc>
        <w:tc>
          <w:tcPr>
            <w:tcW w:type="dxa" w:w="4925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2–3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E6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3–5</w:t>
            </w:r>
          </w:p>
        </w:tc>
      </w:tr>
      <w:tr>
        <w:tc>
          <w:tcPr>
            <w:tcW w:type="dxa" w:w="4925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E7</w:t>
            </w:r>
          </w:p>
        </w:tc>
        <w:tc>
          <w:tcPr>
            <w:tcW w:type="dxa" w:w="4925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4–7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E8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3–5</w:t>
            </w:r>
          </w:p>
        </w:tc>
      </w:tr>
      <w:tr>
        <w:tc>
          <w:tcPr>
            <w:tcW w:type="dxa" w:w="4925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E9</w:t>
            </w:r>
          </w:p>
        </w:tc>
        <w:tc>
          <w:tcPr>
            <w:tcW w:type="dxa" w:w="4925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2–4</w:t>
            </w:r>
          </w:p>
        </w:tc>
      </w:tr>
    </w:tbl>
    <w:p>
      <w:r>
        <w:t>La suma secuencial de ventanas no representa fecha de fin real: algunas tareas se solapan, y la dedicación al TFM puede no ser completa. El calendario concreto se fijará con fecha límite académica y disponibilidad semanal confirmadas.</w:t>
      </w:r>
    </w:p>
    <w:p>
      <w:pPr>
        <w:pStyle w:val="Heading1"/>
      </w:pPr>
      <w:r>
        <w:rPr>
          <w:color w:val="000000"/>
        </w:rPr>
        <w:t>8. Criterios de aceptación transversales (Definition of Done)</w:t>
      </w:r>
    </w:p>
    <w:p>
      <w:pPr>
        <w:pStyle w:val="ListBullet"/>
      </w:pPr>
      <w:r>
        <w:t>La historia enlaza a requisito de DOC-04, decisión de DOC-05/06 e issue/PR de GitHub.</w:t>
      </w:r>
    </w:p>
    <w:p>
      <w:pPr>
        <w:pStyle w:val="ListBullet"/>
      </w:pPr>
      <w:r>
        <w:t>Cambios implementados bajo la estructura modular y con responsabilidades separadas.</w:t>
      </w:r>
    </w:p>
    <w:p>
      <w:pPr>
        <w:pStyle w:val="ListBullet"/>
      </w:pPr>
      <w:r>
        <w:t>Pruebas unitarias, funcionales y/o E2E apropiadas pasan en CI; excepciones documentadas.</w:t>
      </w:r>
    </w:p>
    <w:p>
      <w:pPr>
        <w:pStyle w:val="ListBullet"/>
      </w:pPr>
      <w:r>
        <w:t>Autorización y aislamiento por fiscalEntity verificados con casos positivos y negativos.</w:t>
      </w:r>
    </w:p>
    <w:p>
      <w:pPr>
        <w:pStyle w:val="ListBullet"/>
      </w:pPr>
      <w:r>
        <w:t>Migraciones Doctrine, OpenAPI y esquemas JSON actualizados si aplica.</w:t>
      </w:r>
    </w:p>
    <w:p>
      <w:pPr>
        <w:pStyle w:val="ListBullet"/>
      </w:pPr>
      <w:r>
        <w:t>Validación de errores, idempotencia/concurrencia y auditoría cuando corresponda.</w:t>
      </w:r>
    </w:p>
    <w:p>
      <w:pPr>
        <w:pStyle w:val="ListBullet"/>
      </w:pPr>
      <w:r>
        <w:t>Interfaz web y móvil muestran errores recuperables y estados pendientes correctamente.</w:t>
      </w:r>
    </w:p>
    <w:p>
      <w:pPr>
        <w:pStyle w:val="ListBullet"/>
      </w:pPr>
      <w:r>
        <w:t>La contribución de IA está registrada, revisada y no ha introducido secretos en prompts o commits.</w:t>
      </w:r>
    </w:p>
    <w:p>
      <w:pPr>
        <w:pStyle w:val="ListBullet"/>
      </w:pPr>
      <w:r>
        <w:t>PR revisada, integrada en develop; main solo recibe PR de publicación aprobadas.</w:t>
      </w:r>
    </w:p>
    <w:p>
      <w:pPr>
        <w:pStyle w:val="ListBullet"/>
      </w:pPr>
      <w:r>
        <w:t>Demostración con datos ficticios y evidencia reproducible archivada.</w:t>
      </w:r>
    </w:p>
    <w:p>
      <w:pPr>
        <w:keepNext w:val="0"/>
      </w:pPr>
      <w:r>
        <w:t>La aceptación móvil se ejecutará en Android: flutter analyze, pruebas unitarias y widget, integración y flujos E2E, cámara y permisos concedidos/denegados, importación documental, autenticación y renovación de tokens, aislamiento y limpieza de caché, borradores offline y reconexión, notificaciones y enlaces cuando estén implementados. Se comprobarán instalación y arranque del APK firmado y validación del AAB generado; los resultados se vincularán al commit, versión Android, dispositivo y configuración de compilación. Se documentarán compilaciones Android mediante flutter build apk --release y flutter build appbundle --release, con configuración de firma de publicación. El APK firmado permite instalación y demostración; el AAB firmado se prepara para distribución mediante Google Play, que no es obligatoria para superar el TFM. Keystore, contraseñas y archivos privados de firma quedarán fuera del repositorio y de las evidencias, con copia de recuperación y acceso controlado.</w:t>
      </w:r>
    </w:p>
    <w:p>
      <w:pPr>
        <w:pStyle w:val="Heading1"/>
      </w:pPr>
      <w:r>
        <w:rPr>
          <w:color w:val="000000"/>
        </w:rPr>
        <w:t>9. Matriz de pruebas y aceptación de demostración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283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Escenario de aceptación</w:t>
            </w:r>
          </w:p>
        </w:tc>
        <w:tc>
          <w:tcPr>
            <w:tcW w:type="dxa" w:w="3283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Entregas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T-01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Registro, verificación y activación 2FA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E1</w:t>
            </w:r>
          </w:p>
        </w:tc>
      </w:tr>
      <w:tr>
        <w:tc>
          <w:tcPr>
            <w:tcW w:type="dxa" w:w="3283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T-02</w:t>
            </w:r>
          </w:p>
        </w:tc>
        <w:tc>
          <w:tcPr>
            <w:tcW w:type="dxa" w:w="3283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Usuario con dos entidades y sesiones web/móvil</w:t>
            </w:r>
          </w:p>
        </w:tc>
        <w:tc>
          <w:tcPr>
            <w:tcW w:type="dxa" w:w="3283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E1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T-03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Ataque con UUID de otra entidad denegado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E1/E9</w:t>
            </w:r>
          </w:p>
        </w:tc>
      </w:tr>
      <w:tr>
        <w:tc>
          <w:tcPr>
            <w:tcW w:type="dxa" w:w="3283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T-04</w:t>
            </w:r>
          </w:p>
        </w:tc>
        <w:tc>
          <w:tcPr>
            <w:tcW w:type="dxa" w:w="3283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Vincular y desvincular asesoría</w:t>
            </w:r>
          </w:p>
        </w:tc>
        <w:tc>
          <w:tcPr>
            <w:tcW w:type="dxa" w:w="3283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E2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T-05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Empleado asesoría con permisos limitados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E2</w:t>
            </w:r>
          </w:p>
        </w:tc>
      </w:tr>
      <w:tr>
        <w:tc>
          <w:tcPr>
            <w:tcW w:type="dxa" w:w="3283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T-06</w:t>
            </w:r>
          </w:p>
        </w:tc>
        <w:tc>
          <w:tcPr>
            <w:tcW w:type="dxa" w:w="3283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Ingreso con líneas, impuestos y cobro parcial</w:t>
            </w:r>
          </w:p>
        </w:tc>
        <w:tc>
          <w:tcPr>
            <w:tcW w:type="dxa" w:w="3283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E3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T-07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Gasto con pago parcial y deducibilidad separada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E4</w:t>
            </w:r>
          </w:p>
        </w:tc>
      </w:tr>
      <w:tr>
        <w:tc>
          <w:tcPr>
            <w:tcW w:type="dxa" w:w="3283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T-08</w:t>
            </w:r>
          </w:p>
        </w:tc>
        <w:tc>
          <w:tcPr>
            <w:tcW w:type="dxa" w:w="3283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Documento multipágina y aislamiento de descarga</w:t>
            </w:r>
          </w:p>
        </w:tc>
        <w:tc>
          <w:tcPr>
            <w:tcW w:type="dxa" w:w="3283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E5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T-09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Ticket fotografiado → IA → corrección → confirmación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E6</w:t>
            </w:r>
          </w:p>
        </w:tc>
      </w:tr>
      <w:tr>
        <w:tc>
          <w:tcPr>
            <w:tcW w:type="dxa" w:w="3283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T-10</w:t>
            </w:r>
          </w:p>
        </w:tc>
        <w:tc>
          <w:tcPr>
            <w:tcW w:type="dxa" w:w="3283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Error IA, reintento y control de cuota</w:t>
            </w:r>
          </w:p>
        </w:tc>
        <w:tc>
          <w:tcPr>
            <w:tcW w:type="dxa" w:w="3283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E6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T-11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Modelo 130 calculable y no calculable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E7</w:t>
            </w:r>
          </w:p>
        </w:tc>
      </w:tr>
      <w:tr>
        <w:tc>
          <w:tcPr>
            <w:tcW w:type="dxa" w:w="3283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T-12</w:t>
            </w:r>
          </w:p>
        </w:tc>
        <w:tc>
          <w:tcPr>
            <w:tcW w:type="dxa" w:w="3283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Modelos 303 y 420 con periodos/regímenes soportados</w:t>
            </w:r>
          </w:p>
        </w:tc>
        <w:tc>
          <w:tcPr>
            <w:tcW w:type="dxa" w:w="3283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E7</w:t>
            </w:r>
          </w:p>
        </w:tc>
      </w:tr>
      <w:tr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T-13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Recalcular tras modificar trimestre anterior</w:t>
            </w:r>
          </w:p>
        </w:tc>
        <w:tc>
          <w:tcPr>
            <w:tcW w:type="dxa" w:w="3283"/>
            <w:vAlign w:val="center"/>
          </w:tcPr>
          <w:p>
            <w:pPr>
              <w:spacing w:after="40"/>
            </w:pPr>
            <w:r>
              <w:rPr>
                <w:sz w:val="16"/>
              </w:rPr>
              <w:t>E7</w:t>
            </w:r>
          </w:p>
        </w:tc>
      </w:tr>
      <w:tr>
        <w:tc>
          <w:tcPr>
            <w:tcW w:type="dxa" w:w="3283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T-14</w:t>
            </w:r>
          </w:p>
        </w:tc>
        <w:tc>
          <w:tcPr>
            <w:tcW w:type="dxa" w:w="3283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Dashboard, exportación trimestral y revisión asesoría</w:t>
            </w:r>
          </w:p>
        </w:tc>
        <w:tc>
          <w:tcPr>
            <w:tcW w:type="dxa" w:w="3283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E8/E9</w:t>
            </w:r>
          </w:p>
        </w:tc>
      </w:tr>
    </w:tbl>
    <w:p>
      <w:r>
        <w:t>Cada escenario se acompañará de datos iniciales, pasos, resultado esperado, resultado real, evidencias y referencia a prueba automatizada o justificación de prueba manual.</w:t>
      </w:r>
    </w:p>
    <w:p>
      <w:pPr>
        <w:pStyle w:val="Heading1"/>
      </w:pPr>
      <w:r>
        <w:rPr>
          <w:color w:val="000000"/>
        </w:rPr>
        <w:t>10. Registro de riesgos y estrategias de mitigación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62"/>
        <w:gridCol w:w="2462"/>
        <w:gridCol w:w="2462"/>
        <w:gridCol w:w="2462"/>
      </w:tblGrid>
      <w:tr>
        <w:tc>
          <w:tcPr>
            <w:tcW w:type="dxa" w:w="2462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462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Riesgo</w:t>
            </w:r>
          </w:p>
        </w:tc>
        <w:tc>
          <w:tcPr>
            <w:tcW w:type="dxa" w:w="2462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Impacto</w:t>
            </w:r>
          </w:p>
        </w:tc>
        <w:tc>
          <w:tcPr>
            <w:tcW w:type="dxa" w:w="2462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Mitigación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R-01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Complejidad normativa fiscal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Alta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Acotar modelos/regímenes MVP, elegibilidad previa, fixtures oficiales y revisión profesional.</w:t>
            </w:r>
          </w:p>
        </w:tc>
      </w:tr>
      <w:tr>
        <w:tc>
          <w:tcPr>
            <w:tcW w:type="dxa" w:w="2462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R-02</w:t>
            </w:r>
          </w:p>
        </w:tc>
        <w:tc>
          <w:tcPr>
            <w:tcW w:type="dxa" w:w="2462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Fugas entre entidades fiscales</w:t>
            </w:r>
          </w:p>
        </w:tc>
        <w:tc>
          <w:tcPr>
            <w:tcW w:type="dxa" w:w="2462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Alta</w:t>
            </w:r>
          </w:p>
        </w:tc>
        <w:tc>
          <w:tcPr>
            <w:tcW w:type="dxa" w:w="2462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Scopes obligatorios, tests negativos, revisión de consultas y exportaciones.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R-03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Calidad irregular de extracción IA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Alta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Banco de pruebas, confirmación humana, abstención y adaptadores.</w:t>
            </w:r>
          </w:p>
        </w:tc>
      </w:tr>
      <w:tr>
        <w:tc>
          <w:tcPr>
            <w:tcW w:type="dxa" w:w="2462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R-04</w:t>
            </w:r>
          </w:p>
        </w:tc>
        <w:tc>
          <w:tcPr>
            <w:tcW w:type="dxa" w:w="2462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Costes imprevisibles de IA</w:t>
            </w:r>
          </w:p>
        </w:tc>
        <w:tc>
          <w:tcPr>
            <w:tcW w:type="dxa" w:w="2462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Media</w:t>
            </w:r>
          </w:p>
        </w:tc>
        <w:tc>
          <w:tcPr>
            <w:tcW w:type="dxa" w:w="2462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Cuotas, métricas, presupuesto y uso de documentos sintéticos.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R-05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Curva de aprendizaje Flutter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Media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E0 con spikes técnicos y tests widget antes de ampliar funcionalidades.</w:t>
            </w:r>
          </w:p>
        </w:tc>
      </w:tr>
      <w:tr>
        <w:tc>
          <w:tcPr>
            <w:tcW w:type="dxa" w:w="2462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R-06</w:t>
            </w:r>
          </w:p>
        </w:tc>
        <w:tc>
          <w:tcPr>
            <w:tcW w:type="dxa" w:w="2462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Complejidad de infraestructura VPS</w:t>
            </w:r>
          </w:p>
        </w:tc>
        <w:tc>
          <w:tcPr>
            <w:tcW w:type="dxa" w:w="2462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Media</w:t>
            </w:r>
          </w:p>
        </w:tc>
        <w:tc>
          <w:tcPr>
            <w:tcW w:type="dxa" w:w="2462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Compose, observabilidad, backups fuera del servidor y simulacros.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R-07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Dependencia excesiva de agentes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Alta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Revisión humana, TDD, cambios pequeños y registro de decisiones.</w:t>
            </w:r>
          </w:p>
        </w:tc>
      </w:tr>
      <w:tr>
        <w:tc>
          <w:tcPr>
            <w:tcW w:type="dxa" w:w="2462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R-08</w:t>
            </w:r>
          </w:p>
        </w:tc>
        <w:tc>
          <w:tcPr>
            <w:tcW w:type="dxa" w:w="2462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Desbordamiento de alcance</w:t>
            </w:r>
          </w:p>
        </w:tc>
        <w:tc>
          <w:tcPr>
            <w:tcW w:type="dxa" w:w="2462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Alta</w:t>
            </w:r>
          </w:p>
        </w:tc>
        <w:tc>
          <w:tcPr>
            <w:tcW w:type="dxa" w:w="2462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Control de cambios, backlog P2 comercial fuera de MVP.</w:t>
            </w:r>
          </w:p>
        </w:tc>
      </w:tr>
      <w:tr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R-09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Datos reales confidenciales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Alta</w:t>
            </w:r>
          </w:p>
        </w:tc>
        <w:tc>
          <w:tcPr>
            <w:tcW w:type="dxa" w:w="2462"/>
            <w:vAlign w:val="center"/>
          </w:tcPr>
          <w:p>
            <w:pPr>
              <w:spacing w:after="40"/>
            </w:pPr>
            <w:r>
              <w:rPr>
                <w:sz w:val="16"/>
              </w:rPr>
              <w:t>Datos sintéticos, secretos separados y no enviar datos reales a herramientas sin garantías.</w:t>
            </w:r>
          </w:p>
        </w:tc>
      </w:tr>
    </w:tbl>
    <w:p>
      <w:pPr>
        <w:pStyle w:val="Heading1"/>
      </w:pPr>
      <w:r>
        <w:rPr>
          <w:color w:val="000000"/>
        </w:rPr>
        <w:t>11. Metodología Git, CI y evidencias IA</w:t>
      </w:r>
    </w:p>
    <w:p>
      <w:r>
        <w:t>Las historias se implementan desde feature/* creadas a partir de develop. Se integran mediante pull request revisada y CI verde. La rama develop consolida las entregas. La rama main no recibe pushes directos: solo pull requests de publicación aprobadas; cada lanzamiento lleva etiqueta de versión. Hotfix/* nace de main, se integra allí mediante PR y se propaga después a develop.</w:t>
      </w:r>
    </w:p>
    <w:p>
      <w:r>
        <w:t>Por cada historia significativa con Cursor Pro se archivará una ficha mínima: ID de historia, contexto/especificación suministrada, herramienta y modalidad, fecha, objetivos, extracto de prompts sin secretos, cambios generados, decisiones humanas, pruebas, incidencias, tiempo aproximado y enlaces al commit/PR. ChatGPT Plus se registra separadamente para ideación, requisitos, documentación y arquitectura. Claude Code y GitHub Copilot quedan excluidos del flujo aprobado.</w:t>
      </w:r>
    </w:p>
    <w:p>
      <w:pPr>
        <w:pStyle w:val="Heading1"/>
      </w:pPr>
      <w:r>
        <w:rPr>
          <w:color w:val="000000"/>
        </w:rPr>
        <w:t>12. Puertas de decisión y control de cambios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Momento</w:t>
            </w:r>
          </w:p>
        </w:tc>
        <w:tc>
          <w:tcPr>
            <w:tcW w:type="dxa" w:w="4925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Decisión / evidencia requerida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Antes de E0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Validar documento DOC-07, alcance y repositorio/ramas.</w:t>
            </w:r>
          </w:p>
        </w:tc>
      </w:tr>
      <w:tr>
        <w:tc>
          <w:tcPr>
            <w:tcW w:type="dxa" w:w="4925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Al finalizar E0</w:t>
            </w:r>
          </w:p>
        </w:tc>
        <w:tc>
          <w:tcPr>
            <w:tcW w:type="dxa" w:w="4925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Validar toolchain real, despliegue local, CI y aprendizaje técnico; recalibrar estimaciones.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Antes de E6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Elegir proveedor IA del producto con prueba de precisión, coste, privacidad y términos; no se contrata ahora.</w:t>
            </w:r>
          </w:p>
        </w:tc>
      </w:tr>
      <w:tr>
        <w:tc>
          <w:tcPr>
            <w:tcW w:type="dxa" w:w="4925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Antes de E7</w:t>
            </w:r>
          </w:p>
        </w:tc>
        <w:tc>
          <w:tcPr>
            <w:tcW w:type="dxa" w:w="4925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Verificar normas vigentes y cobertura exacta de supuestos soportados para 130, 303, 420.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Antes de E9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Validación profesional de resultados fiscales para pretensión comercial.</w:t>
            </w:r>
          </w:p>
        </w:tc>
      </w:tr>
      <w:tr>
        <w:tc>
          <w:tcPr>
            <w:tcW w:type="dxa" w:w="4925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Cualquier cambio material</w:t>
            </w:r>
          </w:p>
        </w:tc>
        <w:tc>
          <w:tcPr>
            <w:tcW w:type="dxa" w:w="4925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Crear ADR o solicitud de cambio, impacto en requisitos, pruebas y nueva versión de documento.</w:t>
            </w:r>
          </w:p>
        </w:tc>
      </w:tr>
    </w:tbl>
    <w:p>
      <w:pPr>
        <w:pStyle w:val="Heading1"/>
      </w:pPr>
      <w:r>
        <w:rPr>
          <w:color w:val="000000"/>
        </w:rPr>
        <w:t>13. Plan de inicio: primeras diez tareas de E0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Orden</w:t>
            </w:r>
          </w:p>
        </w:tc>
        <w:tc>
          <w:tcPr>
            <w:tcW w:type="dxa" w:w="4925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Tarea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01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Crear el repositorio privado y proteger develop/main</w:t>
            </w:r>
          </w:p>
        </w:tc>
      </w:tr>
      <w:tr>
        <w:tc>
          <w:tcPr>
            <w:tcW w:type="dxa" w:w="4925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02</w:t>
            </w:r>
          </w:p>
        </w:tc>
        <w:tc>
          <w:tcPr>
            <w:tcW w:type="dxa" w:w="4925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Inicializar estructura backend/, mobile/, infrastructure/, docs/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03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Incorporar versiones controladas de DOC-01–DOC-07 y ADR iniciales</w:t>
            </w:r>
          </w:p>
        </w:tc>
      </w:tr>
      <w:tr>
        <w:tc>
          <w:tcPr>
            <w:tcW w:type="dxa" w:w="4925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04</w:t>
            </w:r>
          </w:p>
        </w:tc>
        <w:tc>
          <w:tcPr>
            <w:tcW w:type="dxa" w:w="4925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Crear AGENTS.md global y específicos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05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Crear Symfony y configuración PHP 8.4</w:t>
            </w:r>
          </w:p>
        </w:tc>
      </w:tr>
      <w:tr>
        <w:tc>
          <w:tcPr>
            <w:tcW w:type="dxa" w:w="4925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06</w:t>
            </w:r>
          </w:p>
        </w:tc>
        <w:tc>
          <w:tcPr>
            <w:tcW w:type="dxa" w:w="4925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Levantar MySQL, Redis, Nginx y PHP-FPM en Docker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07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Configurar S3 local y archivos de ejemplo</w:t>
            </w:r>
          </w:p>
        </w:tc>
      </w:tr>
      <w:tr>
        <w:tc>
          <w:tcPr>
            <w:tcW w:type="dxa" w:w="4925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08</w:t>
            </w:r>
          </w:p>
        </w:tc>
        <w:tc>
          <w:tcPr>
            <w:tcW w:type="dxa" w:w="4925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Inicializar Flutter, GoRouter y Riverpod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09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Publicar especificación inicial /api/v1/health y errores estándar</w:t>
            </w:r>
          </w:p>
        </w:tc>
      </w:tr>
      <w:tr>
        <w:tc>
          <w:tcPr>
            <w:tcW w:type="dxa" w:w="4925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4925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Configurar Actions, pruebas base y primera PR a develop</w:t>
            </w:r>
          </w:p>
        </w:tc>
      </w:tr>
    </w:tbl>
    <w:p>
      <w:pPr>
        <w:keepNext w:val="0"/>
      </w:pPr>
      <w:r>
        <w:t>Flutter mantiene su arquitectura multiplataforma y una base de código común. La primera entrega móvil del TFM se desarrolla, prueba y entrega para Android; iOS queda en el roadmap y no es criterio de aceptación de esta entrega. La etapa iOS requerirá un Mac con macOS y Xcode compatibles, herramientas de línea de comandos y simulador iOS. Se validarán plugins, permisos, almacenamiento seguro y pruebas en esa plataforma. La distribución mediante TestFlight o App Store requerirá firma, certificados y perfiles de aprovisionamiento y una cuenta con membresía Apple Developer adecuada; no se confunde la ejecución en simulador con la distribución.</w:t>
      </w:r>
    </w:p>
    <w:p>
      <w:pPr>
        <w:pStyle w:val="Heading1"/>
      </w:pPr>
      <w:r>
        <w:rPr>
          <w:color w:val="000000"/>
        </w:rPr>
        <w:t>14. Exclusiones y siguientes artefactos</w:t>
      </w:r>
    </w:p>
    <w:p>
      <w:r>
        <w:t>Quedan fuera del MVP obligatorio: facturación emitida desde cero, envío/presentación directa de modelos tributarios, conciliación bancaria automática, integraciones contables comerciales, planes cobrados por pasarela, exportaciones programadas y cálculos completos de regímenes no implementados. Se conservan como posibles funcionalidades comerciales P2. El proveedor de IA integrado en el producto sigue sin seleccionarse; esto no elimina el requisito funcional de extracción mediante IA.</w:t>
      </w:r>
    </w:p>
    <w:p>
      <w:r>
        <w:t>Artefactos derivados sugeridos: exportación del backlog a GitHub Issues/Projects; fichas SDD por historia; archivo OpenAPI ejecutable; migraciones y diagramas ER; plan de pruebas con datasets; plantilla de evidencia IA; guion E2E de demostración.</w:t>
      </w:r>
    </w:p>
    <w:p>
      <w:pPr>
        <w:pStyle w:val="Heading1"/>
      </w:pPr>
      <w:r>
        <w:rPr>
          <w:color w:val="000000"/>
        </w:rPr>
        <w:t>Anexo A. Resumen cuantitativo del backlog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Entrega</w:t>
            </w:r>
          </w:p>
        </w:tc>
        <w:tc>
          <w:tcPr>
            <w:tcW w:type="dxa" w:w="4925"/>
            <w:shd w:fill="17394E"/>
          </w:tcPr>
          <w:p>
            <w:pPr>
              <w:spacing w:after="40"/>
            </w:pPr>
            <w:r>
              <w:rPr>
                <w:b/>
                <w:color w:val="FFFFFF"/>
                <w:sz w:val="16"/>
              </w:rPr>
              <w:t>Historias propuestas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E0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6</w:t>
            </w:r>
          </w:p>
        </w:tc>
      </w:tr>
      <w:tr>
        <w:tc>
          <w:tcPr>
            <w:tcW w:type="dxa" w:w="4925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E1</w:t>
            </w:r>
          </w:p>
        </w:tc>
        <w:tc>
          <w:tcPr>
            <w:tcW w:type="dxa" w:w="4925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6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E2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4925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E3</w:t>
            </w:r>
          </w:p>
        </w:tc>
        <w:tc>
          <w:tcPr>
            <w:tcW w:type="dxa" w:w="4925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E4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6</w:t>
            </w:r>
          </w:p>
        </w:tc>
      </w:tr>
      <w:tr>
        <w:tc>
          <w:tcPr>
            <w:tcW w:type="dxa" w:w="4925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E5</w:t>
            </w:r>
          </w:p>
        </w:tc>
        <w:tc>
          <w:tcPr>
            <w:tcW w:type="dxa" w:w="4925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E6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6</w:t>
            </w:r>
          </w:p>
        </w:tc>
      </w:tr>
      <w:tr>
        <w:tc>
          <w:tcPr>
            <w:tcW w:type="dxa" w:w="4925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E7</w:t>
            </w:r>
          </w:p>
        </w:tc>
        <w:tc>
          <w:tcPr>
            <w:tcW w:type="dxa" w:w="4925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7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E8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6</w:t>
            </w:r>
          </w:p>
        </w:tc>
      </w:tr>
      <w:tr>
        <w:tc>
          <w:tcPr>
            <w:tcW w:type="dxa" w:w="4925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E9</w:t>
            </w:r>
          </w:p>
        </w:tc>
        <w:tc>
          <w:tcPr>
            <w:tcW w:type="dxa" w:w="4925"/>
            <w:vAlign w:val="center"/>
            <w:shd w:fill="EEF4F7"/>
          </w:tcPr>
          <w:p>
            <w:pPr>
              <w:spacing w:after="40"/>
            </w:pPr>
            <w:r>
              <w:rPr>
                <w:sz w:val="16"/>
              </w:rPr>
              <w:t>6</w:t>
            </w:r>
          </w:p>
        </w:tc>
      </w:tr>
      <w:tr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TOTAL</w:t>
            </w:r>
          </w:p>
        </w:tc>
        <w:tc>
          <w:tcPr>
            <w:tcW w:type="dxa" w:w="4925"/>
            <w:vAlign w:val="center"/>
          </w:tcPr>
          <w:p>
            <w:pPr>
              <w:spacing w:after="40"/>
            </w:pPr>
            <w:r>
              <w:rPr>
                <w:sz w:val="16"/>
              </w:rPr>
              <w:t>57</w:t>
            </w:r>
          </w:p>
        </w:tc>
      </w:tr>
    </w:tbl>
    <w:p>
      <w:r>
        <w:t>Los IDs PLT/ORG/QA/etc. son identificadores de planificación propuestos, diferentes de las claves de requisitos DOC-04. La columna de trazabilidad no debe considerarse correspondencia requisito-historia completa hasta completar el enlace uno a uno al formalizar las issues.</w:t>
      </w:r>
    </w:p>
    <w:p>
      <w:pPr>
        <w:pStyle w:val="Heading1"/>
      </w:pPr>
      <w:r>
        <w:rPr>
          <w:color w:val="000000"/>
        </w:rPr>
        <w:t>Registro de cambio de la versión 1 1</w:t>
      </w:r>
    </w:p>
    <w:p>
      <w:r>
        <w:t>18 de octubre de 2026 — ADR-009 — Decisión del responsable del TFM: entrega móvil inicial Android y definición del entorno de desarrollo. La revisión actualiza alcance de plataforma, herramientas, planificación, pruebas y evidencias; no acredita implementación ni ejecución de pruebas.</w:t>
      </w:r>
    </w:p>
    <w:p>
      <w:r>
        <w:t>Flutter mantiene su arquitectura multiplataforma y una base de código común. La primera entrega móvil del TFM se desarrolla, prueba y entrega para Android; iOS queda en el roadmap y no es criterio de aceptación de esta entrega.</w:t>
      </w:r>
    </w:p>
    <w:p>
      <w:r>
        <w:t>Se conservan el monorepositorio, develop y main protegida, Symfony/Twig/API compartidos, Feature-First y MVVM con Riverpod, GoRouter y Dio, y los contratos y reglas funcionales aprobados. Se mantienen aislamiento por FiscalEntity, precisión decimal, fiscalidad determinista y confirmación humana de datos extraídos por IA. Este cambio no selecciona proveedor IA del producto ni modifica cuotas, permisos o cobertura tributaria.</w:t>
      </w:r>
    </w:p>
    <w:p>
      <w:pPr>
        <w:pStyle w:val="Heading1"/>
      </w:pPr>
      <w:r>
        <w:rPr>
          <w:color w:val="000000"/>
        </w:rPr>
        <w:t>Referencias para el entorno móvil</w:t>
      </w:r>
    </w:p>
    <w:p>
      <w:r>
        <w:t>https://docs.flutter.dev/tools/vs-code</w:t>
      </w:r>
    </w:p>
    <w:p>
      <w:r>
        <w:t>https://docs.flutter.dev/platform-integration/android/setup</w:t>
      </w:r>
    </w:p>
    <w:p>
      <w:r>
        <w:t>https://docs.flutter.dev/deployment/android</w:t>
      </w:r>
    </w:p>
    <w:p>
      <w:r>
        <w:t>https://docs.flutter.dev/platform-integration/ios/setup</w:t>
      </w:r>
    </w:p>
    <w:p>
      <w:r>
        <w:t>https://docs.flutter.dev/deployment/ios</w:t>
      </w:r>
    </w:p>
    <w:p>
      <w:r>
        <w:t>Documentación oficial Flutter consultada el 18 de octubre de 2026. Las versiones exactas y su compatibilidad se fijarán durante E0.</w:t>
      </w:r>
    </w:p>
    <w:sectPr w:rsidR="00FC693F" w:rsidRPr="0006063C" w:rsidSect="00034616">
      <w:footerReference w:type="default" r:id="rId9"/>
      <w:pgSz w:w="12240" w:h="15840"/>
      <w:pgMar w:top="1123" w:right="1195" w:bottom="1008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DOC-07 · TFM · Planificación y backlog ·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