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DOC-08 | Plan de pruebas y evaluación del TFM</w:t>
      </w:r>
    </w:p>
    <w:p>
      <w:r>
        <w:t>Estrategia de verificación, validación de seguridad multiempresa, motor fiscal, procesamiento documental con IA y evaluación del desarrollo asistido por ChatGPT Plus y Cursor Pro.</w:t>
      </w:r>
    </w:p>
    <w:p>
      <w:r>
        <w:t>Versión 1.1  •  Fecha: 18 de octubre de 2026  •  Estado: plan propuesto para ejecución y registro de resultados.</w:t>
      </w:r>
    </w:p>
    <w:p>
      <w:pPr>
        <w:pStyle w:val="Heading1"/>
      </w:pPr>
      <w:r>
        <w:rPr>
          <w:color w:val="000000"/>
        </w:rPr>
        <w:t>Ficha de control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</w:tcPr>
          <w:p>
            <w:pPr>
              <w:spacing w:after="20"/>
            </w:pPr>
            <w:r>
              <w:rPr>
                <w:sz w:val="16"/>
              </w:rPr>
              <w:t>Campo</w:t>
            </w:r>
          </w:p>
        </w:tc>
        <w:tc>
          <w:tcPr>
            <w:tcW w:type="dxa" w:w="4910"/>
          </w:tcPr>
          <w:p>
            <w:pPr>
              <w:spacing w:after="20"/>
            </w:pPr>
            <w:r>
              <w:rPr>
                <w:sz w:val="16"/>
              </w:rPr>
              <w:t>Valor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Proyecto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SaaS de gestión fiscal y documental para autónomos y asesorías en España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 de referencia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DOC-01 a DOC-07; decisiones funcionales y técnicas aprobadas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Responsable de validación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Autor del TFM; revisión fiscal profesional antes de uso comercial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Alcance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MVP académico E0–E9; web Symfony/Twig, API REST, app Flutter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Interpretación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Objetivos de pruebas ≠ resultados realizados. No se atribuyen mediciones inexistentes.</w:t>
            </w:r>
          </w:p>
        </w:tc>
      </w:tr>
    </w:tbl>
    <w:p>
      <w:pPr>
        <w:pStyle w:val="Heading1"/>
      </w:pPr>
      <w:r>
        <w:rPr>
          <w:color w:val="000000"/>
        </w:rPr>
        <w:t>1. Propósito y criterios de éxito</w:t>
      </w:r>
    </w:p>
    <w:p>
      <w:r>
        <w:t>Este documento define cómo se verificará que el MVP implementa las decisiones aprobadas, protege los datos de cada entidad fiscal, calcula únicamente los modelos expresamente soportados y utiliza IA de forma comprobable y controlada. Se propone generar evidencia repetible, vinculada a requisitos y commits.</w:t>
      </w:r>
    </w:p>
    <w:p>
      <w:pPr>
        <w:pStyle w:val="ListBullet"/>
      </w:pPr>
      <w:r>
        <w:t>Verificación: cumplimiento objetivo de especificaciones, contratos y casos de aceptación.</w:t>
      </w:r>
    </w:p>
    <w:p>
      <w:pPr>
        <w:pStyle w:val="ListBullet"/>
      </w:pPr>
      <w:r>
        <w:t>Validación: utilidad de los flujos completos para autónomos y asesorías, con revisión humana de resultados.</w:t>
      </w:r>
    </w:p>
    <w:p>
      <w:pPr>
        <w:pStyle w:val="ListBullet"/>
      </w:pPr>
      <w:r>
        <w:t>Evaluación investigadora: medición de calidad del extractor IA y contribución de ChatGPT/Cursor al proceso.</w:t>
      </w:r>
    </w:p>
    <w:p>
      <w:pPr>
        <w:pStyle w:val="ListBullet"/>
      </w:pPr>
      <w:r>
        <w:t>Aceptación: no se afirmará que una prueba está superada sin evidencia de su ejecución.</w:t>
      </w:r>
    </w:p>
    <w:p>
      <w:pPr>
        <w:pStyle w:val="Heading1"/>
      </w:pPr>
      <w:r>
        <w:rPr>
          <w:color w:val="000000"/>
        </w:rPr>
        <w:t>2. Alcance y exclusiones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c>
          <w:tcPr>
            <w:tcW w:type="dxa" w:w="3273"/>
          </w:tcPr>
          <w:p>
            <w:pPr>
              <w:spacing w:after="20"/>
            </w:pPr>
            <w:r>
              <w:rPr>
                <w:sz w:val="16"/>
              </w:rPr>
              <w:t>Área</w:t>
            </w:r>
          </w:p>
        </w:tc>
        <w:tc>
          <w:tcPr>
            <w:tcW w:type="dxa" w:w="3273"/>
          </w:tcPr>
          <w:p>
            <w:pPr>
              <w:spacing w:after="20"/>
            </w:pPr>
            <w:r>
              <w:rPr>
                <w:sz w:val="16"/>
              </w:rPr>
              <w:t>Dentro del MVP / plan</w:t>
            </w:r>
          </w:p>
        </w:tc>
        <w:tc>
          <w:tcPr>
            <w:tcW w:type="dxa" w:w="3273"/>
          </w:tcPr>
          <w:p>
            <w:pPr>
              <w:spacing w:after="20"/>
            </w:pPr>
            <w:r>
              <w:rPr>
                <w:sz w:val="16"/>
              </w:rPr>
              <w:t>Fuera o condicionado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Fiscalidad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Modelo 130 IRPF estimación directa aplicable; 303 IVA general; 420 IGIC general y operaciones implementadas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Presentación telemática, IRPF anual y cálculos de regímenes no desarrollados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Documentos e IA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PDF/imagen, revisión humana, extracción estructurada; cuota de 50 análisis/entidad/mes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Entrenamiento de modelo propio; proveedor concreto aún no seleccionado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Usuarios y colaboración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Autónomos, asesorías, superadmin, roles, permisos, invitaciones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Contabilidad/ERP externo avanzado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Producto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Web Symfony, API, Flutter, dashboards, exportación, notificaciones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Facturación electrónica emitida; exportaciones programadas fase 2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Operación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Docker, CI, controles de seguridad y backups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Publicación obligatoria en tiendas móviles</w:t>
            </w:r>
          </w:p>
        </w:tc>
      </w:tr>
    </w:tbl>
    <w:p>
      <w:pPr>
        <w:keepNext w:val="0"/>
      </w:pPr>
      <w:r>
        <w:t>Flutter mantiene su arquitectura multiplataforma y una base de código común. La primera entrega móvil del TFM se desarrolla, prueba y entrega para Android; iOS queda en el roadmap y no es criterio de aceptación de esta entrega.</w:t>
      </w:r>
    </w:p>
    <w:p>
      <w:pPr>
        <w:pStyle w:val="Heading1"/>
      </w:pPr>
      <w:r>
        <w:rPr>
          <w:color w:val="000000"/>
        </w:rPr>
        <w:t>3. Estrategia de pruebas y pirámide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c>
          <w:tcPr>
            <w:tcW w:type="dxa" w:w="3273"/>
          </w:tcPr>
          <w:p>
            <w:pPr>
              <w:spacing w:after="20"/>
            </w:pPr>
            <w:r>
              <w:rPr>
                <w:sz w:val="16"/>
              </w:rPr>
              <w:t>Nivel</w:t>
            </w:r>
          </w:p>
        </w:tc>
        <w:tc>
          <w:tcPr>
            <w:tcW w:type="dxa" w:w="3273"/>
          </w:tcPr>
          <w:p>
            <w:pPr>
              <w:spacing w:after="20"/>
            </w:pPr>
            <w:r>
              <w:rPr>
                <w:sz w:val="16"/>
              </w:rPr>
              <w:t>Qué prueba</w:t>
            </w:r>
          </w:p>
        </w:tc>
        <w:tc>
          <w:tcPr>
            <w:tcW w:type="dxa" w:w="3273"/>
          </w:tcPr>
          <w:p>
            <w:pPr>
              <w:spacing w:after="20"/>
            </w:pPr>
            <w:r>
              <w:rPr>
                <w:sz w:val="16"/>
              </w:rPr>
              <w:t>Ejecución / evidencia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Unitarias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Dominio, cálculos exactos, validaciones, utilidades, estados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PHPUnit / flutter test; informe y commit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Integración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Doctrine/MySQL, almacenamiento S3 compatible, colas Messenger, adapters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Servicios Docker aislados; fixtures reproducibles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Contratos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REST /api/v1, OpenAPI 3.1, errores Problem Details, DTO y permisos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Validación esquema y batería HTTP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Funcionales web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Twig, formularios, CSRF, navegación, acciones masivas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Symfony test client y pruebas de UI seleccionadas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Móvil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Riverpod, navegación, sesiones, captura offline y sincronización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Unit/widget/integration tests Flutter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Extremo a extremo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Ingreso/gasto/documento/IA/estimación/asesoría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Guion, datos de prueba, registros y capturas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No funcionales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Seguridad, rendimiento, recuperación, accesibilidad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Checklist, medidas y acta de ejecución</w:t>
            </w:r>
          </w:p>
        </w:tc>
      </w:tr>
    </w:tbl>
    <w:p>
      <w:r>
        <w:t>Principio: más pruebas en dominio y aplicación, menos E2E frágiles. Los cálculos fiscales y el aislamiento entre entidades exigen cobertura especialmente elevada, pero la métrica de cobertura no reemplaza los casos de comportamiento.</w:t>
      </w:r>
    </w:p>
    <w:p>
      <w:pPr>
        <w:pStyle w:val="Heading1"/>
      </w:pPr>
      <w:r>
        <w:rPr>
          <w:color w:val="000000"/>
        </w:rPr>
        <w:t>4. Entornos, datos y reproducibilidad</w:t>
      </w:r>
    </w:p>
    <w:p>
      <w:pPr>
        <w:pStyle w:val="ListBullet"/>
      </w:pPr>
      <w:r>
        <w:t>Desarrollo local con Docker Compose y fixtures sintéticos versionados; staging separado; producción con datos reales protegidos.</w:t>
      </w:r>
    </w:p>
    <w:p>
      <w:pPr>
        <w:pStyle w:val="ListBullet"/>
      </w:pPr>
      <w:r>
        <w:t>Fixtures: autónomo de Canarias, autónomo peninsular, asesoría con dos empleados, clientes compartidos y no compartidos, distintas obligaciones fiscales.</w:t>
      </w:r>
    </w:p>
    <w:p>
      <w:pPr>
        <w:pStyle w:val="ListBullet"/>
      </w:pPr>
      <w:r>
        <w:t>Datos documentales: usar documentos ficticios o anonimizados con permiso; nunca almacenar DNI, cuentas bancarias o facturas reales en el repositorio.</w:t>
      </w:r>
    </w:p>
    <w:p>
      <w:pPr>
        <w:pStyle w:val="ListBullet"/>
      </w:pPr>
      <w:r>
        <w:t>Cada ejecución registrará: fecha, versión Git, configuración, servicio, dataset, herramienta, resultado, error y enlace a evidencia.</w:t>
      </w:r>
    </w:p>
    <w:p>
      <w:pPr>
        <w:pStyle w:val="ListBullet"/>
      </w:pPr>
      <w:r>
        <w:t>Pruebas sensibles a fechas y normas ejecutadas con reloj simulado y versión de reglas fijada.</w:t>
      </w:r>
    </w:p>
    <w:p>
      <w:pPr>
        <w:pStyle w:val="ListBullet"/>
      </w:pPr>
      <w:r>
        <w:t>La ejecución automatizada de CI deberá poder repetirse sin credenciales de producción.</w:t>
      </w:r>
    </w:p>
    <w:p>
      <w:pPr>
        <w:keepNext w:val="0"/>
      </w:pPr>
      <w:r>
        <w:t>E0 incorporará instalación y registro de versiones Flutter/Dart, VS Code y extensiones, Android Studio, SDK/API, build tools, JDK, Gradle Wrapper y Android Gradle Plugin. Se comprobarán flutter doctor -v, licencias Android, flutter devices y adb devices; se arrancará un emulador y se ejecutará la app en un dispositivo Android físico. Se registrarán incidencias, versiones y evidencias sanitizadas, sin declarar comprobaciones aún no ejecutadas.</w:t>
      </w:r>
    </w:p>
    <w:p>
      <w:pPr>
        <w:pStyle w:val="Heading1"/>
      </w:pPr>
      <w:r>
        <w:rPr>
          <w:color w:val="000000"/>
        </w:rPr>
        <w:t>5. Matriz de trazabilidad y responsabilidades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c>
          <w:tcPr>
            <w:tcW w:type="dxa" w:w="3273"/>
          </w:tcPr>
          <w:p>
            <w:pPr>
              <w:spacing w:after="20"/>
            </w:pPr>
            <w:r>
              <w:rPr>
                <w:sz w:val="16"/>
              </w:rPr>
              <w:t>Fuente</w:t>
            </w:r>
          </w:p>
        </w:tc>
        <w:tc>
          <w:tcPr>
            <w:tcW w:type="dxa" w:w="3273"/>
          </w:tcPr>
          <w:p>
            <w:pPr>
              <w:spacing w:after="20"/>
            </w:pPr>
            <w:r>
              <w:rPr>
                <w:sz w:val="16"/>
              </w:rPr>
              <w:t>Identificador</w:t>
            </w:r>
          </w:p>
        </w:tc>
        <w:tc>
          <w:tcPr>
            <w:tcW w:type="dxa" w:w="3273"/>
          </w:tcPr>
          <w:p>
            <w:pPr>
              <w:spacing w:after="20"/>
            </w:pPr>
            <w:r>
              <w:rPr>
                <w:sz w:val="16"/>
              </w:rPr>
              <w:t>Destino de verificación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DOC-04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REQ / EXP / INC / DOC / TAX, según catálogo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Historia del DOC-07 → prueba → evidencia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DOC-05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ADR y decisión de arquitectura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Prueba de dependencia, revisión técnica, CI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DOC-06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Recurso REST y entidad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Contrato API, integración y migración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DOC-07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Historia E0–E9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Criterios Given/When/Then y Definition of Done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DOC-08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TC-*, SEC-*, FIS-*, AI-*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Resultado registrado: PASA / FALLA / BLOQUEA / NO EJECUTADO</w:t>
            </w:r>
          </w:p>
        </w:tc>
      </w:tr>
    </w:tbl>
    <w:p>
      <w:r>
        <w:t>Los identificadores de este plan son propios de pruebas y no sustituyen los códigos exactos del DOC-04. La matriz definitiva se generará al vincular cada historia implementada con el requisito original.</w:t>
      </w:r>
    </w:p>
    <w:p>
      <w:pPr>
        <w:pStyle w:val="Heading1"/>
      </w:pPr>
      <w:r>
        <w:rPr>
          <w:color w:val="000000"/>
        </w:rPr>
        <w:t>6. Escenarios de aceptación integrales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c>
          <w:tcPr>
            <w:tcW w:type="dxa" w:w="3273"/>
          </w:tcPr>
          <w:p>
            <w:pPr>
              <w:spacing w:after="20"/>
            </w:pPr>
            <w:r>
              <w:rPr>
                <w:sz w:val="16"/>
              </w:rPr>
              <w:t>Código</w:t>
            </w:r>
          </w:p>
        </w:tc>
        <w:tc>
          <w:tcPr>
            <w:tcW w:type="dxa" w:w="3273"/>
          </w:tcPr>
          <w:p>
            <w:pPr>
              <w:spacing w:after="20"/>
            </w:pPr>
            <w:r>
              <w:rPr>
                <w:sz w:val="16"/>
              </w:rPr>
              <w:t>Escenario verificable</w:t>
            </w:r>
          </w:p>
        </w:tc>
        <w:tc>
          <w:tcPr>
            <w:tcW w:type="dxa" w:w="3273"/>
          </w:tcPr>
          <w:p>
            <w:pPr>
              <w:spacing w:after="20"/>
            </w:pPr>
            <w:r>
              <w:rPr>
                <w:sz w:val="16"/>
              </w:rPr>
              <w:t>Evidencia mínima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E2E-01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Registro, verificación de email y acceso 2FA según rol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Capturas + datos iniciales + resultado + logs de prueba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E2E-02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Usuario con varias entidades: cambio seguro del contexto fiscal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Capturas + datos iniciales + resultado + logs de prueba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E2E-03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Invitación y vinculación con asesoría; expiración a 7 días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Capturas + datos iniciales + resultado + logs de prueba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E2E-04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Empleado de asesoría accede a clientes autorizados según permisos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Capturas + datos iniciales + resultado + logs de prueba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E2E-05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Registrar ingreso con líneas, impuestos y cobros parciales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Capturas + datos iniciales + resultado + logs de prueba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E2E-06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Registrar gasto, método de pago, deducibilidad y categoría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Capturas + datos iniciales + resultado + logs de prueba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E2E-07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Subir PDF/imagen y asociarlo a entidad y gasto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Capturas + datos iniciales + resultado + logs de prueba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E2E-08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Analizar documento por IA, revisar, corregir y confirmar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Capturas + datos iniciales + resultado + logs de prueba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E2E-09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Detectar duplicado y evitar confirmación involuntaria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Capturas + datos iniciales + resultado + logs de prueba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E2E-10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Previsión fiscal 130 con datos acumulados y pagos anteriores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Capturas + datos iniciales + resultado + logs de prueba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E2E-11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Previsión 303 peninsular y 420 canaria en casos soportados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Capturas + datos iniciales + resultado + logs de prueba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E2E-12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Régimen no soportado: prohibir mostrar importe engañoso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Capturas + datos iniciales + resultado + logs de prueba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E2E-13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Generar exportación trimestral con documentos e índices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Capturas + datos iniciales + resultado + logs de prueba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E2E-14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Desvincular asesoría sin pérdida de datos del autónomo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Capturas + datos iniciales + resultado + logs de prueba</w:t>
            </w:r>
          </w:p>
        </w:tc>
      </w:tr>
    </w:tbl>
    <w:p>
      <w:pPr>
        <w:pStyle w:val="Heading1"/>
      </w:pPr>
      <w:r>
        <w:rPr>
          <w:color w:val="000000"/>
        </w:rPr>
        <w:t>7. Seguridad, privacidad y aislamiento multiempresa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c>
          <w:tcPr>
            <w:tcW w:type="dxa" w:w="3273"/>
          </w:tcPr>
          <w:p>
            <w:pPr>
              <w:spacing w:after="20"/>
            </w:pPr>
            <w:r>
              <w:rPr>
                <w:sz w:val="16"/>
              </w:rPr>
              <w:t>Código</w:t>
            </w:r>
          </w:p>
        </w:tc>
        <w:tc>
          <w:tcPr>
            <w:tcW w:type="dxa" w:w="3273"/>
          </w:tcPr>
          <w:p>
            <w:pPr>
              <w:spacing w:after="20"/>
            </w:pPr>
            <w:r>
              <w:rPr>
                <w:sz w:val="16"/>
              </w:rPr>
              <w:t>Prueba / ataque simulado</w:t>
            </w:r>
          </w:p>
        </w:tc>
        <w:tc>
          <w:tcPr>
            <w:tcW w:type="dxa" w:w="3273"/>
          </w:tcPr>
          <w:p>
            <w:pPr>
              <w:spacing w:after="20"/>
            </w:pPr>
            <w:r>
              <w:rPr>
                <w:sz w:val="16"/>
              </w:rPr>
              <w:t>Resultado esperado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SEC-01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Usuario A solicita /fiscal-entities/B/expenses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403 o 404 seguro; ningún dato expuesto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SEC-02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Alteración del entityId en PATCH/descarga de documento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Acceso denegado; auditado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SEC-03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Empleado con permiso de lectura intenta editar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403; estado persistido inalterado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SEC-04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Desvinculación de asesoría y uso de token vigente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Permisos revocados inmediatamente en backend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SEC-05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Refresh token usado dos veces / familia comprometida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Detección y revocación según diseño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SEC-06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Web: POST sin CSRF / sesión expirada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Acción rechazada y nuevo login cuando corresponda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SEC-07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Archivo renombrado con MIME malicioso / tamaño &gt;20 MB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Carga rechazada de forma segura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SEC-08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URL firmada expirada / intento de salto de entidad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Acceso denegado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SEC-09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Log de errores de IA y peticiones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No aparecen tokens ni datos fiscales sensibles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SEC-10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API: fuerza bruta, límites y enumeración de cuentas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Controles de rate-limit y mensajes seguros</w:t>
            </w:r>
          </w:p>
        </w:tc>
      </w:tr>
    </w:tbl>
    <w:p>
      <w:r>
        <w:t>Además: revisión de dependencias, CSP, OWASP, secretos fuera de Git, cifrado en tránsito, cifrado de ficheros en reposo y pruebas de autorización en tareas asíncronas.</w:t>
      </w:r>
    </w:p>
    <w:p>
      <w:pPr>
        <w:pStyle w:val="Heading1"/>
      </w:pPr>
      <w:r>
        <w:rPr>
          <w:color w:val="000000"/>
        </w:rPr>
        <w:t>8. Plan específico de validación fiscal</w:t>
      </w:r>
    </w:p>
    <w:p>
      <w:r>
        <w:t>El motor fiscal se validará contra casos de referencia documentados. Se guardarán versión normativa y del código, configuración fiscal histórica, entradas, ajustes, salidas esperadas y desglose de cálculo. La aprobación comercial de reglas fiscales requiere revisión profesional adicional.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c>
          <w:tcPr>
            <w:tcW w:type="dxa" w:w="3273"/>
          </w:tcPr>
          <w:p>
            <w:pPr>
              <w:spacing w:after="20"/>
            </w:pPr>
            <w:r>
              <w:rPr>
                <w:sz w:val="16"/>
              </w:rPr>
              <w:t>Código</w:t>
            </w:r>
          </w:p>
        </w:tc>
        <w:tc>
          <w:tcPr>
            <w:tcW w:type="dxa" w:w="3273"/>
          </w:tcPr>
          <w:p>
            <w:pPr>
              <w:spacing w:after="20"/>
            </w:pPr>
            <w:r>
              <w:rPr>
                <w:sz w:val="16"/>
              </w:rPr>
              <w:t>Caso fiscal</w:t>
            </w:r>
          </w:p>
        </w:tc>
        <w:tc>
          <w:tcPr>
            <w:tcW w:type="dxa" w:w="3273"/>
          </w:tcPr>
          <w:p>
            <w:pPr>
              <w:spacing w:after="20"/>
            </w:pPr>
            <w:r>
              <w:rPr>
                <w:sz w:val="16"/>
              </w:rPr>
              <w:t>Criterio esperado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FIS-01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IRPF modelo 130: ingreso/gasto acumulados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Cálculo reproducible y desglose de rendimiento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FIS-02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IRPF modelo 130: retenciones/pagos previos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Tratamiento conforme a regla versionada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FIS-03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IVA 303: varias líneas y tipos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Bases y cuotas calculadas con decimal exacto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FIS-04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IGIC 420: operaciones generales soportadas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Cuotas correctas y territorio validado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FIS-05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Factura rectificativa/ajuste documentado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Corrección trazable y no duplicada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FIS-06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Periodo cerrado y modificación retroactiva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Control de cambios y recálculos afectados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FIS-07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Cambio de régimen a mitad de ejercicio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Reglas vigentes por fecha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FIS-08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Operación no soportada o datos insuficientes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Resultado «no calculable» sin importe fiable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FIS-09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Idempotencia recálculo y concurrencia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Una versión coherente del resultado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FIS-10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Redondeos e importes extremos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No se usan float; reglas de precisión explícitas</w:t>
            </w:r>
          </w:p>
        </w:tc>
      </w:tr>
    </w:tbl>
    <w:p>
      <w:r>
        <w:t>No inventar referencias normativas: antes de fijar la expectativa de cada fixture, contrastar instrucciones oficiales vigentes y obtener revisión del caso. No se establece un objetivo porcentual de «exactitud fiscal»: los casos admitidos deben coincidir exactamente con su resultado de referencia (salvo tolerancia de redondeo definida por regla).</w:t>
      </w:r>
    </w:p>
    <w:p>
      <w:pPr>
        <w:pStyle w:val="Heading1"/>
      </w:pPr>
      <w:r>
        <w:rPr>
          <w:color w:val="000000"/>
        </w:rPr>
        <w:t>9. Evaluación del análisis documental mediante IA</w:t>
      </w:r>
    </w:p>
    <w:p>
      <w:r>
        <w:t>El proveedor de IA del producto no está seleccionado. Este plan especifica cómo evaluarlo cuando se necesite implementar E6; no presupone una API contratada ni mediciones realizadas. La revisión y confirmación humanas seguirán siendo obligatorias.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c>
          <w:tcPr>
            <w:tcW w:type="dxa" w:w="3273"/>
          </w:tcPr>
          <w:p>
            <w:pPr>
              <w:spacing w:after="20"/>
            </w:pPr>
            <w:r>
              <w:rPr>
                <w:sz w:val="16"/>
              </w:rPr>
              <w:t>Dimensión</w:t>
            </w:r>
          </w:p>
        </w:tc>
        <w:tc>
          <w:tcPr>
            <w:tcW w:type="dxa" w:w="3273"/>
          </w:tcPr>
          <w:p>
            <w:pPr>
              <w:spacing w:after="20"/>
            </w:pPr>
            <w:r>
              <w:rPr>
                <w:sz w:val="16"/>
              </w:rPr>
              <w:t>Método</w:t>
            </w:r>
          </w:p>
        </w:tc>
        <w:tc>
          <w:tcPr>
            <w:tcW w:type="dxa" w:w="3273"/>
          </w:tcPr>
          <w:p>
            <w:pPr>
              <w:spacing w:after="20"/>
            </w:pPr>
            <w:r>
              <w:rPr>
                <w:sz w:val="16"/>
              </w:rPr>
              <w:t>Objetivo inicial (no medido)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Importe total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Coincidencia exacta normalizada sobre documentos evaluables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≥98 %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Fecha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Coincidencia de fecha ISO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≥95 %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Proveedor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Coincidencia normalizada / identificador cuando exista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≥95 %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Categoría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Acuerdo con etiqueta revisada por experto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≥90 %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Alertas aritméticas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Recall de discrepancias insertadas en pruebas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≥95 %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Tasa de revisión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% de documentos con corrección humana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Registrar valor; sin umbral inicial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Coste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Coste estimado por documento y por tipo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Registrar distribución; vigilar cuota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Latencia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Mediana, p95 y tasa de fallo por formato</w:t>
            </w:r>
          </w:p>
        </w:tc>
        <w:tc>
          <w:tcPr>
            <w:tcW w:type="dxa" w:w="3273"/>
            <w:vAlign w:val="center"/>
          </w:tcPr>
          <w:p>
            <w:pPr>
              <w:spacing w:after="20"/>
            </w:pPr>
            <w:r>
              <w:rPr>
                <w:sz w:val="16"/>
              </w:rPr>
              <w:t>Registrar línea base</w:t>
            </w:r>
          </w:p>
        </w:tc>
      </w:tr>
    </w:tbl>
    <w:p>
      <w:pPr>
        <w:pStyle w:val="Heading2"/>
      </w:pPr>
      <w:r>
        <w:rPr>
          <w:color w:val="000000"/>
        </w:rPr>
        <w:t>9.1. Dataset y metodología de IA</w:t>
      </w:r>
    </w:p>
    <w:p>
      <w:pPr>
        <w:pStyle w:val="ListBullet"/>
      </w:pPr>
      <w:r>
        <w:t>Subconjuntos independientes: PDF digital, escaneo, fotografía móvil, documento multipágina, IGIC, IVA, baja calidad y casos con importes ambiguos.</w:t>
      </w:r>
    </w:p>
    <w:p>
      <w:pPr>
        <w:pStyle w:val="ListBullet"/>
      </w:pPr>
      <w:r>
        <w:t>Etiquetado humano del dato correcto por campo, indicando ausencias y discrepancias; revisión por segunda persona en muestra de control si es posible.</w:t>
      </w:r>
    </w:p>
    <w:p>
      <w:pPr>
        <w:pStyle w:val="ListBullet"/>
      </w:pPr>
      <w:r>
        <w:t>Separar dataset de desarrollo y test para reducir sobreajuste de prompts. Versionar plantillas, esquema JSON, modelo y configuración.</w:t>
      </w:r>
    </w:p>
    <w:p>
      <w:pPr>
        <w:pStyle w:val="ListBullet"/>
      </w:pPr>
      <w:r>
        <w:t>Reportar métricas por subconjunto, no solo promedio general; diferenciar errores de lectura, clasificación y validación determinista.</w:t>
      </w:r>
    </w:p>
    <w:p>
      <w:pPr>
        <w:pStyle w:val="ListBullet"/>
      </w:pPr>
      <w:r>
        <w:t>Casos de privacidad y proveedor: retención, región, subprocesadores, contratos y no filtración de información confidencial.</w:t>
      </w:r>
    </w:p>
    <w:p>
      <w:pPr>
        <w:pStyle w:val="ListBullet"/>
      </w:pPr>
      <w:r>
        <w:t>Verificar que ningún resultado extraído se contabilice automáticamente antes de aprobación humana.</w:t>
      </w:r>
    </w:p>
    <w:p>
      <w:pPr>
        <w:pStyle w:val="Heading1"/>
      </w:pPr>
      <w:r>
        <w:rPr>
          <w:color w:val="000000"/>
        </w:rPr>
        <w:t>10. Pruebas API, web y móvil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</w:tcPr>
          <w:p>
            <w:pPr>
              <w:spacing w:after="20"/>
            </w:pPr>
            <w:r>
              <w:rPr>
                <w:sz w:val="16"/>
              </w:rPr>
              <w:t>Superficie</w:t>
            </w:r>
          </w:p>
        </w:tc>
        <w:tc>
          <w:tcPr>
            <w:tcW w:type="dxa" w:w="4910"/>
          </w:tcPr>
          <w:p>
            <w:pPr>
              <w:spacing w:after="20"/>
            </w:pPr>
            <w:r>
              <w:rPr>
                <w:sz w:val="16"/>
              </w:rPr>
              <w:t>Comprobaciones prioritarias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REST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Versionado /api/v1, camelCase, decimal strings, filtros, paginación, error RFC 9457, 422/409/412, Idempotency-Key, If-Match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Web Twig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Sesión 2 horas, CSRF, formularios con líneas, visor lateral, tablas DataTables paginadas, accesibilidad de teclado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Flutter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Inicio/cierre de sesión, 2FA, cache segregada por entidad, refresh concurrente, borradores offline y reintentos tras reconexión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Asíncronos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Mensajes duplicados, workers interrumpidos, reintentos tres veces, cola fallida, estado 202→consulta y notificación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Exportaciones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CSV/XLSX/PDF/ZIP, filtros, protección tenant, enlaces temporales y auditoría</w:t>
            </w:r>
          </w:p>
        </w:tc>
      </w:tr>
    </w:tbl>
    <w:p>
      <w:pPr>
        <w:keepNext w:val="0"/>
      </w:pPr>
      <w:r>
        <w:t>La aceptación móvil se ejecutará en Android: flutter analyze, pruebas unitarias y widget, integración y flujos E2E, cámara y permisos concedidos/denegados, importación documental, autenticación y renovación de tokens, aislamiento y limpieza de caché, borradores offline y reconexión, notificaciones y enlaces cuando estén implementados. Se comprobarán instalación y arranque del APK firmado y validación del AAB generado; los resultados se vincularán al commit, versión Android, dispositivo y configuración de compilación. Se documentarán compilaciones Android mediante flutter build apk --release y flutter build appbundle --release, con configuración de firma de publicación. El APK firmado permite instalación y demostración; el AAB firmado se prepara para distribución mediante Google Play, que no es obligatoria para superar el TFM. Keystore, contraseñas y archivos privados de firma quedarán fuera del repositorio y de las evidencias, con copia de recuperación y acceso controlado.</w:t>
      </w:r>
    </w:p>
    <w:p>
      <w:pPr>
        <w:pStyle w:val="Heading1"/>
      </w:pPr>
      <w:r>
        <w:rPr>
          <w:color w:val="000000"/>
        </w:rPr>
        <w:t>11. Rendimiento, accesibilidad y continuidad</w:t>
      </w:r>
    </w:p>
    <w:p>
      <w:r>
        <w:t>Objetivos iniciales de referencia para entorno controlado; se calibrarán con la infraestructura real y la carga del MVP aprobada (aprox. 20 usuarios y 100 oportunidades/mes no es una métrica aplicable a este SaaS: el volumen de documentos deberá medirse aparte).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</w:tcPr>
          <w:p>
            <w:pPr>
              <w:spacing w:after="20"/>
            </w:pPr>
            <w:r>
              <w:rPr>
                <w:sz w:val="16"/>
              </w:rPr>
              <w:t>Dimensión</w:t>
            </w:r>
          </w:p>
        </w:tc>
        <w:tc>
          <w:tcPr>
            <w:tcW w:type="dxa" w:w="4910"/>
          </w:tcPr>
          <w:p>
            <w:pPr>
              <w:spacing w:after="20"/>
            </w:pPr>
            <w:r>
              <w:rPr>
                <w:sz w:val="16"/>
              </w:rPr>
              <w:t>Procedimiento / criterio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Carga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Definir mezcla representativa de usuarios, consultas y subidas; medir p50/p95 y errores por operación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Procesamiento documental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Medir tiempos hasta revisión, cola, volumen de PDF y errores con lotes sintéticos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Accesibilidad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Navegación teclado, foco visible, etiquetas de formularios, contraste, lectores de pantalla en flujos críticos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Backups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Restaurar MySQL y almacenamiento de documentos; verificar coherencia y trazabilidad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Objetivos operativos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RPO objetivo 24 h, RTO objetivo 8 h; registrar medición real y desviaciones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Privacidad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Probar eliminación/retención según obligación legal y exportación del interesado</w:t>
            </w:r>
          </w:p>
        </w:tc>
      </w:tr>
    </w:tbl>
    <w:p>
      <w:pPr>
        <w:pStyle w:val="Heading1"/>
      </w:pPr>
      <w:r>
        <w:rPr>
          <w:color w:val="000000"/>
        </w:rPr>
        <w:t>12. CI/CD, puertas de calidad y criterios de salida</w:t>
      </w:r>
    </w:p>
    <w:p>
      <w:pPr>
        <w:pStyle w:val="ListBullet"/>
      </w:pPr>
      <w:r>
        <w:t>Pull request feature/*→develop: linters, PHPStan, tests de dominio/aplicación/integración relevantes, análisis Dart, validación OpenAPI y comprobación de secretos.</w:t>
      </w:r>
    </w:p>
    <w:p>
      <w:pPr>
        <w:pStyle w:val="ListBullet"/>
      </w:pPr>
      <w:r>
        <w:t>Pull request develop→main: suite completa, E2E seleccionados, aprobación humana, revisión de migraciones y seguridad, creación de release versionada.</w:t>
      </w:r>
    </w:p>
    <w:p>
      <w:pPr>
        <w:pStyle w:val="ListBullet"/>
      </w:pPr>
      <w:r>
        <w:t>Despliegue: healthchecks, revisión de workers, migraciones compatibles y procedimiento de rollback documentado.</w:t>
      </w:r>
    </w:p>
    <w:p>
      <w:pPr>
        <w:pStyle w:val="ListBullet"/>
      </w:pPr>
      <w:r>
        <w:t>Se considera bloqueante: fuga entre entidades, cálculo fiscal incorrecto en caso soportado, bypass de autorización, pérdida de documentos o pruebas críticas fallidas.</w:t>
      </w:r>
    </w:p>
    <w:p>
      <w:pPr>
        <w:pStyle w:val="ListBullet"/>
      </w:pPr>
      <w:r>
        <w:t>El MVP solo se considerará validado cuando exista acta de ejecución con estado real de cada escenario E2E y lista explícita de incidencias abiertas.</w:t>
      </w:r>
    </w:p>
    <w:p>
      <w:pPr>
        <w:pStyle w:val="Heading1"/>
      </w:pPr>
      <w:r>
        <w:rPr>
          <w:color w:val="000000"/>
        </w:rPr>
        <w:t>13. Evaluación del desarrollo asistido por IA</w:t>
      </w:r>
    </w:p>
    <w:p>
      <w:r>
        <w:t>Herramientas elegidas: ChatGPT Plus para ideación, requisitos, decisiones y documentación; Cursor Pro para programación, refactorización, generación de pruebas y asistencia contextual. Claude Code y GitHub Copilot se descartan del stack inicial. No se afirmará que una herramienta ha mejorado productividad sin medirlo.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</w:tcPr>
          <w:p>
            <w:pPr>
              <w:spacing w:after="20"/>
            </w:pPr>
            <w:r>
              <w:rPr>
                <w:sz w:val="16"/>
              </w:rPr>
              <w:t>Métrica</w:t>
            </w:r>
          </w:p>
        </w:tc>
        <w:tc>
          <w:tcPr>
            <w:tcW w:type="dxa" w:w="4910"/>
          </w:tcPr>
          <w:p>
            <w:pPr>
              <w:spacing w:after="20"/>
            </w:pPr>
            <w:r>
              <w:rPr>
                <w:sz w:val="16"/>
              </w:rPr>
              <w:t>Definición y forma de recogerla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Tiempo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Minutos desde inicio hasta cumplir Definition of Done; anotar pausas e interrupciones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Iteraciones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Número de ciclos prompt→cambio→revisión en tarea comparable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Calidad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Pruebas verdes, defectos introducidos y defectos detectados en revisión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Intervención humana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Correcciones manuales relevantes y decisiones que la IA no tomó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Reproducibilidad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Prompt depurado, contexto, modelo/herramienta, especificación y commit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Productividad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Tiempo y calidad por complejidad comparable; comunicar sesgos y tamaño muestral</w:t>
            </w:r>
          </w:p>
        </w:tc>
      </w:tr>
    </w:tbl>
    <w:p>
      <w:pPr>
        <w:pStyle w:val="Heading2"/>
      </w:pPr>
      <w:r>
        <w:rPr>
          <w:color w:val="000000"/>
        </w:rPr>
        <w:t>13.1. Ficha de evidencia IA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</w:tcPr>
          <w:p>
            <w:pPr>
              <w:spacing w:after="20"/>
            </w:pPr>
            <w:r>
              <w:rPr>
                <w:sz w:val="16"/>
              </w:rPr>
              <w:t>Campo</w:t>
            </w:r>
          </w:p>
        </w:tc>
        <w:tc>
          <w:tcPr>
            <w:tcW w:type="dxa" w:w="4910"/>
          </w:tcPr>
          <w:p>
            <w:pPr>
              <w:spacing w:after="20"/>
            </w:pPr>
            <w:r>
              <w:rPr>
                <w:sz w:val="16"/>
              </w:rPr>
              <w:t>Ejemplo / criterio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ID tarea / historia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E4 / EXP-001; vínculo al DOC-07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Objetivo y contexto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Implementar registro manual de gasto con las reglas aprobadas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Herramienta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Cursor Pro; ChatGPT Plus si participó en análisis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Entrada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Referencia a especificación y prompt preservado sin secretos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Salida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PR, diff, pruebas generadas y resultados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Revisión humana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Cambios aceptados / rechazados, causa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Esfuerzo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Tiempo total y número de iteraciones reales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Conclusión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Valor aportado, limitaciones y riesgos observados</w:t>
            </w:r>
          </w:p>
        </w:tc>
      </w:tr>
    </w:tbl>
    <w:p>
      <w:r>
        <w:t>Para comparaciones manual/IA, seleccionar tareas acotadas y comparables. Documentar que una sola persona, su familiaridad con PHP y el efecto de aprendizaje impiden extrapolar los resultados a cualquier equipo.</w:t>
      </w:r>
    </w:p>
    <w:p>
      <w:pPr>
        <w:pStyle w:val="Heading1"/>
      </w:pPr>
      <w:r>
        <w:rPr>
          <w:color w:val="000000"/>
        </w:rPr>
        <w:t>14. Registro de incidencias, evidencias y aceptación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</w:tcPr>
          <w:p>
            <w:pPr>
              <w:spacing w:after="20"/>
            </w:pPr>
            <w:r>
              <w:rPr>
                <w:sz w:val="16"/>
              </w:rPr>
              <w:t>Artefacto</w:t>
            </w:r>
          </w:p>
        </w:tc>
        <w:tc>
          <w:tcPr>
            <w:tcW w:type="dxa" w:w="4910"/>
          </w:tcPr>
          <w:p>
            <w:pPr>
              <w:spacing w:after="20"/>
            </w:pPr>
            <w:r>
              <w:rPr>
                <w:sz w:val="16"/>
              </w:rPr>
              <w:t>Ubicación recomendada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Test case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docs/testing/test-cases/&lt;id&gt;.md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Informe de ejecución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docs/testing/runs/&lt;fecha&gt;-&lt;version&gt;.md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Defectos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Issues del repositorio y PR correctora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Datos sintéticos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tests/Fixtures/ o equivalente, sin datos reales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Evidencia IA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docs/evidence/ai/&lt;id&gt;.md y referencia al commit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Informe final TFM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Resumen de cobertura, precisión IA, pruebas fiscales, fallos y límites</w:t>
            </w:r>
          </w:p>
        </w:tc>
      </w:tr>
    </w:tbl>
    <w:p>
      <w:r>
        <w:t>Cada defecto incluirá severidad, reproducibilidad, entorno, causa identificada si se conoce y estado. Toda evidencia que provenga de terceros se citará o adjuntará según las reglas académicas. Los resultados «no ejecutados» deberán conservarse explícitos.</w:t>
      </w:r>
    </w:p>
    <w:p>
      <w:pPr>
        <w:pStyle w:val="Heading1"/>
      </w:pPr>
      <w:r>
        <w:rPr>
          <w:color w:val="000000"/>
        </w:rPr>
        <w:t>15. Hitos y responsabilidades de ejecución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</w:tcPr>
          <w:p>
            <w:pPr>
              <w:spacing w:after="20"/>
            </w:pPr>
            <w:r>
              <w:rPr>
                <w:sz w:val="16"/>
              </w:rPr>
              <w:t>Etapa</w:t>
            </w:r>
          </w:p>
        </w:tc>
        <w:tc>
          <w:tcPr>
            <w:tcW w:type="dxa" w:w="4910"/>
          </w:tcPr>
          <w:p>
            <w:pPr>
              <w:spacing w:after="20"/>
            </w:pPr>
            <w:r>
              <w:rPr>
                <w:sz w:val="16"/>
              </w:rPr>
              <w:t>Validación mínima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E0–E2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Infraestructura, CI, autenticación, permisos, aislamiento y sesiones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E3–E5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Operaciones financieras, documentos, duplicados, seguridad de cargas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E6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Dataset IA, métricas, revisión humana y coste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E7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Batería fiscal versionada y revisión de reglas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E8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Dashboards, informes, exportaciones, usabilidad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E9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E2E-01 a E2E-14, recuperación, accesibilidad y memoria de resultados</w:t>
            </w:r>
          </w:p>
        </w:tc>
      </w:tr>
    </w:tbl>
    <w:p>
      <w:pPr>
        <w:pStyle w:val="Heading1"/>
      </w:pPr>
      <w:r>
        <w:rPr>
          <w:color w:val="000000"/>
        </w:rPr>
        <w:t>16. Decisiones ya fijadas y asuntos pendientes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</w:tcPr>
          <w:p>
            <w:pPr>
              <w:spacing w:after="20"/>
            </w:pPr>
            <w:r>
              <w:rPr>
                <w:sz w:val="16"/>
              </w:rPr>
              <w:t>Decisión cerrada</w:t>
            </w:r>
          </w:p>
        </w:tc>
        <w:tc>
          <w:tcPr>
            <w:tcW w:type="dxa" w:w="4910"/>
          </w:tcPr>
          <w:p>
            <w:pPr>
              <w:spacing w:after="20"/>
            </w:pPr>
            <w:r>
              <w:rPr>
                <w:sz w:val="16"/>
              </w:rPr>
              <w:t>Pendiente de ejecución / validación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MVP con 130/303/420 soportados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Fixtures normativos por caso y validación profesional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Proveedores IA desacoplados y sin seleccionar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Benchmark real y decisión E6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CI, Docker, entornos y backups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Ejecutar restauración; medir RPO/RTO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ChatGPT Plus y Cursor Pro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Registrar evidencias verificables y tiempos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Monorepositorio develop/main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Implementar protecciones, CI y permisos de rama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50 análisis/entidad/mes</w:t>
            </w:r>
          </w:p>
        </w:tc>
        <w:tc>
          <w:tcPr>
            <w:tcW w:type="dxa" w:w="4910"/>
            <w:vAlign w:val="center"/>
          </w:tcPr>
          <w:p>
            <w:pPr>
              <w:spacing w:after="20"/>
            </w:pPr>
            <w:r>
              <w:rPr>
                <w:sz w:val="16"/>
              </w:rPr>
              <w:t>Testear cuota, carrera de concurrencia y fallos facturables</w:t>
            </w:r>
          </w:p>
        </w:tc>
      </w:tr>
    </w:tbl>
    <w:p>
      <w:r>
        <w:t>Control de cambios: las mejoras surgidas al ejecutar estas pruebas deberán documentarse como issues o ADR; no alterarán silenciosamente el alcance funcional congelado.</w:t>
      </w:r>
    </w:p>
    <w:p>
      <w:pPr>
        <w:pStyle w:val="Heading1"/>
      </w:pPr>
      <w:r>
        <w:rPr>
          <w:color w:val="000000"/>
        </w:rPr>
        <w:t>Anexo A. Plantilla de caso de prueba</w:t>
      </w:r>
    </w:p>
    <w:p>
      <w:r>
        <w:t>ID: SEC-01  |  Requisito: aislamiento por entidad fiscal  |  Prioridad: crítica</w:t>
      </w:r>
    </w:p>
    <w:p>
      <w:r>
        <w:t>Dado: un usuario pertenece a la entidad fiscal A y no dispone de permisos sobre B.</w:t>
        <w:br/>
        <w:t>Cuando: realiza GET /api/v1/fiscal-entities/{B}/expenses usando una sesión válida de A.</w:t>
        <w:br/>
        <w:t>Entonces: recibe una respuesta de acceso denegado sin contenido fiscal de B; no se modifica ningún dato; el intento queda registrado sin incluir información sensible.</w:t>
      </w:r>
    </w:p>
    <w:p>
      <w:r>
        <w:t>Precondiciones: fixtures sintéticos A/B y token activo. Evidencia esperada: captura del status HTTP, cuerpo depurado y aserciones de base de datos. Resultado actual: NO EJECUTADO.</w:t>
      </w:r>
    </w:p>
    <w:p>
      <w:pPr>
        <w:pStyle w:val="Heading1"/>
      </w:pPr>
      <w:r>
        <w:rPr>
          <w:color w:val="000000"/>
        </w:rPr>
        <w:t>Anexo B. Lista de entrega para defensa</w:t>
      </w:r>
    </w:p>
    <w:p>
      <w:pPr>
        <w:pStyle w:val="ListBullet"/>
      </w:pPr>
      <w:r>
        <w:t>DOC-08 versionado con el repositorio y actualizado con referencias a evidencia real.</w:t>
      </w:r>
    </w:p>
    <w:p>
      <w:pPr>
        <w:pStyle w:val="ListBullet"/>
      </w:pPr>
      <w:r>
        <w:t>Exportación de resultados de CI por versión, con pruebas pasadas, fallidas y omitidas.</w:t>
      </w:r>
    </w:p>
    <w:p>
      <w:pPr>
        <w:pStyle w:val="ListBullet"/>
      </w:pPr>
      <w:r>
        <w:t>Demostración E2E sobre datos sintéticos y explicación de los casos no soportados.</w:t>
      </w:r>
    </w:p>
    <w:p>
      <w:pPr>
        <w:pStyle w:val="ListBullet"/>
      </w:pPr>
      <w:r>
        <w:t>Tabla de precisión IA por tipo documental con tamaño de muestra, modelo y coste.</w:t>
      </w:r>
    </w:p>
    <w:p>
      <w:pPr>
        <w:pStyle w:val="ListBullet"/>
      </w:pPr>
      <w:r>
        <w:t>Casos fiscales reproducibles con regla aplicada, desglose y validación de la expectativa.</w:t>
      </w:r>
    </w:p>
    <w:p>
      <w:pPr>
        <w:pStyle w:val="ListBullet"/>
      </w:pPr>
      <w:r>
        <w:t>Registro de tareas asistidas por ChatGPT/Cursor, prompts seleccionados y revisión humana.</w:t>
      </w:r>
    </w:p>
    <w:p>
      <w:pPr>
        <w:pStyle w:val="ListBullet"/>
      </w:pPr>
      <w:r>
        <w:t>Informe de limitaciones, riesgos residuales y propuestas para fases comerciales.</w:t>
      </w:r>
    </w:p>
    <w:p>
      <w:pPr>
        <w:pStyle w:val="Heading1"/>
      </w:pPr>
      <w:r>
        <w:rPr>
          <w:color w:val="000000"/>
        </w:rPr>
        <w:t>Anexo C Casos de verificación Android y futura etapa iOS</w:t>
      </w:r>
    </w:p>
    <w:p>
      <w:r>
        <w:t>AND-ENV-01 — E0: registrar toolchain, licencias y detección ADB/Flutter; ejecutar app en emulador y Android físico. Resultado esperado: arranque y depuración sin bloqueos de entorno.</w:t>
      </w:r>
    </w:p>
    <w:p>
      <w:r>
        <w:t>AND-REL-01 — E9: generar APK release firmado, comprobar firma, instalar y ejecutar flujo de demostración con datos ficticios. Registrar versión, commit y huella del artefacto, sin secretos.</w:t>
      </w:r>
    </w:p>
    <w:p>
      <w:r>
        <w:t>AND-REL-02 — E9: generar AAB release firmado y validar estructura/firma con las herramientas pertinentes; usar bundletool o canal interno si procede para verificar instalación derivada. No intentar instalar directamente el AAB como APK.</w:t>
      </w:r>
    </w:p>
    <w:p>
      <w:r>
        <w:t>IOS-ROAD-01 — No ejecutable como aceptación inicial: habilitar Mac/Xcode/simulador, revisar plugins y permisos, repetir regresión de plataforma y completar firma y membresía antes de distribuir. Estado inicial: planificado, sin resultado observado.</w:t>
      </w:r>
    </w:p>
    <w:p>
      <w:pPr>
        <w:pStyle w:val="Heading1"/>
      </w:pPr>
      <w:r>
        <w:rPr>
          <w:color w:val="000000"/>
        </w:rPr>
        <w:t>Registro de cambio de la versión 1 1</w:t>
      </w:r>
    </w:p>
    <w:p>
      <w:r>
        <w:t>18 de octubre de 2026 — ADR-009 — Decisión del responsable del TFM: entrega móvil inicial Android y definición del entorno de desarrollo. La revisión actualiza alcance de plataforma, herramientas, planificación, pruebas y evidencias; no acredita implementación ni ejecución de pruebas.</w:t>
      </w:r>
    </w:p>
    <w:p>
      <w:r>
        <w:t>Flutter mantiene su arquitectura multiplataforma y una base de código común. La primera entrega móvil del TFM se desarrolla, prueba y entrega para Android; iOS queda en el roadmap y no es criterio de aceptación de esta entrega.</w:t>
      </w:r>
    </w:p>
    <w:p>
      <w:r>
        <w:t>Se conservan el monorepositorio, develop y main protegida, Symfony/Twig/API compartidos, Feature-First y MVVM con Riverpod, GoRouter y Dio, y los contratos y reglas funcionales aprobados. Se mantienen aislamiento por FiscalEntity, precisión decimal, fiscalidad determinista y confirmación humana de datos extraídos por IA. Este cambio no selecciona proveedor IA del producto ni modifica cuotas, permisos o cobertura tributaria.</w:t>
      </w:r>
    </w:p>
    <w:p>
      <w:pPr>
        <w:pStyle w:val="Heading1"/>
      </w:pPr>
      <w:r>
        <w:rPr>
          <w:color w:val="000000"/>
        </w:rPr>
        <w:t>Referencias para el entorno móvil</w:t>
      </w:r>
    </w:p>
    <w:p>
      <w:r>
        <w:t>https://docs.flutter.dev/tools/vs-code</w:t>
      </w:r>
    </w:p>
    <w:p>
      <w:r>
        <w:t>https://docs.flutter.dev/platform-integration/android/setup</w:t>
      </w:r>
    </w:p>
    <w:p>
      <w:r>
        <w:t>https://docs.flutter.dev/deployment/android</w:t>
      </w:r>
    </w:p>
    <w:p>
      <w:r>
        <w:t>https://docs.flutter.dev/platform-integration/ios/setup</w:t>
      </w:r>
    </w:p>
    <w:p>
      <w:r>
        <w:t>https://docs.flutter.dev/deployment/ios</w:t>
      </w:r>
    </w:p>
    <w:p>
      <w:r>
        <w:t>Documentación oficial Flutter consultada el 18 de octubre de 2026. Las versiones exactas y su compatibilidad se fijarán durante E0.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94" w:right="1210" w:bottom="1037" w:left="12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DOC-08 · v1.0 · 17/10/2026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TFM  |  SaaS de gestión fiscal y documental  •  DOC-08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