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840A2C" w:rsidRDefault="006123EF" w:rsidP="006123EF">
      <w:pPr>
        <w:jc w:val="center"/>
        <w:rPr>
          <w:rFonts w:ascii="Calibri" w:hAnsi="Calibri" w:cs="Calibri"/>
        </w:rPr>
      </w:pPr>
      <w:r w:rsidRPr="00840A2C">
        <w:rPr>
          <w:rFonts w:ascii="Calibri" w:hAnsi="Calibri" w:cs="Calibri"/>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Albert-Ludwig-University Freiburg</w:t>
      </w:r>
      <w:r w:rsidRPr="00840A2C">
        <w:rPr>
          <w:rFonts w:ascii="Calibri" w:hAnsi="Calibri" w:cs="Calibri"/>
          <w:sz w:val="24"/>
          <w:szCs w:val="24"/>
        </w:rPr>
        <w:br/>
        <w:t>Faculty of Environment and Natural Resources</w:t>
      </w:r>
    </w:p>
    <w:p w14:paraId="3CFC32A5" w14:textId="77777777" w:rsidR="006123EF" w:rsidRPr="00840A2C" w:rsidRDefault="006123EF" w:rsidP="009B0373">
      <w:pPr>
        <w:rPr>
          <w:rFonts w:ascii="Calibri" w:hAnsi="Calibri" w:cs="Calibri"/>
          <w:sz w:val="24"/>
          <w:szCs w:val="24"/>
        </w:rPr>
      </w:pPr>
    </w:p>
    <w:p w14:paraId="6ADE66DB" w14:textId="38B8D30C" w:rsidR="006123EF" w:rsidRPr="00840A2C" w:rsidRDefault="00C769C1" w:rsidP="006123EF">
      <w:pPr>
        <w:jc w:val="center"/>
        <w:rPr>
          <w:rFonts w:ascii="Calibri" w:hAnsi="Calibri" w:cs="Calibri"/>
          <w:b/>
          <w:sz w:val="40"/>
          <w:szCs w:val="40"/>
        </w:rPr>
      </w:pPr>
      <w:r w:rsidRPr="00840A2C">
        <w:rPr>
          <w:rFonts w:ascii="Calibri" w:hAnsi="Calibri" w:cs="Calibri"/>
          <w:b/>
          <w:sz w:val="40"/>
          <w:szCs w:val="40"/>
        </w:rPr>
        <w:t xml:space="preserve">Measuring What Matters: </w:t>
      </w:r>
      <w:r w:rsidR="00946D98" w:rsidRPr="00840A2C">
        <w:rPr>
          <w:rFonts w:ascii="Calibri" w:hAnsi="Calibri" w:cs="Calibri"/>
          <w:b/>
          <w:sz w:val="40"/>
          <w:szCs w:val="40"/>
        </w:rPr>
        <w:t xml:space="preserve">Towards A Comprehensive Approach to Measuring </w:t>
      </w:r>
      <w:r w:rsidR="00840A2C" w:rsidRPr="00840A2C">
        <w:rPr>
          <w:rFonts w:ascii="Calibri" w:hAnsi="Calibri" w:cs="Calibri"/>
          <w:b/>
          <w:sz w:val="40"/>
          <w:szCs w:val="40"/>
        </w:rPr>
        <w:t>Students‘</w:t>
      </w:r>
      <w:r w:rsidR="00840A2C">
        <w:rPr>
          <w:rFonts w:ascii="Calibri" w:hAnsi="Calibri" w:cs="Calibri"/>
          <w:b/>
          <w:sz w:val="40"/>
          <w:szCs w:val="40"/>
        </w:rPr>
        <w:t xml:space="preserve"> </w:t>
      </w:r>
      <w:r w:rsidR="00840A2C" w:rsidRPr="00840A2C">
        <w:rPr>
          <w:rFonts w:ascii="Calibri" w:hAnsi="Calibri" w:cs="Calibri"/>
          <w:b/>
          <w:sz w:val="40"/>
          <w:szCs w:val="40"/>
        </w:rPr>
        <w:t>Sustainability</w:t>
      </w:r>
      <w:r w:rsidR="00946D98" w:rsidRPr="00840A2C">
        <w:rPr>
          <w:rFonts w:ascii="Calibri" w:hAnsi="Calibri" w:cs="Calibri"/>
          <w:b/>
          <w:sz w:val="40"/>
          <w:szCs w:val="40"/>
        </w:rPr>
        <w:t xml:space="preserve"> Competencies by </w:t>
      </w:r>
      <w:r w:rsidR="00946D98" w:rsidRPr="00840A2C">
        <w:rPr>
          <w:rFonts w:ascii="Calibri" w:hAnsi="Calibri" w:cs="Calibri"/>
          <w:b/>
          <w:sz w:val="40"/>
          <w:szCs w:val="40"/>
        </w:rPr>
        <w:t>I</w:t>
      </w:r>
      <w:r w:rsidR="00946D98" w:rsidRPr="00840A2C">
        <w:rPr>
          <w:rFonts w:ascii="Calibri" w:hAnsi="Calibri" w:cs="Calibri"/>
          <w:b/>
          <w:sz w:val="40"/>
          <w:szCs w:val="40"/>
        </w:rPr>
        <w:t>ntegrating Efficacy Beliefs</w:t>
      </w:r>
    </w:p>
    <w:p w14:paraId="2B1FF860" w14:textId="77777777" w:rsidR="00C769C1" w:rsidRPr="00840A2C" w:rsidRDefault="00C769C1" w:rsidP="006123EF">
      <w:pPr>
        <w:jc w:val="center"/>
        <w:rPr>
          <w:rFonts w:ascii="Calibri" w:hAnsi="Calibri" w:cs="Calibri"/>
          <w:sz w:val="24"/>
          <w:szCs w:val="24"/>
        </w:rPr>
      </w:pPr>
    </w:p>
    <w:p w14:paraId="711CC16A" w14:textId="08A979A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 xml:space="preserve">Master-thesis submitted in partial </w:t>
      </w:r>
      <w:r w:rsidR="00840A2C" w:rsidRPr="00840A2C">
        <w:rPr>
          <w:rFonts w:ascii="Calibri" w:hAnsi="Calibri" w:cs="Calibri"/>
          <w:sz w:val="24"/>
          <w:szCs w:val="24"/>
        </w:rPr>
        <w:t>fulfilment</w:t>
      </w:r>
      <w:r w:rsidRPr="00840A2C">
        <w:rPr>
          <w:rFonts w:ascii="Calibri" w:hAnsi="Calibri" w:cs="Calibri"/>
          <w:sz w:val="24"/>
          <w:szCs w:val="24"/>
        </w:rPr>
        <w:t xml:space="preserve"> of the requirements for the degree of </w:t>
      </w:r>
      <w:r w:rsidR="00840A2C">
        <w:rPr>
          <w:rFonts w:ascii="Calibri" w:hAnsi="Calibri" w:cs="Calibri"/>
          <w:sz w:val="24"/>
          <w:szCs w:val="24"/>
        </w:rPr>
        <w:br/>
      </w:r>
      <w:r w:rsidRPr="00840A2C">
        <w:rPr>
          <w:rFonts w:ascii="Calibri" w:hAnsi="Calibri" w:cs="Calibri"/>
          <w:sz w:val="24"/>
          <w:szCs w:val="24"/>
        </w:rPr>
        <w:t>Master of Science Environmental Governance</w:t>
      </w:r>
    </w:p>
    <w:p w14:paraId="7734E209"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by</w:t>
      </w:r>
    </w:p>
    <w:p w14:paraId="42D06E14" w14:textId="77777777" w:rsidR="00001BC1" w:rsidRPr="00840A2C" w:rsidRDefault="00001BC1" w:rsidP="006123EF">
      <w:pPr>
        <w:jc w:val="center"/>
        <w:rPr>
          <w:rFonts w:ascii="Calibri" w:hAnsi="Calibri" w:cs="Calibri"/>
          <w:sz w:val="24"/>
          <w:szCs w:val="24"/>
        </w:rPr>
      </w:pPr>
    </w:p>
    <w:p w14:paraId="511BC404" w14:textId="39EBC84E" w:rsidR="006123EF" w:rsidRPr="00840A2C" w:rsidRDefault="00B13AC2" w:rsidP="006123EF">
      <w:pPr>
        <w:jc w:val="center"/>
        <w:rPr>
          <w:rFonts w:ascii="Calibri" w:hAnsi="Calibri" w:cs="Calibri"/>
          <w:b/>
          <w:sz w:val="28"/>
          <w:szCs w:val="28"/>
        </w:rPr>
      </w:pPr>
      <w:r w:rsidRPr="00840A2C">
        <w:rPr>
          <w:rFonts w:ascii="Calibri" w:hAnsi="Calibri" w:cs="Calibri"/>
          <w:b/>
          <w:sz w:val="28"/>
          <w:szCs w:val="28"/>
        </w:rPr>
        <w:t>Daniela Naveena Gargya</w:t>
      </w:r>
    </w:p>
    <w:p w14:paraId="313BA39F" w14:textId="34EDE5BD" w:rsidR="006123EF" w:rsidRPr="00840A2C" w:rsidRDefault="00B13AC2" w:rsidP="006123EF">
      <w:pPr>
        <w:jc w:val="center"/>
        <w:rPr>
          <w:rFonts w:ascii="Calibri" w:hAnsi="Calibri" w:cs="Calibri"/>
          <w:sz w:val="24"/>
          <w:szCs w:val="24"/>
        </w:rPr>
      </w:pPr>
      <w:r w:rsidRPr="00840A2C">
        <w:rPr>
          <w:rFonts w:ascii="Calibri" w:hAnsi="Calibri" w:cs="Calibri"/>
          <w:sz w:val="24"/>
          <w:szCs w:val="24"/>
        </w:rPr>
        <w:t>5107568</w:t>
      </w:r>
    </w:p>
    <w:p w14:paraId="34A8011E" w14:textId="77777777" w:rsidR="006123EF" w:rsidRPr="00840A2C" w:rsidRDefault="006123EF" w:rsidP="00881694">
      <w:pPr>
        <w:rPr>
          <w:rFonts w:ascii="Calibri" w:hAnsi="Calibri" w:cs="Calibri"/>
          <w:sz w:val="24"/>
          <w:szCs w:val="24"/>
        </w:rPr>
      </w:pPr>
    </w:p>
    <w:p w14:paraId="2C3FBE22" w14:textId="77777777" w:rsidR="006123EF" w:rsidRPr="00840A2C" w:rsidRDefault="006123EF" w:rsidP="006123EF">
      <w:pPr>
        <w:jc w:val="center"/>
        <w:rPr>
          <w:rFonts w:ascii="Calibri" w:hAnsi="Calibri" w:cs="Calibri"/>
          <w:sz w:val="24"/>
          <w:szCs w:val="24"/>
        </w:rPr>
      </w:pPr>
      <w:r w:rsidRPr="00840A2C">
        <w:rPr>
          <w:rFonts w:ascii="Calibri" w:hAnsi="Calibri" w:cs="Calibri"/>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840A2C" w:rsidRDefault="006123EF" w:rsidP="006123EF">
      <w:pPr>
        <w:jc w:val="center"/>
        <w:rPr>
          <w:rFonts w:ascii="Calibri" w:hAnsi="Calibri" w:cs="Calibri"/>
          <w:sz w:val="24"/>
          <w:szCs w:val="24"/>
        </w:rPr>
      </w:pPr>
    </w:p>
    <w:p w14:paraId="11918701" w14:textId="586BFFBA" w:rsidR="006123EF" w:rsidRPr="00840A2C" w:rsidRDefault="006123EF" w:rsidP="00EE4EDA">
      <w:pPr>
        <w:jc w:val="center"/>
        <w:rPr>
          <w:rFonts w:ascii="Calibri" w:hAnsi="Calibri" w:cs="Calibri"/>
          <w:sz w:val="24"/>
          <w:szCs w:val="24"/>
        </w:rPr>
      </w:pPr>
      <w:r w:rsidRPr="00840A2C">
        <w:rPr>
          <w:rFonts w:ascii="Calibri" w:hAnsi="Calibri" w:cs="Calibri"/>
          <w:sz w:val="24"/>
          <w:szCs w:val="24"/>
        </w:rPr>
        <w:t>First supervisor</w:t>
      </w:r>
      <w:r w:rsidR="001E1651" w:rsidRPr="00840A2C">
        <w:rPr>
          <w:rFonts w:ascii="Calibri" w:hAnsi="Calibri" w:cs="Calibri"/>
          <w:sz w:val="24"/>
          <w:szCs w:val="24"/>
        </w:rPr>
        <w:t xml:space="preserve">: </w:t>
      </w:r>
      <w:r w:rsidR="00543767" w:rsidRPr="00840A2C">
        <w:rPr>
          <w:rFonts w:ascii="Calibri" w:hAnsi="Calibri" w:cs="Calibri"/>
          <w:sz w:val="24"/>
          <w:szCs w:val="24"/>
        </w:rPr>
        <w:t xml:space="preserve">Prof. </w:t>
      </w:r>
      <w:proofErr w:type="spellStart"/>
      <w:r w:rsidR="00543767" w:rsidRPr="00840A2C">
        <w:rPr>
          <w:rFonts w:ascii="Calibri" w:hAnsi="Calibri" w:cs="Calibri"/>
          <w:sz w:val="24"/>
          <w:szCs w:val="24"/>
        </w:rPr>
        <w:t>Dr.</w:t>
      </w:r>
      <w:proofErr w:type="spellEnd"/>
      <w:r w:rsidR="00543767" w:rsidRPr="00840A2C">
        <w:rPr>
          <w:rFonts w:ascii="Calibri" w:hAnsi="Calibri" w:cs="Calibri"/>
          <w:sz w:val="24"/>
          <w:szCs w:val="24"/>
        </w:rPr>
        <w:t xml:space="preserve"> Astrid </w:t>
      </w:r>
      <w:proofErr w:type="spellStart"/>
      <w:r w:rsidR="00543767" w:rsidRPr="00840A2C">
        <w:rPr>
          <w:rFonts w:ascii="Calibri" w:hAnsi="Calibri" w:cs="Calibri"/>
          <w:sz w:val="24"/>
          <w:szCs w:val="24"/>
        </w:rPr>
        <w:t>Carrapatoso</w:t>
      </w:r>
      <w:proofErr w:type="spellEnd"/>
      <w:r w:rsidR="00543767" w:rsidRPr="00840A2C">
        <w:rPr>
          <w:rFonts w:ascii="Calibri" w:hAnsi="Calibri" w:cs="Calibri"/>
          <w:sz w:val="24"/>
          <w:szCs w:val="24"/>
        </w:rPr>
        <w:t xml:space="preserve">, </w:t>
      </w:r>
      <w:proofErr w:type="spellStart"/>
      <w:r w:rsidR="00543767" w:rsidRPr="00840A2C">
        <w:rPr>
          <w:rFonts w:ascii="Calibri" w:hAnsi="Calibri" w:cs="Calibri"/>
          <w:sz w:val="24"/>
          <w:szCs w:val="24"/>
        </w:rPr>
        <w:t>Pädagogische</w:t>
      </w:r>
      <w:proofErr w:type="spellEnd"/>
      <w:r w:rsidR="00543767" w:rsidRPr="00840A2C">
        <w:rPr>
          <w:rFonts w:ascii="Calibri" w:hAnsi="Calibri" w:cs="Calibri"/>
          <w:sz w:val="24"/>
          <w:szCs w:val="24"/>
        </w:rPr>
        <w:t xml:space="preserve"> Hochschule Freiburg</w:t>
      </w:r>
      <w:r w:rsidR="00001BC1" w:rsidRPr="00840A2C">
        <w:rPr>
          <w:rFonts w:ascii="Calibri" w:hAnsi="Calibri" w:cs="Calibri"/>
          <w:sz w:val="24"/>
          <w:szCs w:val="24"/>
        </w:rPr>
        <w:br/>
      </w:r>
      <w:r w:rsidRPr="00840A2C">
        <w:rPr>
          <w:rFonts w:ascii="Calibri" w:hAnsi="Calibri" w:cs="Calibri"/>
          <w:sz w:val="24"/>
          <w:szCs w:val="24"/>
        </w:rPr>
        <w:t>Second supervisor:</w:t>
      </w:r>
      <w:r w:rsidR="001E1651" w:rsidRPr="00840A2C">
        <w:rPr>
          <w:rFonts w:ascii="Calibri" w:hAnsi="Calibri" w:cs="Calibri"/>
          <w:sz w:val="24"/>
          <w:szCs w:val="24"/>
        </w:rPr>
        <w:t xml:space="preserve"> </w:t>
      </w:r>
      <w:r w:rsidR="00543767" w:rsidRPr="00840A2C">
        <w:rPr>
          <w:rFonts w:ascii="Calibri" w:hAnsi="Calibri" w:cs="Calibri"/>
          <w:sz w:val="24"/>
          <w:szCs w:val="24"/>
        </w:rPr>
        <w:t xml:space="preserve">Prof. </w:t>
      </w:r>
      <w:proofErr w:type="spellStart"/>
      <w:r w:rsidR="00543767" w:rsidRPr="00840A2C">
        <w:rPr>
          <w:rFonts w:ascii="Calibri" w:hAnsi="Calibri" w:cs="Calibri"/>
          <w:sz w:val="24"/>
          <w:szCs w:val="24"/>
        </w:rPr>
        <w:t>Dr.</w:t>
      </w:r>
      <w:proofErr w:type="spellEnd"/>
      <w:r w:rsidR="00543767" w:rsidRPr="00840A2C">
        <w:rPr>
          <w:rFonts w:ascii="Calibri" w:hAnsi="Calibri" w:cs="Calibri"/>
          <w:sz w:val="24"/>
          <w:szCs w:val="24"/>
        </w:rPr>
        <w:t xml:space="preserve"> Uwe Schmidt, Albert-Ludwigs</w:t>
      </w:r>
      <w:r w:rsidR="00DF5021" w:rsidRPr="00840A2C">
        <w:rPr>
          <w:rFonts w:ascii="Calibri" w:hAnsi="Calibri" w:cs="Calibri"/>
          <w:sz w:val="24"/>
          <w:szCs w:val="24"/>
        </w:rPr>
        <w:t>-</w:t>
      </w:r>
      <w:r w:rsidR="00543767" w:rsidRPr="00840A2C">
        <w:rPr>
          <w:rFonts w:ascii="Calibri" w:hAnsi="Calibri" w:cs="Calibri"/>
          <w:sz w:val="24"/>
          <w:szCs w:val="24"/>
        </w:rPr>
        <w:t>Universität Freiburg</w:t>
      </w:r>
    </w:p>
    <w:p w14:paraId="16F4F254" w14:textId="77777777" w:rsidR="001E1651" w:rsidRPr="00840A2C" w:rsidRDefault="001E1651" w:rsidP="006123EF">
      <w:pPr>
        <w:jc w:val="center"/>
        <w:rPr>
          <w:rFonts w:ascii="Calibri" w:hAnsi="Calibri" w:cs="Calibri"/>
          <w:sz w:val="24"/>
          <w:szCs w:val="24"/>
        </w:rPr>
      </w:pPr>
    </w:p>
    <w:p w14:paraId="4E014680"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Freiburg i.Br. / Germany</w:t>
      </w:r>
    </w:p>
    <w:p w14:paraId="21FA6901" w14:textId="348F5285" w:rsidR="006123EF" w:rsidRPr="00840A2C" w:rsidRDefault="006123EF" w:rsidP="006123EF">
      <w:pPr>
        <w:jc w:val="center"/>
        <w:rPr>
          <w:rFonts w:ascii="Calibri" w:hAnsi="Calibri" w:cs="Calibri"/>
          <w:sz w:val="24"/>
          <w:szCs w:val="24"/>
        </w:rPr>
      </w:pPr>
      <w:r w:rsidRPr="00840A2C">
        <w:rPr>
          <w:rFonts w:ascii="Calibri" w:hAnsi="Calibri" w:cs="Calibri"/>
          <w:sz w:val="24"/>
          <w:szCs w:val="24"/>
        </w:rPr>
        <w:t>Date of submission:</w:t>
      </w:r>
      <w:r w:rsidR="001E1651" w:rsidRPr="00840A2C">
        <w:rPr>
          <w:rFonts w:ascii="Calibri" w:hAnsi="Calibri" w:cs="Calibri"/>
          <w:sz w:val="24"/>
          <w:szCs w:val="24"/>
        </w:rPr>
        <w:br/>
      </w:r>
      <w:r w:rsidR="00C16A95" w:rsidRPr="00840A2C">
        <w:rPr>
          <w:rFonts w:ascii="Calibri" w:hAnsi="Calibri" w:cs="Calibri"/>
          <w:sz w:val="24"/>
          <w:szCs w:val="24"/>
        </w:rPr>
        <w:t>02</w:t>
      </w:r>
      <w:r w:rsidR="00B13AC2" w:rsidRPr="00840A2C">
        <w:rPr>
          <w:rFonts w:ascii="Calibri" w:hAnsi="Calibri" w:cs="Calibri"/>
          <w:sz w:val="24"/>
          <w:szCs w:val="24"/>
        </w:rPr>
        <w:t>.</w:t>
      </w:r>
      <w:r w:rsidR="00543767" w:rsidRPr="00840A2C">
        <w:rPr>
          <w:rFonts w:ascii="Calibri" w:hAnsi="Calibri" w:cs="Calibri"/>
          <w:sz w:val="24"/>
          <w:szCs w:val="24"/>
        </w:rPr>
        <w:t xml:space="preserve"> </w:t>
      </w:r>
      <w:r w:rsidR="00C16A95" w:rsidRPr="00840A2C">
        <w:rPr>
          <w:rFonts w:ascii="Calibri" w:hAnsi="Calibri" w:cs="Calibri"/>
          <w:sz w:val="24"/>
          <w:szCs w:val="24"/>
        </w:rPr>
        <w:t>August</w:t>
      </w:r>
      <w:r w:rsidR="00543767" w:rsidRPr="00840A2C">
        <w:rPr>
          <w:rFonts w:ascii="Calibri" w:hAnsi="Calibri" w:cs="Calibri"/>
          <w:sz w:val="24"/>
          <w:szCs w:val="24"/>
        </w:rPr>
        <w:t xml:space="preserve"> </w:t>
      </w:r>
      <w:r w:rsidR="00B13AC2" w:rsidRPr="00840A2C">
        <w:rPr>
          <w:rFonts w:ascii="Calibri" w:hAnsi="Calibri" w:cs="Calibri"/>
          <w:sz w:val="24"/>
          <w:szCs w:val="24"/>
        </w:rPr>
        <w:t>2024</w:t>
      </w:r>
    </w:p>
    <w:p w14:paraId="52E8EF90" w14:textId="77777777"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Summary</w:t>
      </w:r>
    </w:p>
    <w:p w14:paraId="448CBBF8" w14:textId="0E2B9391" w:rsidR="008E3071" w:rsidRPr="009E3E18" w:rsidRDefault="006C2B07" w:rsidP="004B0BD5">
      <w:pPr>
        <w:jc w:val="both"/>
        <w:rPr>
          <w:rFonts w:ascii="Arial" w:hAnsi="Arial" w:cs="Arial"/>
          <w:color w:val="222222"/>
          <w:sz w:val="20"/>
          <w:szCs w:val="20"/>
          <w:shd w:val="clear" w:color="auto" w:fill="FFFFFF"/>
        </w:rPr>
      </w:pPr>
      <w:r w:rsidRPr="004B0BD5">
        <w:rPr>
          <w:sz w:val="24"/>
          <w:szCs w:val="24"/>
        </w:rPr>
        <w:t xml:space="preserve">The critical role of education, particularly Education for Sustainable Development (ESD), in addressing escalating environmental and social challenges is widely acknowledged. However, we lack long-term empirical data on how innovative ESD interventions, as a promising educational approach, influence the sustainability competencies of students over time. Despite calls for more comprehensive testing, research has predominantly focused on either traditional learning methods or has utilized inadequate experimental research designs. In this study, I quantify the impact of an innovative ESD intervention, specifically the </w:t>
      </w:r>
      <w:proofErr w:type="spellStart"/>
      <w:r w:rsidRPr="004B0BD5">
        <w:rPr>
          <w:sz w:val="24"/>
          <w:szCs w:val="24"/>
        </w:rPr>
        <w:t>KlimaRatSchule</w:t>
      </w:r>
      <w:proofErr w:type="spellEnd"/>
      <w:r w:rsidRPr="004B0BD5">
        <w:rPr>
          <w:sz w:val="24"/>
          <w:szCs w:val="24"/>
        </w:rPr>
        <w:t xml:space="preserve"> project, on students' sustainability competencies, measured as sustainability attitudes, behaviours, and efficacy beliefs at one school, by </w:t>
      </w:r>
      <w:r w:rsidR="004B0BD5" w:rsidRPr="004B0BD5">
        <w:rPr>
          <w:sz w:val="24"/>
          <w:szCs w:val="24"/>
        </w:rPr>
        <w:t>analysing</w:t>
      </w:r>
      <w:r w:rsidRPr="004B0BD5">
        <w:rPr>
          <w:sz w:val="24"/>
          <w:szCs w:val="24"/>
        </w:rPr>
        <w:t xml:space="preserve"> 206 self-reported surveys across three measurement points. The analysis revealed that the involved students (n=7) demonstrated higher sustainability competencies compared to the control group (n=42) one year after the ESD intervention. Additionally, I emphasized the importance of considering efficacy beliefs as a valuable outcome of ESD interventions and as a significant indicator for measuring sustainability competencies. My findings highlight the complexity of measuring real-world sustainability competencies and support calls for </w:t>
      </w:r>
      <w:r w:rsidR="004B0BD5" w:rsidRPr="004B0BD5">
        <w:rPr>
          <w:sz w:val="24"/>
          <w:szCs w:val="24"/>
        </w:rPr>
        <w:t>analysing</w:t>
      </w:r>
      <w:r w:rsidRPr="004B0BD5">
        <w:rPr>
          <w:sz w:val="24"/>
          <w:szCs w:val="24"/>
        </w:rPr>
        <w:t xml:space="preserve"> and enhancing innovative ESD intervention methods as an educational design that can contribute to fostering human agency.</w:t>
      </w:r>
      <w:r w:rsidR="008E3071" w:rsidRPr="001B384F">
        <w:br w:type="page"/>
      </w:r>
    </w:p>
    <w:sdt>
      <w:sdtPr>
        <w:rPr>
          <w:rFonts w:ascii="Calibri" w:eastAsiaTheme="minorHAnsi" w:hAnsi="Calibri" w:cs="Calibri"/>
          <w:color w:val="auto"/>
          <w:sz w:val="22"/>
          <w:szCs w:val="22"/>
          <w:lang w:val="en-GB"/>
        </w:rPr>
        <w:id w:val="-356040654"/>
        <w:docPartObj>
          <w:docPartGallery w:val="Table of Contents"/>
          <w:docPartUnique/>
        </w:docPartObj>
      </w:sdtPr>
      <w:sdtEndPr>
        <w:rPr>
          <w:b/>
          <w:bCs/>
        </w:rPr>
      </w:sdtEndPr>
      <w:sdtContent>
        <w:p w14:paraId="51FEAA70" w14:textId="52199A86" w:rsidR="00E20FB8" w:rsidRPr="00840A2C" w:rsidRDefault="00E20FB8">
          <w:pPr>
            <w:pStyle w:val="TOCHeading"/>
            <w:rPr>
              <w:rFonts w:ascii="Calibri" w:hAnsi="Calibri" w:cs="Calibri"/>
              <w:lang w:val="en-GB"/>
            </w:rPr>
          </w:pPr>
          <w:r w:rsidRPr="00840A2C">
            <w:rPr>
              <w:rFonts w:ascii="Calibri" w:hAnsi="Calibri" w:cs="Calibri"/>
              <w:lang w:val="en-GB"/>
            </w:rPr>
            <w:t>Contents</w:t>
          </w:r>
        </w:p>
        <w:p w14:paraId="67A039CA" w14:textId="06A4EA40" w:rsidR="00AC53F2" w:rsidRDefault="00E20FB8">
          <w:pPr>
            <w:pStyle w:val="TOC1"/>
            <w:tabs>
              <w:tab w:val="right" w:leader="dot" w:pos="9062"/>
            </w:tabs>
            <w:rPr>
              <w:rFonts w:eastAsiaTheme="minorEastAsia"/>
              <w:noProof/>
              <w:kern w:val="2"/>
              <w:sz w:val="24"/>
              <w:szCs w:val="24"/>
              <w:lang w:eastAsia="en-GB"/>
              <w14:ligatures w14:val="standardContextual"/>
            </w:rPr>
          </w:pPr>
          <w:r w:rsidRPr="00840A2C">
            <w:rPr>
              <w:rFonts w:ascii="Calibri" w:hAnsi="Calibri" w:cs="Calibri"/>
            </w:rPr>
            <w:fldChar w:fldCharType="begin"/>
          </w:r>
          <w:r w:rsidRPr="00840A2C">
            <w:rPr>
              <w:rFonts w:ascii="Calibri" w:hAnsi="Calibri" w:cs="Calibri"/>
            </w:rPr>
            <w:instrText xml:space="preserve"> TOC \o "1-3" \h \z \u </w:instrText>
          </w:r>
          <w:r w:rsidRPr="00840A2C">
            <w:rPr>
              <w:rFonts w:ascii="Calibri" w:hAnsi="Calibri" w:cs="Calibri"/>
            </w:rPr>
            <w:fldChar w:fldCharType="separate"/>
          </w:r>
          <w:hyperlink w:anchor="_Toc173164284" w:history="1">
            <w:r w:rsidR="00AC53F2" w:rsidRPr="00535756">
              <w:rPr>
                <w:rStyle w:val="Hyperlink"/>
                <w:rFonts w:ascii="Calibri" w:hAnsi="Calibri" w:cs="Calibri"/>
                <w:noProof/>
              </w:rPr>
              <w:t>Introduction</w:t>
            </w:r>
            <w:r w:rsidR="00AC53F2">
              <w:rPr>
                <w:noProof/>
                <w:webHidden/>
              </w:rPr>
              <w:tab/>
            </w:r>
            <w:r w:rsidR="00AC53F2">
              <w:rPr>
                <w:noProof/>
                <w:webHidden/>
              </w:rPr>
              <w:fldChar w:fldCharType="begin"/>
            </w:r>
            <w:r w:rsidR="00AC53F2">
              <w:rPr>
                <w:noProof/>
                <w:webHidden/>
              </w:rPr>
              <w:instrText xml:space="preserve"> PAGEREF _Toc173164284 \h </w:instrText>
            </w:r>
            <w:r w:rsidR="00AC53F2">
              <w:rPr>
                <w:noProof/>
                <w:webHidden/>
              </w:rPr>
            </w:r>
            <w:r w:rsidR="00AC53F2">
              <w:rPr>
                <w:noProof/>
                <w:webHidden/>
              </w:rPr>
              <w:fldChar w:fldCharType="separate"/>
            </w:r>
            <w:r w:rsidR="00AC53F2">
              <w:rPr>
                <w:noProof/>
                <w:webHidden/>
              </w:rPr>
              <w:t>8</w:t>
            </w:r>
            <w:r w:rsidR="00AC53F2">
              <w:rPr>
                <w:noProof/>
                <w:webHidden/>
              </w:rPr>
              <w:fldChar w:fldCharType="end"/>
            </w:r>
          </w:hyperlink>
        </w:p>
        <w:p w14:paraId="08D5DD5E" w14:textId="6D4BD5F2"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85" w:history="1">
            <w:r w:rsidRPr="00535756">
              <w:rPr>
                <w:rStyle w:val="Hyperlink"/>
                <w:noProof/>
              </w:rPr>
              <w:t>Theoretical and conceptual context</w:t>
            </w:r>
            <w:r>
              <w:rPr>
                <w:noProof/>
                <w:webHidden/>
              </w:rPr>
              <w:tab/>
            </w:r>
            <w:r>
              <w:rPr>
                <w:noProof/>
                <w:webHidden/>
              </w:rPr>
              <w:fldChar w:fldCharType="begin"/>
            </w:r>
            <w:r>
              <w:rPr>
                <w:noProof/>
                <w:webHidden/>
              </w:rPr>
              <w:instrText xml:space="preserve"> PAGEREF _Toc173164285 \h </w:instrText>
            </w:r>
            <w:r>
              <w:rPr>
                <w:noProof/>
                <w:webHidden/>
              </w:rPr>
            </w:r>
            <w:r>
              <w:rPr>
                <w:noProof/>
                <w:webHidden/>
              </w:rPr>
              <w:fldChar w:fldCharType="separate"/>
            </w:r>
            <w:r>
              <w:rPr>
                <w:noProof/>
                <w:webHidden/>
              </w:rPr>
              <w:t>8</w:t>
            </w:r>
            <w:r>
              <w:rPr>
                <w:noProof/>
                <w:webHidden/>
              </w:rPr>
              <w:fldChar w:fldCharType="end"/>
            </w:r>
          </w:hyperlink>
        </w:p>
        <w:p w14:paraId="0F9A109B" w14:textId="51527EB8"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6" w:history="1">
            <w:r w:rsidRPr="00535756">
              <w:rPr>
                <w:rStyle w:val="Hyperlink"/>
                <w:noProof/>
              </w:rPr>
              <w:t>Goals of ESD</w:t>
            </w:r>
            <w:r>
              <w:rPr>
                <w:noProof/>
                <w:webHidden/>
              </w:rPr>
              <w:tab/>
            </w:r>
            <w:r>
              <w:rPr>
                <w:noProof/>
                <w:webHidden/>
              </w:rPr>
              <w:fldChar w:fldCharType="begin"/>
            </w:r>
            <w:r>
              <w:rPr>
                <w:noProof/>
                <w:webHidden/>
              </w:rPr>
              <w:instrText xml:space="preserve"> PAGEREF _Toc173164286 \h </w:instrText>
            </w:r>
            <w:r>
              <w:rPr>
                <w:noProof/>
                <w:webHidden/>
              </w:rPr>
            </w:r>
            <w:r>
              <w:rPr>
                <w:noProof/>
                <w:webHidden/>
              </w:rPr>
              <w:fldChar w:fldCharType="separate"/>
            </w:r>
            <w:r>
              <w:rPr>
                <w:noProof/>
                <w:webHidden/>
              </w:rPr>
              <w:t>9</w:t>
            </w:r>
            <w:r>
              <w:rPr>
                <w:noProof/>
                <w:webHidden/>
              </w:rPr>
              <w:fldChar w:fldCharType="end"/>
            </w:r>
          </w:hyperlink>
        </w:p>
        <w:p w14:paraId="247BB94A" w14:textId="51ACF3FF"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7" w:history="1">
            <w:r w:rsidRPr="00535756">
              <w:rPr>
                <w:rStyle w:val="Hyperlink"/>
                <w:noProof/>
              </w:rPr>
              <w:t>Operationalisation ESD outcomes</w:t>
            </w:r>
            <w:r>
              <w:rPr>
                <w:noProof/>
                <w:webHidden/>
              </w:rPr>
              <w:tab/>
            </w:r>
            <w:r>
              <w:rPr>
                <w:noProof/>
                <w:webHidden/>
              </w:rPr>
              <w:fldChar w:fldCharType="begin"/>
            </w:r>
            <w:r>
              <w:rPr>
                <w:noProof/>
                <w:webHidden/>
              </w:rPr>
              <w:instrText xml:space="preserve"> PAGEREF _Toc173164287 \h </w:instrText>
            </w:r>
            <w:r>
              <w:rPr>
                <w:noProof/>
                <w:webHidden/>
              </w:rPr>
            </w:r>
            <w:r>
              <w:rPr>
                <w:noProof/>
                <w:webHidden/>
              </w:rPr>
              <w:fldChar w:fldCharType="separate"/>
            </w:r>
            <w:r>
              <w:rPr>
                <w:noProof/>
                <w:webHidden/>
              </w:rPr>
              <w:t>10</w:t>
            </w:r>
            <w:r>
              <w:rPr>
                <w:noProof/>
                <w:webHidden/>
              </w:rPr>
              <w:fldChar w:fldCharType="end"/>
            </w:r>
          </w:hyperlink>
        </w:p>
        <w:p w14:paraId="39802174" w14:textId="68F53C48"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8" w:history="1">
            <w:r w:rsidRPr="00535756">
              <w:rPr>
                <w:rStyle w:val="Hyperlink"/>
                <w:rFonts w:ascii="Calibri" w:hAnsi="Calibri" w:cs="Calibri"/>
                <w:noProof/>
                <w:lang w:eastAsia="en-GB"/>
              </w:rPr>
              <w:t>Measurement approaches</w:t>
            </w:r>
            <w:r>
              <w:rPr>
                <w:noProof/>
                <w:webHidden/>
              </w:rPr>
              <w:tab/>
            </w:r>
            <w:r>
              <w:rPr>
                <w:noProof/>
                <w:webHidden/>
              </w:rPr>
              <w:fldChar w:fldCharType="begin"/>
            </w:r>
            <w:r>
              <w:rPr>
                <w:noProof/>
                <w:webHidden/>
              </w:rPr>
              <w:instrText xml:space="preserve"> PAGEREF _Toc173164288 \h </w:instrText>
            </w:r>
            <w:r>
              <w:rPr>
                <w:noProof/>
                <w:webHidden/>
              </w:rPr>
            </w:r>
            <w:r>
              <w:rPr>
                <w:noProof/>
                <w:webHidden/>
              </w:rPr>
              <w:fldChar w:fldCharType="separate"/>
            </w:r>
            <w:r>
              <w:rPr>
                <w:noProof/>
                <w:webHidden/>
              </w:rPr>
              <w:t>12</w:t>
            </w:r>
            <w:r>
              <w:rPr>
                <w:noProof/>
                <w:webHidden/>
              </w:rPr>
              <w:fldChar w:fldCharType="end"/>
            </w:r>
          </w:hyperlink>
        </w:p>
        <w:p w14:paraId="03902341" w14:textId="10488AA0"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9" w:history="1">
            <w:r w:rsidRPr="00535756">
              <w:rPr>
                <w:rStyle w:val="Hyperlink"/>
                <w:noProof/>
              </w:rPr>
              <w:t>Potential role of efficacy beliefs in sustainability competencies</w:t>
            </w:r>
            <w:r>
              <w:rPr>
                <w:noProof/>
                <w:webHidden/>
              </w:rPr>
              <w:tab/>
            </w:r>
            <w:r>
              <w:rPr>
                <w:noProof/>
                <w:webHidden/>
              </w:rPr>
              <w:fldChar w:fldCharType="begin"/>
            </w:r>
            <w:r>
              <w:rPr>
                <w:noProof/>
                <w:webHidden/>
              </w:rPr>
              <w:instrText xml:space="preserve"> PAGEREF _Toc173164289 \h </w:instrText>
            </w:r>
            <w:r>
              <w:rPr>
                <w:noProof/>
                <w:webHidden/>
              </w:rPr>
            </w:r>
            <w:r>
              <w:rPr>
                <w:noProof/>
                <w:webHidden/>
              </w:rPr>
              <w:fldChar w:fldCharType="separate"/>
            </w:r>
            <w:r>
              <w:rPr>
                <w:noProof/>
                <w:webHidden/>
              </w:rPr>
              <w:t>13</w:t>
            </w:r>
            <w:r>
              <w:rPr>
                <w:noProof/>
                <w:webHidden/>
              </w:rPr>
              <w:fldChar w:fldCharType="end"/>
            </w:r>
          </w:hyperlink>
        </w:p>
        <w:p w14:paraId="4BA52C5C" w14:textId="6377FB5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0" w:history="1">
            <w:r w:rsidRPr="00535756">
              <w:rPr>
                <w:rStyle w:val="Hyperlink"/>
                <w:rFonts w:ascii="Calibri" w:hAnsi="Calibri" w:cs="Calibri"/>
                <w:noProof/>
              </w:rPr>
              <w:t>Objectives and research questions</w:t>
            </w:r>
            <w:r>
              <w:rPr>
                <w:noProof/>
                <w:webHidden/>
              </w:rPr>
              <w:tab/>
            </w:r>
            <w:r>
              <w:rPr>
                <w:noProof/>
                <w:webHidden/>
              </w:rPr>
              <w:fldChar w:fldCharType="begin"/>
            </w:r>
            <w:r>
              <w:rPr>
                <w:noProof/>
                <w:webHidden/>
              </w:rPr>
              <w:instrText xml:space="preserve"> PAGEREF _Toc173164290 \h </w:instrText>
            </w:r>
            <w:r>
              <w:rPr>
                <w:noProof/>
                <w:webHidden/>
              </w:rPr>
            </w:r>
            <w:r>
              <w:rPr>
                <w:noProof/>
                <w:webHidden/>
              </w:rPr>
              <w:fldChar w:fldCharType="separate"/>
            </w:r>
            <w:r>
              <w:rPr>
                <w:noProof/>
                <w:webHidden/>
              </w:rPr>
              <w:t>16</w:t>
            </w:r>
            <w:r>
              <w:rPr>
                <w:noProof/>
                <w:webHidden/>
              </w:rPr>
              <w:fldChar w:fldCharType="end"/>
            </w:r>
          </w:hyperlink>
        </w:p>
        <w:p w14:paraId="1AA3A4A9" w14:textId="3086DBE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1" w:history="1">
            <w:r w:rsidRPr="00535756">
              <w:rPr>
                <w:rStyle w:val="Hyperlink"/>
                <w:rFonts w:ascii="Calibri" w:hAnsi="Calibri" w:cs="Calibri"/>
                <w:noProof/>
              </w:rPr>
              <w:t>Research hypotheses and predictions</w:t>
            </w:r>
            <w:r>
              <w:rPr>
                <w:noProof/>
                <w:webHidden/>
              </w:rPr>
              <w:tab/>
            </w:r>
            <w:r>
              <w:rPr>
                <w:noProof/>
                <w:webHidden/>
              </w:rPr>
              <w:fldChar w:fldCharType="begin"/>
            </w:r>
            <w:r>
              <w:rPr>
                <w:noProof/>
                <w:webHidden/>
              </w:rPr>
              <w:instrText xml:space="preserve"> PAGEREF _Toc173164291 \h </w:instrText>
            </w:r>
            <w:r>
              <w:rPr>
                <w:noProof/>
                <w:webHidden/>
              </w:rPr>
            </w:r>
            <w:r>
              <w:rPr>
                <w:noProof/>
                <w:webHidden/>
              </w:rPr>
              <w:fldChar w:fldCharType="separate"/>
            </w:r>
            <w:r>
              <w:rPr>
                <w:noProof/>
                <w:webHidden/>
              </w:rPr>
              <w:t>16</w:t>
            </w:r>
            <w:r>
              <w:rPr>
                <w:noProof/>
                <w:webHidden/>
              </w:rPr>
              <w:fldChar w:fldCharType="end"/>
            </w:r>
          </w:hyperlink>
        </w:p>
        <w:p w14:paraId="12F095B4" w14:textId="7A2D400B"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292" w:history="1">
            <w:r w:rsidRPr="00535756">
              <w:rPr>
                <w:rStyle w:val="Hyperlink"/>
                <w:rFonts w:ascii="Calibri" w:hAnsi="Calibri" w:cs="Calibri"/>
                <w:noProof/>
              </w:rPr>
              <w:t>Methods</w:t>
            </w:r>
            <w:r>
              <w:rPr>
                <w:noProof/>
                <w:webHidden/>
              </w:rPr>
              <w:tab/>
            </w:r>
            <w:r>
              <w:rPr>
                <w:noProof/>
                <w:webHidden/>
              </w:rPr>
              <w:fldChar w:fldCharType="begin"/>
            </w:r>
            <w:r>
              <w:rPr>
                <w:noProof/>
                <w:webHidden/>
              </w:rPr>
              <w:instrText xml:space="preserve"> PAGEREF _Toc173164292 \h </w:instrText>
            </w:r>
            <w:r>
              <w:rPr>
                <w:noProof/>
                <w:webHidden/>
              </w:rPr>
            </w:r>
            <w:r>
              <w:rPr>
                <w:noProof/>
                <w:webHidden/>
              </w:rPr>
              <w:fldChar w:fldCharType="separate"/>
            </w:r>
            <w:r>
              <w:rPr>
                <w:noProof/>
                <w:webHidden/>
              </w:rPr>
              <w:t>18</w:t>
            </w:r>
            <w:r>
              <w:rPr>
                <w:noProof/>
                <w:webHidden/>
              </w:rPr>
              <w:fldChar w:fldCharType="end"/>
            </w:r>
          </w:hyperlink>
        </w:p>
        <w:p w14:paraId="32ABD79C" w14:textId="0ABB5BDD"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3" w:history="1">
            <w:r w:rsidRPr="00535756">
              <w:rPr>
                <w:rStyle w:val="Hyperlink"/>
                <w:noProof/>
              </w:rPr>
              <w:t>Project description KlimaRatSchule</w:t>
            </w:r>
            <w:r>
              <w:rPr>
                <w:noProof/>
                <w:webHidden/>
              </w:rPr>
              <w:tab/>
            </w:r>
            <w:r>
              <w:rPr>
                <w:noProof/>
                <w:webHidden/>
              </w:rPr>
              <w:fldChar w:fldCharType="begin"/>
            </w:r>
            <w:r>
              <w:rPr>
                <w:noProof/>
                <w:webHidden/>
              </w:rPr>
              <w:instrText xml:space="preserve"> PAGEREF _Toc173164293 \h </w:instrText>
            </w:r>
            <w:r>
              <w:rPr>
                <w:noProof/>
                <w:webHidden/>
              </w:rPr>
            </w:r>
            <w:r>
              <w:rPr>
                <w:noProof/>
                <w:webHidden/>
              </w:rPr>
              <w:fldChar w:fldCharType="separate"/>
            </w:r>
            <w:r>
              <w:rPr>
                <w:noProof/>
                <w:webHidden/>
              </w:rPr>
              <w:t>18</w:t>
            </w:r>
            <w:r>
              <w:rPr>
                <w:noProof/>
                <w:webHidden/>
              </w:rPr>
              <w:fldChar w:fldCharType="end"/>
            </w:r>
          </w:hyperlink>
        </w:p>
        <w:p w14:paraId="057B3E83" w14:textId="189349B6"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4" w:history="1">
            <w:r w:rsidRPr="00535756">
              <w:rPr>
                <w:rStyle w:val="Hyperlink"/>
                <w:noProof/>
              </w:rPr>
              <w:t>Study design and data collection</w:t>
            </w:r>
            <w:r>
              <w:rPr>
                <w:noProof/>
                <w:webHidden/>
              </w:rPr>
              <w:tab/>
            </w:r>
            <w:r>
              <w:rPr>
                <w:noProof/>
                <w:webHidden/>
              </w:rPr>
              <w:fldChar w:fldCharType="begin"/>
            </w:r>
            <w:r>
              <w:rPr>
                <w:noProof/>
                <w:webHidden/>
              </w:rPr>
              <w:instrText xml:space="preserve"> PAGEREF _Toc173164294 \h </w:instrText>
            </w:r>
            <w:r>
              <w:rPr>
                <w:noProof/>
                <w:webHidden/>
              </w:rPr>
            </w:r>
            <w:r>
              <w:rPr>
                <w:noProof/>
                <w:webHidden/>
              </w:rPr>
              <w:fldChar w:fldCharType="separate"/>
            </w:r>
            <w:r>
              <w:rPr>
                <w:noProof/>
                <w:webHidden/>
              </w:rPr>
              <w:t>18</w:t>
            </w:r>
            <w:r>
              <w:rPr>
                <w:noProof/>
                <w:webHidden/>
              </w:rPr>
              <w:fldChar w:fldCharType="end"/>
            </w:r>
          </w:hyperlink>
        </w:p>
        <w:p w14:paraId="6419DBF6" w14:textId="201D66AB"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95" w:history="1">
            <w:r w:rsidRPr="00535756">
              <w:rPr>
                <w:rStyle w:val="Hyperlink"/>
                <w:noProof/>
              </w:rPr>
              <w:t>Survey tools</w:t>
            </w:r>
            <w:r>
              <w:rPr>
                <w:noProof/>
                <w:webHidden/>
              </w:rPr>
              <w:tab/>
            </w:r>
            <w:r>
              <w:rPr>
                <w:noProof/>
                <w:webHidden/>
              </w:rPr>
              <w:fldChar w:fldCharType="begin"/>
            </w:r>
            <w:r>
              <w:rPr>
                <w:noProof/>
                <w:webHidden/>
              </w:rPr>
              <w:instrText xml:space="preserve"> PAGEREF _Toc173164295 \h </w:instrText>
            </w:r>
            <w:r>
              <w:rPr>
                <w:noProof/>
                <w:webHidden/>
              </w:rPr>
            </w:r>
            <w:r>
              <w:rPr>
                <w:noProof/>
                <w:webHidden/>
              </w:rPr>
              <w:fldChar w:fldCharType="separate"/>
            </w:r>
            <w:r>
              <w:rPr>
                <w:noProof/>
                <w:webHidden/>
              </w:rPr>
              <w:t>20</w:t>
            </w:r>
            <w:r>
              <w:rPr>
                <w:noProof/>
                <w:webHidden/>
              </w:rPr>
              <w:fldChar w:fldCharType="end"/>
            </w:r>
          </w:hyperlink>
        </w:p>
        <w:p w14:paraId="4F186B4C" w14:textId="5D55A425"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6" w:history="1">
            <w:r w:rsidRPr="00535756">
              <w:rPr>
                <w:rStyle w:val="Hyperlink"/>
                <w:rFonts w:ascii="Calibri" w:hAnsi="Calibri" w:cs="Calibri"/>
                <w:noProof/>
              </w:rPr>
              <w:t>Data processing</w:t>
            </w:r>
            <w:r>
              <w:rPr>
                <w:noProof/>
                <w:webHidden/>
              </w:rPr>
              <w:tab/>
            </w:r>
            <w:r>
              <w:rPr>
                <w:noProof/>
                <w:webHidden/>
              </w:rPr>
              <w:fldChar w:fldCharType="begin"/>
            </w:r>
            <w:r>
              <w:rPr>
                <w:noProof/>
                <w:webHidden/>
              </w:rPr>
              <w:instrText xml:space="preserve"> PAGEREF _Toc173164296 \h </w:instrText>
            </w:r>
            <w:r>
              <w:rPr>
                <w:noProof/>
                <w:webHidden/>
              </w:rPr>
            </w:r>
            <w:r>
              <w:rPr>
                <w:noProof/>
                <w:webHidden/>
              </w:rPr>
              <w:fldChar w:fldCharType="separate"/>
            </w:r>
            <w:r>
              <w:rPr>
                <w:noProof/>
                <w:webHidden/>
              </w:rPr>
              <w:t>23</w:t>
            </w:r>
            <w:r>
              <w:rPr>
                <w:noProof/>
                <w:webHidden/>
              </w:rPr>
              <w:fldChar w:fldCharType="end"/>
            </w:r>
          </w:hyperlink>
        </w:p>
        <w:p w14:paraId="76D910E8" w14:textId="3C53D712"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7" w:history="1">
            <w:r w:rsidRPr="00535756">
              <w:rPr>
                <w:rStyle w:val="Hyperlink"/>
                <w:rFonts w:ascii="Calibri" w:hAnsi="Calibri" w:cs="Calibri"/>
                <w:noProof/>
              </w:rPr>
              <w:t>Data analysis</w:t>
            </w:r>
            <w:r>
              <w:rPr>
                <w:noProof/>
                <w:webHidden/>
              </w:rPr>
              <w:tab/>
            </w:r>
            <w:r>
              <w:rPr>
                <w:noProof/>
                <w:webHidden/>
              </w:rPr>
              <w:fldChar w:fldCharType="begin"/>
            </w:r>
            <w:r>
              <w:rPr>
                <w:noProof/>
                <w:webHidden/>
              </w:rPr>
              <w:instrText xml:space="preserve"> PAGEREF _Toc173164297 \h </w:instrText>
            </w:r>
            <w:r>
              <w:rPr>
                <w:noProof/>
                <w:webHidden/>
              </w:rPr>
            </w:r>
            <w:r>
              <w:rPr>
                <w:noProof/>
                <w:webHidden/>
              </w:rPr>
              <w:fldChar w:fldCharType="separate"/>
            </w:r>
            <w:r>
              <w:rPr>
                <w:noProof/>
                <w:webHidden/>
              </w:rPr>
              <w:t>23</w:t>
            </w:r>
            <w:r>
              <w:rPr>
                <w:noProof/>
                <w:webHidden/>
              </w:rPr>
              <w:fldChar w:fldCharType="end"/>
            </w:r>
          </w:hyperlink>
        </w:p>
        <w:p w14:paraId="006A8D5F" w14:textId="292EF359"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8" w:history="1">
            <w:r w:rsidRPr="00535756">
              <w:rPr>
                <w:rStyle w:val="Hyperlink"/>
                <w:rFonts w:ascii="Calibri" w:hAnsi="Calibri" w:cs="Calibri"/>
                <w:noProof/>
              </w:rPr>
              <w:t>Quality Criteria testing</w:t>
            </w:r>
            <w:r>
              <w:rPr>
                <w:noProof/>
                <w:webHidden/>
              </w:rPr>
              <w:tab/>
            </w:r>
            <w:r>
              <w:rPr>
                <w:noProof/>
                <w:webHidden/>
              </w:rPr>
              <w:fldChar w:fldCharType="begin"/>
            </w:r>
            <w:r>
              <w:rPr>
                <w:noProof/>
                <w:webHidden/>
              </w:rPr>
              <w:instrText xml:space="preserve"> PAGEREF _Toc173164298 \h </w:instrText>
            </w:r>
            <w:r>
              <w:rPr>
                <w:noProof/>
                <w:webHidden/>
              </w:rPr>
            </w:r>
            <w:r>
              <w:rPr>
                <w:noProof/>
                <w:webHidden/>
              </w:rPr>
              <w:fldChar w:fldCharType="separate"/>
            </w:r>
            <w:r>
              <w:rPr>
                <w:noProof/>
                <w:webHidden/>
              </w:rPr>
              <w:t>24</w:t>
            </w:r>
            <w:r>
              <w:rPr>
                <w:noProof/>
                <w:webHidden/>
              </w:rPr>
              <w:fldChar w:fldCharType="end"/>
            </w:r>
          </w:hyperlink>
        </w:p>
        <w:p w14:paraId="12BE1702" w14:textId="1C956E42"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299" w:history="1">
            <w:r w:rsidRPr="00535756">
              <w:rPr>
                <w:rStyle w:val="Hyperlink"/>
                <w:noProof/>
              </w:rPr>
              <w:t>Results</w:t>
            </w:r>
            <w:r>
              <w:rPr>
                <w:noProof/>
                <w:webHidden/>
              </w:rPr>
              <w:tab/>
            </w:r>
            <w:r>
              <w:rPr>
                <w:noProof/>
                <w:webHidden/>
              </w:rPr>
              <w:fldChar w:fldCharType="begin"/>
            </w:r>
            <w:r>
              <w:rPr>
                <w:noProof/>
                <w:webHidden/>
              </w:rPr>
              <w:instrText xml:space="preserve"> PAGEREF _Toc173164299 \h </w:instrText>
            </w:r>
            <w:r>
              <w:rPr>
                <w:noProof/>
                <w:webHidden/>
              </w:rPr>
            </w:r>
            <w:r>
              <w:rPr>
                <w:noProof/>
                <w:webHidden/>
              </w:rPr>
              <w:fldChar w:fldCharType="separate"/>
            </w:r>
            <w:r>
              <w:rPr>
                <w:noProof/>
                <w:webHidden/>
              </w:rPr>
              <w:t>27</w:t>
            </w:r>
            <w:r>
              <w:rPr>
                <w:noProof/>
                <w:webHidden/>
              </w:rPr>
              <w:fldChar w:fldCharType="end"/>
            </w:r>
          </w:hyperlink>
        </w:p>
        <w:p w14:paraId="218562A0" w14:textId="5CD39F22"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0" w:history="1">
            <w:r w:rsidRPr="00535756">
              <w:rPr>
                <w:rStyle w:val="Hyperlink"/>
                <w:noProof/>
              </w:rPr>
              <w:t>Sustainability competencies as sustainability attitudes and sustainability behaviours (TPB-based) (Research Question 1)</w:t>
            </w:r>
            <w:r>
              <w:rPr>
                <w:noProof/>
                <w:webHidden/>
              </w:rPr>
              <w:tab/>
            </w:r>
            <w:r>
              <w:rPr>
                <w:noProof/>
                <w:webHidden/>
              </w:rPr>
              <w:fldChar w:fldCharType="begin"/>
            </w:r>
            <w:r>
              <w:rPr>
                <w:noProof/>
                <w:webHidden/>
              </w:rPr>
              <w:instrText xml:space="preserve"> PAGEREF _Toc173164300 \h </w:instrText>
            </w:r>
            <w:r>
              <w:rPr>
                <w:noProof/>
                <w:webHidden/>
              </w:rPr>
            </w:r>
            <w:r>
              <w:rPr>
                <w:noProof/>
                <w:webHidden/>
              </w:rPr>
              <w:fldChar w:fldCharType="separate"/>
            </w:r>
            <w:r>
              <w:rPr>
                <w:noProof/>
                <w:webHidden/>
              </w:rPr>
              <w:t>27</w:t>
            </w:r>
            <w:r>
              <w:rPr>
                <w:noProof/>
                <w:webHidden/>
              </w:rPr>
              <w:fldChar w:fldCharType="end"/>
            </w:r>
          </w:hyperlink>
        </w:p>
        <w:p w14:paraId="15254A43" w14:textId="138D272C"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1" w:history="1">
            <w:r w:rsidRPr="00535756">
              <w:rPr>
                <w:rStyle w:val="Hyperlink"/>
                <w:noProof/>
              </w:rPr>
              <w:t>Sustainability attitudes/ sustainability behaviours (TPB-based) and efficacy beliefs (Research Question 2)</w:t>
            </w:r>
            <w:r>
              <w:rPr>
                <w:noProof/>
                <w:webHidden/>
              </w:rPr>
              <w:tab/>
            </w:r>
            <w:r>
              <w:rPr>
                <w:noProof/>
                <w:webHidden/>
              </w:rPr>
              <w:fldChar w:fldCharType="begin"/>
            </w:r>
            <w:r>
              <w:rPr>
                <w:noProof/>
                <w:webHidden/>
              </w:rPr>
              <w:instrText xml:space="preserve"> PAGEREF _Toc173164301 \h </w:instrText>
            </w:r>
            <w:r>
              <w:rPr>
                <w:noProof/>
                <w:webHidden/>
              </w:rPr>
            </w:r>
            <w:r>
              <w:rPr>
                <w:noProof/>
                <w:webHidden/>
              </w:rPr>
              <w:fldChar w:fldCharType="separate"/>
            </w:r>
            <w:r>
              <w:rPr>
                <w:noProof/>
                <w:webHidden/>
              </w:rPr>
              <w:t>28</w:t>
            </w:r>
            <w:r>
              <w:rPr>
                <w:noProof/>
                <w:webHidden/>
              </w:rPr>
              <w:fldChar w:fldCharType="end"/>
            </w:r>
          </w:hyperlink>
        </w:p>
        <w:p w14:paraId="529EBC06" w14:textId="543DD18B"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2" w:history="1">
            <w:r w:rsidRPr="00535756">
              <w:rPr>
                <w:rStyle w:val="Hyperlink"/>
                <w:rFonts w:ascii="Calibri" w:hAnsi="Calibri" w:cs="Calibri"/>
                <w:noProof/>
              </w:rPr>
              <w:t>Sustainability competencies as efficacy beliefs (Research Question 3)</w:t>
            </w:r>
            <w:r>
              <w:rPr>
                <w:noProof/>
                <w:webHidden/>
              </w:rPr>
              <w:tab/>
            </w:r>
            <w:r>
              <w:rPr>
                <w:noProof/>
                <w:webHidden/>
              </w:rPr>
              <w:fldChar w:fldCharType="begin"/>
            </w:r>
            <w:r>
              <w:rPr>
                <w:noProof/>
                <w:webHidden/>
              </w:rPr>
              <w:instrText xml:space="preserve"> PAGEREF _Toc173164302 \h </w:instrText>
            </w:r>
            <w:r>
              <w:rPr>
                <w:noProof/>
                <w:webHidden/>
              </w:rPr>
            </w:r>
            <w:r>
              <w:rPr>
                <w:noProof/>
                <w:webHidden/>
              </w:rPr>
              <w:fldChar w:fldCharType="separate"/>
            </w:r>
            <w:r>
              <w:rPr>
                <w:noProof/>
                <w:webHidden/>
              </w:rPr>
              <w:t>28</w:t>
            </w:r>
            <w:r>
              <w:rPr>
                <w:noProof/>
                <w:webHidden/>
              </w:rPr>
              <w:fldChar w:fldCharType="end"/>
            </w:r>
          </w:hyperlink>
        </w:p>
        <w:p w14:paraId="2EA025E8" w14:textId="6A27A438"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03" w:history="1">
            <w:r w:rsidRPr="00535756">
              <w:rPr>
                <w:rStyle w:val="Hyperlink"/>
                <w:noProof/>
              </w:rPr>
              <w:t>Personal and collective efficacy beliefs</w:t>
            </w:r>
            <w:r>
              <w:rPr>
                <w:noProof/>
                <w:webHidden/>
              </w:rPr>
              <w:tab/>
            </w:r>
            <w:r>
              <w:rPr>
                <w:noProof/>
                <w:webHidden/>
              </w:rPr>
              <w:fldChar w:fldCharType="begin"/>
            </w:r>
            <w:r>
              <w:rPr>
                <w:noProof/>
                <w:webHidden/>
              </w:rPr>
              <w:instrText xml:space="preserve"> PAGEREF _Toc173164303 \h </w:instrText>
            </w:r>
            <w:r>
              <w:rPr>
                <w:noProof/>
                <w:webHidden/>
              </w:rPr>
            </w:r>
            <w:r>
              <w:rPr>
                <w:noProof/>
                <w:webHidden/>
              </w:rPr>
              <w:fldChar w:fldCharType="separate"/>
            </w:r>
            <w:r>
              <w:rPr>
                <w:noProof/>
                <w:webHidden/>
              </w:rPr>
              <w:t>28</w:t>
            </w:r>
            <w:r>
              <w:rPr>
                <w:noProof/>
                <w:webHidden/>
              </w:rPr>
              <w:fldChar w:fldCharType="end"/>
            </w:r>
          </w:hyperlink>
        </w:p>
        <w:p w14:paraId="50DB10D8" w14:textId="3CAFC7D0"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04" w:history="1">
            <w:r w:rsidRPr="00535756">
              <w:rPr>
                <w:rStyle w:val="Hyperlink"/>
                <w:noProof/>
              </w:rPr>
              <w:t>Aim- and action-focussed efficacy beliefs</w:t>
            </w:r>
            <w:r>
              <w:rPr>
                <w:noProof/>
                <w:webHidden/>
              </w:rPr>
              <w:tab/>
            </w:r>
            <w:r>
              <w:rPr>
                <w:noProof/>
                <w:webHidden/>
              </w:rPr>
              <w:fldChar w:fldCharType="begin"/>
            </w:r>
            <w:r>
              <w:rPr>
                <w:noProof/>
                <w:webHidden/>
              </w:rPr>
              <w:instrText xml:space="preserve"> PAGEREF _Toc173164304 \h </w:instrText>
            </w:r>
            <w:r>
              <w:rPr>
                <w:noProof/>
                <w:webHidden/>
              </w:rPr>
            </w:r>
            <w:r>
              <w:rPr>
                <w:noProof/>
                <w:webHidden/>
              </w:rPr>
              <w:fldChar w:fldCharType="separate"/>
            </w:r>
            <w:r>
              <w:rPr>
                <w:noProof/>
                <w:webHidden/>
              </w:rPr>
              <w:t>29</w:t>
            </w:r>
            <w:r>
              <w:rPr>
                <w:noProof/>
                <w:webHidden/>
              </w:rPr>
              <w:fldChar w:fldCharType="end"/>
            </w:r>
          </w:hyperlink>
        </w:p>
        <w:p w14:paraId="7F2206F5" w14:textId="5BE038C5"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05" w:history="1">
            <w:r w:rsidRPr="00535756">
              <w:rPr>
                <w:rStyle w:val="Hyperlink"/>
                <w:rFonts w:ascii="Calibri" w:hAnsi="Calibri" w:cs="Calibri"/>
                <w:noProof/>
              </w:rPr>
              <w:t>Discussion</w:t>
            </w:r>
            <w:r>
              <w:rPr>
                <w:noProof/>
                <w:webHidden/>
              </w:rPr>
              <w:tab/>
            </w:r>
            <w:r>
              <w:rPr>
                <w:noProof/>
                <w:webHidden/>
              </w:rPr>
              <w:fldChar w:fldCharType="begin"/>
            </w:r>
            <w:r>
              <w:rPr>
                <w:noProof/>
                <w:webHidden/>
              </w:rPr>
              <w:instrText xml:space="preserve"> PAGEREF _Toc173164305 \h </w:instrText>
            </w:r>
            <w:r>
              <w:rPr>
                <w:noProof/>
                <w:webHidden/>
              </w:rPr>
            </w:r>
            <w:r>
              <w:rPr>
                <w:noProof/>
                <w:webHidden/>
              </w:rPr>
              <w:fldChar w:fldCharType="separate"/>
            </w:r>
            <w:r>
              <w:rPr>
                <w:noProof/>
                <w:webHidden/>
              </w:rPr>
              <w:t>31</w:t>
            </w:r>
            <w:r>
              <w:rPr>
                <w:noProof/>
                <w:webHidden/>
              </w:rPr>
              <w:fldChar w:fldCharType="end"/>
            </w:r>
          </w:hyperlink>
        </w:p>
        <w:p w14:paraId="5771D2B3" w14:textId="320048A7"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6" w:history="1">
            <w:r w:rsidRPr="00535756">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_Toc173164306 \h </w:instrText>
            </w:r>
            <w:r>
              <w:rPr>
                <w:noProof/>
                <w:webHidden/>
              </w:rPr>
            </w:r>
            <w:r>
              <w:rPr>
                <w:noProof/>
                <w:webHidden/>
              </w:rPr>
              <w:fldChar w:fldCharType="separate"/>
            </w:r>
            <w:r>
              <w:rPr>
                <w:noProof/>
                <w:webHidden/>
              </w:rPr>
              <w:t>31</w:t>
            </w:r>
            <w:r>
              <w:rPr>
                <w:noProof/>
                <w:webHidden/>
              </w:rPr>
              <w:fldChar w:fldCharType="end"/>
            </w:r>
          </w:hyperlink>
        </w:p>
        <w:p w14:paraId="44ACF3DF" w14:textId="58297F7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7" w:history="1">
            <w:r w:rsidRPr="00535756">
              <w:rPr>
                <w:rStyle w:val="Hyperlink"/>
                <w:rFonts w:ascii="Calibri" w:hAnsi="Calibri" w:cs="Calibri"/>
                <w:noProof/>
              </w:rPr>
              <w:t>Sustainability competencies as sustainability attitudes and sustainability behaviours (TPB-based) (Research Question 1)</w:t>
            </w:r>
            <w:r>
              <w:rPr>
                <w:noProof/>
                <w:webHidden/>
              </w:rPr>
              <w:tab/>
            </w:r>
            <w:r>
              <w:rPr>
                <w:noProof/>
                <w:webHidden/>
              </w:rPr>
              <w:fldChar w:fldCharType="begin"/>
            </w:r>
            <w:r>
              <w:rPr>
                <w:noProof/>
                <w:webHidden/>
              </w:rPr>
              <w:instrText xml:space="preserve"> PAGEREF _Toc173164307 \h </w:instrText>
            </w:r>
            <w:r>
              <w:rPr>
                <w:noProof/>
                <w:webHidden/>
              </w:rPr>
            </w:r>
            <w:r>
              <w:rPr>
                <w:noProof/>
                <w:webHidden/>
              </w:rPr>
              <w:fldChar w:fldCharType="separate"/>
            </w:r>
            <w:r>
              <w:rPr>
                <w:noProof/>
                <w:webHidden/>
              </w:rPr>
              <w:t>33</w:t>
            </w:r>
            <w:r>
              <w:rPr>
                <w:noProof/>
                <w:webHidden/>
              </w:rPr>
              <w:fldChar w:fldCharType="end"/>
            </w:r>
          </w:hyperlink>
        </w:p>
        <w:p w14:paraId="3A14797E" w14:textId="48D63656"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8" w:history="1">
            <w:r w:rsidRPr="00535756">
              <w:rPr>
                <w:rStyle w:val="Hyperlink"/>
                <w:rFonts w:ascii="Calibri" w:hAnsi="Calibri" w:cs="Calibri"/>
                <w:noProof/>
              </w:rPr>
              <w:t>Sustainability attitudes/ sustainability behaviours (TPB-based) and efficacy beliefs (Research Question 2)</w:t>
            </w:r>
            <w:r>
              <w:rPr>
                <w:noProof/>
                <w:webHidden/>
              </w:rPr>
              <w:tab/>
            </w:r>
            <w:r>
              <w:rPr>
                <w:noProof/>
                <w:webHidden/>
              </w:rPr>
              <w:fldChar w:fldCharType="begin"/>
            </w:r>
            <w:r>
              <w:rPr>
                <w:noProof/>
                <w:webHidden/>
              </w:rPr>
              <w:instrText xml:space="preserve"> PAGEREF _Toc173164308 \h </w:instrText>
            </w:r>
            <w:r>
              <w:rPr>
                <w:noProof/>
                <w:webHidden/>
              </w:rPr>
            </w:r>
            <w:r>
              <w:rPr>
                <w:noProof/>
                <w:webHidden/>
              </w:rPr>
              <w:fldChar w:fldCharType="separate"/>
            </w:r>
            <w:r>
              <w:rPr>
                <w:noProof/>
                <w:webHidden/>
              </w:rPr>
              <w:t>34</w:t>
            </w:r>
            <w:r>
              <w:rPr>
                <w:noProof/>
                <w:webHidden/>
              </w:rPr>
              <w:fldChar w:fldCharType="end"/>
            </w:r>
          </w:hyperlink>
        </w:p>
        <w:p w14:paraId="3E85BB8D" w14:textId="2816756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9" w:history="1">
            <w:r w:rsidRPr="00535756">
              <w:rPr>
                <w:rStyle w:val="Hyperlink"/>
                <w:rFonts w:ascii="Calibri" w:hAnsi="Calibri" w:cs="Calibri"/>
                <w:noProof/>
              </w:rPr>
              <w:t>Sustainability competencies as efficacy beliefs (Research Question 3)</w:t>
            </w:r>
            <w:r>
              <w:rPr>
                <w:noProof/>
                <w:webHidden/>
              </w:rPr>
              <w:tab/>
            </w:r>
            <w:r>
              <w:rPr>
                <w:noProof/>
                <w:webHidden/>
              </w:rPr>
              <w:fldChar w:fldCharType="begin"/>
            </w:r>
            <w:r>
              <w:rPr>
                <w:noProof/>
                <w:webHidden/>
              </w:rPr>
              <w:instrText xml:space="preserve"> PAGEREF _Toc173164309 \h </w:instrText>
            </w:r>
            <w:r>
              <w:rPr>
                <w:noProof/>
                <w:webHidden/>
              </w:rPr>
            </w:r>
            <w:r>
              <w:rPr>
                <w:noProof/>
                <w:webHidden/>
              </w:rPr>
              <w:fldChar w:fldCharType="separate"/>
            </w:r>
            <w:r>
              <w:rPr>
                <w:noProof/>
                <w:webHidden/>
              </w:rPr>
              <w:t>35</w:t>
            </w:r>
            <w:r>
              <w:rPr>
                <w:noProof/>
                <w:webHidden/>
              </w:rPr>
              <w:fldChar w:fldCharType="end"/>
            </w:r>
          </w:hyperlink>
        </w:p>
        <w:p w14:paraId="2B78F5D4" w14:textId="515F9B7F"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10" w:history="1">
            <w:r w:rsidRPr="00535756">
              <w:rPr>
                <w:rStyle w:val="Hyperlink"/>
                <w:rFonts w:ascii="Calibri" w:hAnsi="Calibri" w:cs="Calibri"/>
                <w:noProof/>
              </w:rPr>
              <w:t>Collective efficacy beliefs as outcomes</w:t>
            </w:r>
            <w:r>
              <w:rPr>
                <w:noProof/>
                <w:webHidden/>
              </w:rPr>
              <w:tab/>
            </w:r>
            <w:r>
              <w:rPr>
                <w:noProof/>
                <w:webHidden/>
              </w:rPr>
              <w:fldChar w:fldCharType="begin"/>
            </w:r>
            <w:r>
              <w:rPr>
                <w:noProof/>
                <w:webHidden/>
              </w:rPr>
              <w:instrText xml:space="preserve"> PAGEREF _Toc173164310 \h </w:instrText>
            </w:r>
            <w:r>
              <w:rPr>
                <w:noProof/>
                <w:webHidden/>
              </w:rPr>
            </w:r>
            <w:r>
              <w:rPr>
                <w:noProof/>
                <w:webHidden/>
              </w:rPr>
              <w:fldChar w:fldCharType="separate"/>
            </w:r>
            <w:r>
              <w:rPr>
                <w:noProof/>
                <w:webHidden/>
              </w:rPr>
              <w:t>35</w:t>
            </w:r>
            <w:r>
              <w:rPr>
                <w:noProof/>
                <w:webHidden/>
              </w:rPr>
              <w:fldChar w:fldCharType="end"/>
            </w:r>
          </w:hyperlink>
        </w:p>
        <w:p w14:paraId="5A7B852E" w14:textId="4FB4DA25"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11" w:history="1">
            <w:r w:rsidRPr="00535756">
              <w:rPr>
                <w:rStyle w:val="Hyperlink"/>
                <w:rFonts w:ascii="Calibri" w:hAnsi="Calibri" w:cs="Calibri"/>
                <w:noProof/>
              </w:rPr>
              <w:t>Aim-focussed efficacy beliefs as outcomes</w:t>
            </w:r>
            <w:r>
              <w:rPr>
                <w:noProof/>
                <w:webHidden/>
              </w:rPr>
              <w:tab/>
            </w:r>
            <w:r>
              <w:rPr>
                <w:noProof/>
                <w:webHidden/>
              </w:rPr>
              <w:fldChar w:fldCharType="begin"/>
            </w:r>
            <w:r>
              <w:rPr>
                <w:noProof/>
                <w:webHidden/>
              </w:rPr>
              <w:instrText xml:space="preserve"> PAGEREF _Toc173164311 \h </w:instrText>
            </w:r>
            <w:r>
              <w:rPr>
                <w:noProof/>
                <w:webHidden/>
              </w:rPr>
            </w:r>
            <w:r>
              <w:rPr>
                <w:noProof/>
                <w:webHidden/>
              </w:rPr>
              <w:fldChar w:fldCharType="separate"/>
            </w:r>
            <w:r>
              <w:rPr>
                <w:noProof/>
                <w:webHidden/>
              </w:rPr>
              <w:t>36</w:t>
            </w:r>
            <w:r>
              <w:rPr>
                <w:noProof/>
                <w:webHidden/>
              </w:rPr>
              <w:fldChar w:fldCharType="end"/>
            </w:r>
          </w:hyperlink>
        </w:p>
        <w:p w14:paraId="4FB11445" w14:textId="116D8A4C"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12" w:history="1">
            <w:r w:rsidRPr="00535756">
              <w:rPr>
                <w:rStyle w:val="Hyperlink"/>
                <w:noProof/>
              </w:rPr>
              <w:t>Study limitations</w:t>
            </w:r>
            <w:r>
              <w:rPr>
                <w:noProof/>
                <w:webHidden/>
              </w:rPr>
              <w:tab/>
            </w:r>
            <w:r>
              <w:rPr>
                <w:noProof/>
                <w:webHidden/>
              </w:rPr>
              <w:fldChar w:fldCharType="begin"/>
            </w:r>
            <w:r>
              <w:rPr>
                <w:noProof/>
                <w:webHidden/>
              </w:rPr>
              <w:instrText xml:space="preserve"> PAGEREF _Toc173164312 \h </w:instrText>
            </w:r>
            <w:r>
              <w:rPr>
                <w:noProof/>
                <w:webHidden/>
              </w:rPr>
            </w:r>
            <w:r>
              <w:rPr>
                <w:noProof/>
                <w:webHidden/>
              </w:rPr>
              <w:fldChar w:fldCharType="separate"/>
            </w:r>
            <w:r>
              <w:rPr>
                <w:noProof/>
                <w:webHidden/>
              </w:rPr>
              <w:t>37</w:t>
            </w:r>
            <w:r>
              <w:rPr>
                <w:noProof/>
                <w:webHidden/>
              </w:rPr>
              <w:fldChar w:fldCharType="end"/>
            </w:r>
          </w:hyperlink>
        </w:p>
        <w:p w14:paraId="57637DBF" w14:textId="3565D75D"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13" w:history="1">
            <w:r w:rsidRPr="00535756">
              <w:rPr>
                <w:rStyle w:val="Hyperlink"/>
                <w:noProof/>
              </w:rPr>
              <w:t>Future directions</w:t>
            </w:r>
            <w:r>
              <w:rPr>
                <w:noProof/>
                <w:webHidden/>
              </w:rPr>
              <w:tab/>
            </w:r>
            <w:r>
              <w:rPr>
                <w:noProof/>
                <w:webHidden/>
              </w:rPr>
              <w:fldChar w:fldCharType="begin"/>
            </w:r>
            <w:r>
              <w:rPr>
                <w:noProof/>
                <w:webHidden/>
              </w:rPr>
              <w:instrText xml:space="preserve"> PAGEREF _Toc173164313 \h </w:instrText>
            </w:r>
            <w:r>
              <w:rPr>
                <w:noProof/>
                <w:webHidden/>
              </w:rPr>
            </w:r>
            <w:r>
              <w:rPr>
                <w:noProof/>
                <w:webHidden/>
              </w:rPr>
              <w:fldChar w:fldCharType="separate"/>
            </w:r>
            <w:r>
              <w:rPr>
                <w:noProof/>
                <w:webHidden/>
              </w:rPr>
              <w:t>37</w:t>
            </w:r>
            <w:r>
              <w:rPr>
                <w:noProof/>
                <w:webHidden/>
              </w:rPr>
              <w:fldChar w:fldCharType="end"/>
            </w:r>
          </w:hyperlink>
        </w:p>
        <w:p w14:paraId="1EDBEAB2" w14:textId="0C75FC8A"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14" w:history="1">
            <w:r w:rsidRPr="00535756">
              <w:rPr>
                <w:rStyle w:val="Hyperlink"/>
                <w:rFonts w:ascii="Calibri" w:hAnsi="Calibri" w:cs="Calibri"/>
                <w:noProof/>
              </w:rPr>
              <w:t>Conclusions</w:t>
            </w:r>
            <w:r>
              <w:rPr>
                <w:noProof/>
                <w:webHidden/>
              </w:rPr>
              <w:tab/>
            </w:r>
            <w:r>
              <w:rPr>
                <w:noProof/>
                <w:webHidden/>
              </w:rPr>
              <w:fldChar w:fldCharType="begin"/>
            </w:r>
            <w:r>
              <w:rPr>
                <w:noProof/>
                <w:webHidden/>
              </w:rPr>
              <w:instrText xml:space="preserve"> PAGEREF _Toc173164314 \h </w:instrText>
            </w:r>
            <w:r>
              <w:rPr>
                <w:noProof/>
                <w:webHidden/>
              </w:rPr>
            </w:r>
            <w:r>
              <w:rPr>
                <w:noProof/>
                <w:webHidden/>
              </w:rPr>
              <w:fldChar w:fldCharType="separate"/>
            </w:r>
            <w:r>
              <w:rPr>
                <w:noProof/>
                <w:webHidden/>
              </w:rPr>
              <w:t>39</w:t>
            </w:r>
            <w:r>
              <w:rPr>
                <w:noProof/>
                <w:webHidden/>
              </w:rPr>
              <w:fldChar w:fldCharType="end"/>
            </w:r>
          </w:hyperlink>
        </w:p>
        <w:p w14:paraId="75C76E20" w14:textId="1791898C"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15" w:history="1">
            <w:r w:rsidRPr="00535756">
              <w:rPr>
                <w:rStyle w:val="Hyperlink"/>
                <w:rFonts w:ascii="Calibri" w:hAnsi="Calibri" w:cs="Calibri"/>
                <w:noProof/>
              </w:rPr>
              <w:t>Appendices</w:t>
            </w:r>
            <w:r>
              <w:rPr>
                <w:noProof/>
                <w:webHidden/>
              </w:rPr>
              <w:tab/>
            </w:r>
            <w:r>
              <w:rPr>
                <w:noProof/>
                <w:webHidden/>
              </w:rPr>
              <w:fldChar w:fldCharType="begin"/>
            </w:r>
            <w:r>
              <w:rPr>
                <w:noProof/>
                <w:webHidden/>
              </w:rPr>
              <w:instrText xml:space="preserve"> PAGEREF _Toc173164315 \h </w:instrText>
            </w:r>
            <w:r>
              <w:rPr>
                <w:noProof/>
                <w:webHidden/>
              </w:rPr>
            </w:r>
            <w:r>
              <w:rPr>
                <w:noProof/>
                <w:webHidden/>
              </w:rPr>
              <w:fldChar w:fldCharType="separate"/>
            </w:r>
            <w:r>
              <w:rPr>
                <w:noProof/>
                <w:webHidden/>
              </w:rPr>
              <w:t>40</w:t>
            </w:r>
            <w:r>
              <w:rPr>
                <w:noProof/>
                <w:webHidden/>
              </w:rPr>
              <w:fldChar w:fldCharType="end"/>
            </w:r>
          </w:hyperlink>
        </w:p>
        <w:p w14:paraId="7ED8BC0E" w14:textId="31B18A49"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16" w:history="1">
            <w:r w:rsidRPr="00535756">
              <w:rPr>
                <w:rStyle w:val="Hyperlink"/>
                <w:rFonts w:ascii="Calibri" w:hAnsi="Calibri" w:cs="Calibri"/>
                <w:noProof/>
              </w:rPr>
              <w:t>Declaration of consent by parents/ info etc</w:t>
            </w:r>
            <w:r>
              <w:rPr>
                <w:noProof/>
                <w:webHidden/>
              </w:rPr>
              <w:tab/>
            </w:r>
            <w:r>
              <w:rPr>
                <w:noProof/>
                <w:webHidden/>
              </w:rPr>
              <w:fldChar w:fldCharType="begin"/>
            </w:r>
            <w:r>
              <w:rPr>
                <w:noProof/>
                <w:webHidden/>
              </w:rPr>
              <w:instrText xml:space="preserve"> PAGEREF _Toc173164316 \h </w:instrText>
            </w:r>
            <w:r>
              <w:rPr>
                <w:noProof/>
                <w:webHidden/>
              </w:rPr>
            </w:r>
            <w:r>
              <w:rPr>
                <w:noProof/>
                <w:webHidden/>
              </w:rPr>
              <w:fldChar w:fldCharType="separate"/>
            </w:r>
            <w:r>
              <w:rPr>
                <w:noProof/>
                <w:webHidden/>
              </w:rPr>
              <w:t>40</w:t>
            </w:r>
            <w:r>
              <w:rPr>
                <w:noProof/>
                <w:webHidden/>
              </w:rPr>
              <w:fldChar w:fldCharType="end"/>
            </w:r>
          </w:hyperlink>
        </w:p>
        <w:p w14:paraId="5BB35DCB" w14:textId="74616C84"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17" w:history="1">
            <w:r w:rsidRPr="00535756">
              <w:rPr>
                <w:rStyle w:val="Hyperlink"/>
                <w:rFonts w:ascii="Calibri" w:hAnsi="Calibri" w:cs="Calibri"/>
                <w:noProof/>
              </w:rPr>
              <w:t>Declaration of submission of the Master thesis</w:t>
            </w:r>
            <w:r>
              <w:rPr>
                <w:noProof/>
                <w:webHidden/>
              </w:rPr>
              <w:tab/>
            </w:r>
            <w:r>
              <w:rPr>
                <w:noProof/>
                <w:webHidden/>
              </w:rPr>
              <w:fldChar w:fldCharType="begin"/>
            </w:r>
            <w:r>
              <w:rPr>
                <w:noProof/>
                <w:webHidden/>
              </w:rPr>
              <w:instrText xml:space="preserve"> PAGEREF _Toc173164317 \h </w:instrText>
            </w:r>
            <w:r>
              <w:rPr>
                <w:noProof/>
                <w:webHidden/>
              </w:rPr>
            </w:r>
            <w:r>
              <w:rPr>
                <w:noProof/>
                <w:webHidden/>
              </w:rPr>
              <w:fldChar w:fldCharType="separate"/>
            </w:r>
            <w:r>
              <w:rPr>
                <w:noProof/>
                <w:webHidden/>
              </w:rPr>
              <w:t>41</w:t>
            </w:r>
            <w:r>
              <w:rPr>
                <w:noProof/>
                <w:webHidden/>
              </w:rPr>
              <w:fldChar w:fldCharType="end"/>
            </w:r>
          </w:hyperlink>
        </w:p>
        <w:p w14:paraId="31DD66ED" w14:textId="0B222691" w:rsidR="00E20FB8" w:rsidRPr="00840A2C" w:rsidRDefault="00E20FB8">
          <w:pPr>
            <w:rPr>
              <w:rFonts w:ascii="Calibri" w:hAnsi="Calibri" w:cs="Calibri"/>
            </w:rPr>
          </w:pPr>
          <w:r w:rsidRPr="00840A2C">
            <w:rPr>
              <w:rFonts w:ascii="Calibri" w:hAnsi="Calibri" w:cs="Calibri"/>
              <w:b/>
              <w:bCs/>
            </w:rPr>
            <w:fldChar w:fldCharType="end"/>
          </w:r>
        </w:p>
      </w:sdtContent>
    </w:sdt>
    <w:p w14:paraId="24AD9F07" w14:textId="33BA9AFF"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18D8FF1B" w14:textId="5DB4D7AE"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Acknowledgements</w:t>
      </w:r>
    </w:p>
    <w:p w14:paraId="54714FF0" w14:textId="7399EF24" w:rsidR="0089322C" w:rsidRPr="00840A2C" w:rsidRDefault="00180811" w:rsidP="00840A2C">
      <w:pPr>
        <w:spacing w:line="276" w:lineRule="auto"/>
        <w:jc w:val="both"/>
        <w:rPr>
          <w:rFonts w:ascii="Calibri" w:hAnsi="Calibri" w:cs="Calibri"/>
          <w:sz w:val="24"/>
          <w:szCs w:val="24"/>
        </w:rPr>
      </w:pPr>
      <w:r w:rsidRPr="00840A2C">
        <w:rPr>
          <w:rFonts w:ascii="Calibri" w:hAnsi="Calibri" w:cs="Calibri"/>
          <w:sz w:val="24"/>
          <w:szCs w:val="24"/>
        </w:rPr>
        <w:t xml:space="preserve">I would like to thank </w:t>
      </w:r>
      <w:proofErr w:type="spellStart"/>
      <w:r w:rsidR="003B5CC5" w:rsidRPr="00840A2C">
        <w:rPr>
          <w:rFonts w:ascii="Calibri" w:hAnsi="Calibri" w:cs="Calibri"/>
          <w:sz w:val="24"/>
          <w:szCs w:val="24"/>
        </w:rPr>
        <w:t>Dr</w:t>
      </w:r>
      <w:r w:rsidR="004918DF" w:rsidRPr="00840A2C">
        <w:rPr>
          <w:rFonts w:ascii="Calibri" w:hAnsi="Calibri" w:cs="Calibri"/>
          <w:sz w:val="24"/>
          <w:szCs w:val="24"/>
        </w:rPr>
        <w:t>.</w:t>
      </w:r>
      <w:proofErr w:type="spellEnd"/>
      <w:r w:rsidR="003B5CC5" w:rsidRPr="00840A2C">
        <w:rPr>
          <w:rFonts w:ascii="Calibri" w:hAnsi="Calibri" w:cs="Calibri"/>
          <w:sz w:val="24"/>
          <w:szCs w:val="24"/>
        </w:rPr>
        <w:t xml:space="preserve"> Eva-Maria Waltner</w:t>
      </w:r>
      <w:r w:rsidR="004918DF" w:rsidRPr="00840A2C">
        <w:rPr>
          <w:rFonts w:ascii="Calibri" w:hAnsi="Calibri" w:cs="Calibri"/>
          <w:sz w:val="24"/>
          <w:szCs w:val="24"/>
        </w:rPr>
        <w:t xml:space="preserve"> and </w:t>
      </w:r>
      <w:r w:rsidR="004918DF" w:rsidRPr="00840A2C">
        <w:rPr>
          <w:rFonts w:ascii="Calibri" w:hAnsi="Calibri" w:cs="Calibri"/>
          <w:sz w:val="24"/>
          <w:szCs w:val="24"/>
        </w:rPr>
        <w:t>Prof</w:t>
      </w:r>
      <w:r w:rsidR="004918DF" w:rsidRPr="00840A2C">
        <w:rPr>
          <w:rFonts w:ascii="Calibri" w:hAnsi="Calibri" w:cs="Calibri"/>
          <w:sz w:val="24"/>
          <w:szCs w:val="24"/>
        </w:rPr>
        <w:t>.</w:t>
      </w:r>
      <w:r w:rsidR="004918DF" w:rsidRPr="00840A2C">
        <w:rPr>
          <w:rFonts w:ascii="Calibri" w:hAnsi="Calibri" w:cs="Calibri"/>
          <w:sz w:val="24"/>
          <w:szCs w:val="24"/>
        </w:rPr>
        <w:t xml:space="preserve"> </w:t>
      </w:r>
      <w:proofErr w:type="spellStart"/>
      <w:r w:rsidR="004918DF" w:rsidRPr="00840A2C">
        <w:rPr>
          <w:rFonts w:ascii="Calibri" w:hAnsi="Calibri" w:cs="Calibri"/>
          <w:sz w:val="24"/>
          <w:szCs w:val="24"/>
        </w:rPr>
        <w:t>Dr</w:t>
      </w:r>
      <w:r w:rsidR="004918DF" w:rsidRPr="00840A2C">
        <w:rPr>
          <w:rFonts w:ascii="Calibri" w:hAnsi="Calibri" w:cs="Calibri"/>
          <w:sz w:val="24"/>
          <w:szCs w:val="24"/>
        </w:rPr>
        <w:t>.</w:t>
      </w:r>
      <w:proofErr w:type="spellEnd"/>
      <w:r w:rsidR="004918DF" w:rsidRPr="00840A2C">
        <w:rPr>
          <w:rFonts w:ascii="Calibri" w:hAnsi="Calibri" w:cs="Calibri"/>
          <w:sz w:val="24"/>
          <w:szCs w:val="24"/>
        </w:rPr>
        <w:t xml:space="preserve"> Astrid </w:t>
      </w:r>
      <w:proofErr w:type="spellStart"/>
      <w:r w:rsidR="004918DF" w:rsidRPr="00840A2C">
        <w:rPr>
          <w:rFonts w:ascii="Calibri" w:hAnsi="Calibri" w:cs="Calibri"/>
          <w:sz w:val="24"/>
          <w:szCs w:val="24"/>
        </w:rPr>
        <w:t>Carrapatoso</w:t>
      </w:r>
      <w:proofErr w:type="spellEnd"/>
      <w:r w:rsidR="004918DF" w:rsidRPr="00840A2C">
        <w:rPr>
          <w:rFonts w:ascii="Calibri" w:hAnsi="Calibri" w:cs="Calibri"/>
          <w:sz w:val="24"/>
          <w:szCs w:val="24"/>
        </w:rPr>
        <w:t xml:space="preserve"> </w:t>
      </w:r>
      <w:r w:rsidR="004918DF" w:rsidRPr="00840A2C">
        <w:rPr>
          <w:rFonts w:ascii="Calibri" w:hAnsi="Calibri" w:cs="Calibri"/>
          <w:sz w:val="24"/>
          <w:szCs w:val="24"/>
        </w:rPr>
        <w:t xml:space="preserve">for their constructive and helpful supervision. From getting to know the project, finding the research scope, consultation about data collection and data analysis, I always found open ears and reassuring plan Bs. I would also like to thank Fabia </w:t>
      </w:r>
      <w:r w:rsidR="003B5CC5" w:rsidRPr="00840A2C">
        <w:rPr>
          <w:rFonts w:ascii="Calibri" w:hAnsi="Calibri" w:cs="Calibri"/>
          <w:sz w:val="24"/>
          <w:szCs w:val="24"/>
        </w:rPr>
        <w:t>Spörckmann and Prof</w:t>
      </w:r>
      <w:r w:rsidR="004918DF" w:rsidRPr="00840A2C">
        <w:rPr>
          <w:rFonts w:ascii="Calibri" w:hAnsi="Calibri" w:cs="Calibri"/>
          <w:sz w:val="24"/>
          <w:szCs w:val="24"/>
        </w:rPr>
        <w:t>.</w:t>
      </w:r>
      <w:r w:rsidR="003B5CC5" w:rsidRPr="00840A2C">
        <w:rPr>
          <w:rFonts w:ascii="Calibri" w:hAnsi="Calibri" w:cs="Calibri"/>
          <w:sz w:val="24"/>
          <w:szCs w:val="24"/>
        </w:rPr>
        <w:t xml:space="preserve"> </w:t>
      </w:r>
      <w:proofErr w:type="spellStart"/>
      <w:r w:rsidR="003B5CC5" w:rsidRPr="00840A2C">
        <w:rPr>
          <w:rFonts w:ascii="Calibri" w:hAnsi="Calibri" w:cs="Calibri"/>
          <w:sz w:val="24"/>
          <w:szCs w:val="24"/>
        </w:rPr>
        <w:t>Dr</w:t>
      </w:r>
      <w:r w:rsidR="004918DF" w:rsidRPr="00840A2C">
        <w:rPr>
          <w:rFonts w:ascii="Calibri" w:hAnsi="Calibri" w:cs="Calibri"/>
          <w:sz w:val="24"/>
          <w:szCs w:val="24"/>
        </w:rPr>
        <w:t>.</w:t>
      </w:r>
      <w:proofErr w:type="spellEnd"/>
      <w:r w:rsidR="003B5CC5" w:rsidRPr="00840A2C">
        <w:rPr>
          <w:rFonts w:ascii="Calibri" w:hAnsi="Calibri" w:cs="Calibri"/>
          <w:sz w:val="24"/>
          <w:szCs w:val="24"/>
        </w:rPr>
        <w:t xml:space="preserve"> Uwe Schmidt</w:t>
      </w:r>
      <w:r w:rsidR="004918DF" w:rsidRPr="00840A2C">
        <w:rPr>
          <w:rFonts w:ascii="Calibri" w:hAnsi="Calibri" w:cs="Calibri"/>
          <w:sz w:val="24"/>
          <w:szCs w:val="24"/>
        </w:rPr>
        <w:t xml:space="preserve"> </w:t>
      </w:r>
      <w:r w:rsidR="007317D1" w:rsidRPr="00840A2C">
        <w:rPr>
          <w:rFonts w:ascii="Calibri" w:hAnsi="Calibri" w:cs="Calibri"/>
          <w:sz w:val="24"/>
          <w:szCs w:val="24"/>
        </w:rPr>
        <w:t>for the second supervision, their interest in the project and the uncomplicated and easy communication.</w:t>
      </w:r>
    </w:p>
    <w:p w14:paraId="70FC51EC" w14:textId="705C08CE" w:rsidR="001C0B70" w:rsidRPr="00840A2C" w:rsidRDefault="001C0B70" w:rsidP="00840A2C">
      <w:pPr>
        <w:spacing w:line="276" w:lineRule="auto"/>
        <w:jc w:val="both"/>
        <w:rPr>
          <w:rFonts w:ascii="Calibri" w:hAnsi="Calibri" w:cs="Calibri"/>
          <w:sz w:val="24"/>
          <w:szCs w:val="24"/>
        </w:rPr>
      </w:pPr>
      <w:r w:rsidRPr="00840A2C">
        <w:rPr>
          <w:rFonts w:ascii="Calibri" w:hAnsi="Calibri" w:cs="Calibri"/>
          <w:sz w:val="24"/>
          <w:szCs w:val="24"/>
        </w:rPr>
        <w:t xml:space="preserve">I also want to thank Rolf and Anette from Solare Zukunft </w:t>
      </w:r>
      <w:proofErr w:type="spellStart"/>
      <w:r w:rsidRPr="00840A2C">
        <w:rPr>
          <w:rFonts w:ascii="Calibri" w:hAnsi="Calibri" w:cs="Calibri"/>
          <w:sz w:val="24"/>
          <w:szCs w:val="24"/>
        </w:rPr>
        <w:t>e.V.</w:t>
      </w:r>
      <w:proofErr w:type="spellEnd"/>
      <w:r w:rsidRPr="00840A2C">
        <w:rPr>
          <w:rFonts w:ascii="Calibri" w:hAnsi="Calibri" w:cs="Calibri"/>
          <w:sz w:val="24"/>
          <w:szCs w:val="24"/>
        </w:rPr>
        <w:t xml:space="preserve"> for giving information on the project and providing the contact information to the schools. At the Angell School, I would like to thank the teaching staff for their support in collecting the data. </w:t>
      </w:r>
    </w:p>
    <w:p w14:paraId="40D04D19" w14:textId="73FE7613" w:rsidR="008E3071" w:rsidRPr="00840A2C" w:rsidRDefault="00180811" w:rsidP="00840A2C">
      <w:pPr>
        <w:jc w:val="both"/>
        <w:rPr>
          <w:rFonts w:ascii="Calibri" w:hAnsi="Calibri" w:cs="Calibri"/>
          <w:b/>
          <w:bCs/>
          <w:sz w:val="32"/>
          <w:szCs w:val="32"/>
        </w:rPr>
      </w:pPr>
      <w:r w:rsidRPr="00840A2C">
        <w:rPr>
          <w:rFonts w:ascii="Calibri" w:hAnsi="Calibri" w:cs="Calibri"/>
          <w:sz w:val="24"/>
          <w:szCs w:val="24"/>
        </w:rPr>
        <w:t>Also, I want to thank my parents</w:t>
      </w:r>
      <w:r w:rsidR="007317D1" w:rsidRPr="00840A2C">
        <w:rPr>
          <w:rFonts w:ascii="Calibri" w:hAnsi="Calibri" w:cs="Calibri"/>
          <w:sz w:val="24"/>
          <w:szCs w:val="24"/>
        </w:rPr>
        <w:t xml:space="preserve"> and friend</w:t>
      </w:r>
      <w:r w:rsidR="00EF2C2E" w:rsidRPr="00840A2C">
        <w:rPr>
          <w:rFonts w:ascii="Calibri" w:hAnsi="Calibri" w:cs="Calibri"/>
          <w:sz w:val="24"/>
          <w:szCs w:val="24"/>
        </w:rPr>
        <w:t>s</w:t>
      </w:r>
      <w:r w:rsidRPr="00840A2C">
        <w:rPr>
          <w:rFonts w:ascii="Calibri" w:hAnsi="Calibri" w:cs="Calibri"/>
          <w:sz w:val="24"/>
          <w:szCs w:val="24"/>
        </w:rPr>
        <w:t xml:space="preserve"> for constant support and proofreading the draft.</w:t>
      </w:r>
      <w:r w:rsidR="008E3071" w:rsidRPr="00840A2C">
        <w:rPr>
          <w:rFonts w:ascii="Calibri" w:hAnsi="Calibri" w:cs="Calibri"/>
          <w:b/>
          <w:bCs/>
          <w:sz w:val="32"/>
          <w:szCs w:val="32"/>
        </w:rPr>
        <w:br w:type="page"/>
      </w:r>
    </w:p>
    <w:p w14:paraId="3CE04346" w14:textId="2E9E0335" w:rsidR="00553518"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List of abbreviations</w:t>
      </w:r>
    </w:p>
    <w:p w14:paraId="3FBB1827" w14:textId="1FEF90C6" w:rsidR="006A59E7" w:rsidRDefault="006A59E7" w:rsidP="00553518">
      <w:pPr>
        <w:rPr>
          <w:rFonts w:ascii="Calibri" w:hAnsi="Calibri" w:cs="Calibri"/>
          <w:sz w:val="24"/>
          <w:szCs w:val="24"/>
        </w:rPr>
      </w:pPr>
      <w:r w:rsidRPr="00840A2C">
        <w:rPr>
          <w:rFonts w:ascii="Calibri" w:hAnsi="Calibri" w:cs="Calibri"/>
          <w:sz w:val="24"/>
          <w:szCs w:val="24"/>
        </w:rPr>
        <w:t>ESD Education for sustainable development</w:t>
      </w:r>
    </w:p>
    <w:p w14:paraId="18DF7126" w14:textId="22F039D0" w:rsidR="001151DD" w:rsidRDefault="001151DD" w:rsidP="00553518">
      <w:pPr>
        <w:rPr>
          <w:rFonts w:ascii="Calibri" w:hAnsi="Calibri" w:cs="Calibri"/>
          <w:sz w:val="24"/>
          <w:szCs w:val="24"/>
        </w:rPr>
      </w:pPr>
      <w:r>
        <w:rPr>
          <w:rFonts w:ascii="Calibri" w:hAnsi="Calibri" w:cs="Calibri"/>
          <w:sz w:val="24"/>
          <w:szCs w:val="24"/>
        </w:rPr>
        <w:t>MP Measurement point</w:t>
      </w:r>
    </w:p>
    <w:p w14:paraId="38120C59" w14:textId="00953C14" w:rsidR="006D2F8D" w:rsidRDefault="006D2F8D" w:rsidP="00553518">
      <w:pPr>
        <w:rPr>
          <w:rFonts w:ascii="Calibri" w:hAnsi="Calibri" w:cs="Calibri"/>
          <w:sz w:val="24"/>
          <w:szCs w:val="24"/>
        </w:rPr>
      </w:pPr>
      <w:r>
        <w:rPr>
          <w:rFonts w:ascii="Calibri" w:hAnsi="Calibri" w:cs="Calibri"/>
          <w:sz w:val="24"/>
          <w:szCs w:val="24"/>
        </w:rPr>
        <w:t>PBC Perceived behavioural control</w:t>
      </w:r>
    </w:p>
    <w:p w14:paraId="6400EFE2" w14:textId="33899237" w:rsidR="00553518" w:rsidRPr="00840A2C" w:rsidRDefault="006A59E7" w:rsidP="00553518">
      <w:pPr>
        <w:rPr>
          <w:rFonts w:ascii="Calibri" w:hAnsi="Calibri" w:cs="Calibri"/>
          <w:sz w:val="24"/>
          <w:szCs w:val="24"/>
        </w:rPr>
      </w:pPr>
      <w:r w:rsidRPr="00840A2C">
        <w:rPr>
          <w:rFonts w:ascii="Calibri" w:hAnsi="Calibri" w:cs="Calibri"/>
          <w:sz w:val="24"/>
          <w:szCs w:val="24"/>
        </w:rPr>
        <w:t>RQ Research question</w:t>
      </w:r>
    </w:p>
    <w:p w14:paraId="66F48CE6" w14:textId="6DA812CD" w:rsidR="006A59E7" w:rsidRPr="00840A2C" w:rsidRDefault="006A59E7" w:rsidP="00553518">
      <w:pPr>
        <w:rPr>
          <w:rFonts w:ascii="Calibri" w:hAnsi="Calibri" w:cs="Calibri"/>
          <w:sz w:val="24"/>
          <w:szCs w:val="24"/>
        </w:rPr>
      </w:pPr>
      <w:r w:rsidRPr="00840A2C">
        <w:rPr>
          <w:rFonts w:ascii="Calibri" w:hAnsi="Calibri" w:cs="Calibri"/>
          <w:sz w:val="24"/>
          <w:szCs w:val="24"/>
        </w:rPr>
        <w:t>SA Sustainability attitude</w:t>
      </w:r>
      <w:r w:rsidR="003A1A6D">
        <w:rPr>
          <w:rFonts w:ascii="Calibri" w:hAnsi="Calibri" w:cs="Calibri"/>
          <w:sz w:val="24"/>
          <w:szCs w:val="24"/>
        </w:rPr>
        <w:t>s</w:t>
      </w:r>
    </w:p>
    <w:p w14:paraId="74097E83" w14:textId="63E621A1" w:rsidR="006A59E7" w:rsidRPr="00840A2C" w:rsidRDefault="006A59E7" w:rsidP="00553518">
      <w:pPr>
        <w:rPr>
          <w:rFonts w:ascii="Calibri" w:hAnsi="Calibri" w:cs="Calibri"/>
          <w:sz w:val="24"/>
          <w:szCs w:val="24"/>
        </w:rPr>
      </w:pPr>
      <w:r w:rsidRPr="00840A2C">
        <w:rPr>
          <w:rFonts w:ascii="Calibri" w:hAnsi="Calibri" w:cs="Calibri"/>
          <w:sz w:val="24"/>
          <w:szCs w:val="24"/>
        </w:rPr>
        <w:t>SB Sustainability behaviour</w:t>
      </w:r>
      <w:r w:rsidR="003A1A6D">
        <w:rPr>
          <w:rFonts w:ascii="Calibri" w:hAnsi="Calibri" w:cs="Calibri"/>
          <w:sz w:val="24"/>
          <w:szCs w:val="24"/>
        </w:rPr>
        <w:t>s</w:t>
      </w:r>
    </w:p>
    <w:p w14:paraId="0D0187F5" w14:textId="07A08135" w:rsidR="006A59E7" w:rsidRPr="00840A2C" w:rsidRDefault="006A59E7" w:rsidP="00553518">
      <w:pPr>
        <w:rPr>
          <w:rFonts w:ascii="Calibri" w:hAnsi="Calibri" w:cs="Calibri"/>
          <w:sz w:val="24"/>
          <w:szCs w:val="24"/>
        </w:rPr>
      </w:pPr>
      <w:r w:rsidRPr="00840A2C">
        <w:rPr>
          <w:rFonts w:ascii="Calibri" w:hAnsi="Calibri" w:cs="Calibri"/>
          <w:sz w:val="24"/>
          <w:szCs w:val="24"/>
        </w:rPr>
        <w:t>SC Sustainability competencies</w:t>
      </w:r>
    </w:p>
    <w:p w14:paraId="4ED22AE1" w14:textId="79CCBBB2" w:rsidR="006A59E7" w:rsidRPr="00840A2C" w:rsidRDefault="006A59E7" w:rsidP="00553518">
      <w:pPr>
        <w:rPr>
          <w:rFonts w:ascii="Calibri" w:hAnsi="Calibri" w:cs="Calibri"/>
          <w:sz w:val="24"/>
          <w:szCs w:val="24"/>
        </w:rPr>
      </w:pPr>
      <w:r w:rsidRPr="00840A2C">
        <w:rPr>
          <w:rFonts w:ascii="Calibri" w:hAnsi="Calibri" w:cs="Calibri"/>
          <w:sz w:val="24"/>
          <w:szCs w:val="24"/>
        </w:rPr>
        <w:t>TPB Theory of planned behaviour</w:t>
      </w:r>
    </w:p>
    <w:p w14:paraId="26F65BF4" w14:textId="77777777" w:rsidR="006A59E7" w:rsidRPr="00840A2C" w:rsidRDefault="006A59E7" w:rsidP="00553518">
      <w:pPr>
        <w:rPr>
          <w:rFonts w:ascii="Calibri" w:hAnsi="Calibri" w:cs="Calibri"/>
          <w:sz w:val="24"/>
          <w:szCs w:val="24"/>
        </w:rPr>
      </w:pPr>
    </w:p>
    <w:p w14:paraId="30DE1E4C" w14:textId="60741B14" w:rsidR="00CA1EEE" w:rsidRPr="00840A2C" w:rsidRDefault="00553518" w:rsidP="008E3071">
      <w:pPr>
        <w:rPr>
          <w:rFonts w:ascii="Calibri" w:hAnsi="Calibri" w:cs="Calibri"/>
          <w:b/>
          <w:bCs/>
          <w:sz w:val="32"/>
          <w:szCs w:val="32"/>
        </w:rPr>
      </w:pPr>
      <w:r w:rsidRPr="00840A2C">
        <w:rPr>
          <w:rFonts w:ascii="Calibri" w:hAnsi="Calibri" w:cs="Calibri"/>
          <w:b/>
          <w:bCs/>
          <w:sz w:val="32"/>
          <w:szCs w:val="32"/>
        </w:rPr>
        <w:br w:type="page"/>
      </w:r>
      <w:r w:rsidR="00726949" w:rsidRPr="00840A2C">
        <w:rPr>
          <w:rFonts w:ascii="Calibri" w:hAnsi="Calibri" w:cs="Calibri"/>
          <w:b/>
          <w:bCs/>
          <w:sz w:val="32"/>
          <w:szCs w:val="32"/>
        </w:rPr>
        <w:lastRenderedPageBreak/>
        <w:t xml:space="preserve">Overview </w:t>
      </w:r>
      <w:r w:rsidR="00CA1EEE" w:rsidRPr="00840A2C">
        <w:rPr>
          <w:rFonts w:ascii="Calibri" w:hAnsi="Calibri" w:cs="Calibri"/>
          <w:b/>
          <w:bCs/>
          <w:sz w:val="32"/>
          <w:szCs w:val="32"/>
        </w:rPr>
        <w:t xml:space="preserve">of </w:t>
      </w:r>
      <w:r w:rsidRPr="00840A2C">
        <w:rPr>
          <w:rFonts w:ascii="Calibri" w:hAnsi="Calibri" w:cs="Calibri"/>
          <w:b/>
          <w:bCs/>
          <w:sz w:val="32"/>
          <w:szCs w:val="32"/>
        </w:rPr>
        <w:t>tables and figures</w:t>
      </w:r>
    </w:p>
    <w:p w14:paraId="4FCA893E" w14:textId="27FFF4C1"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6286B862" w14:textId="77777777" w:rsidR="00B469E6" w:rsidRPr="00840A2C" w:rsidRDefault="00B469E6" w:rsidP="00B469E6">
      <w:pPr>
        <w:pStyle w:val="Heading1"/>
        <w:rPr>
          <w:rFonts w:ascii="Calibri" w:hAnsi="Calibri" w:cs="Calibri"/>
        </w:rPr>
      </w:pPr>
      <w:bookmarkStart w:id="0" w:name="_Toc172630905"/>
      <w:bookmarkStart w:id="1" w:name="_Toc173164284"/>
      <w:r w:rsidRPr="00840A2C">
        <w:rPr>
          <w:rFonts w:ascii="Calibri" w:hAnsi="Calibri" w:cs="Calibri"/>
        </w:rPr>
        <w:lastRenderedPageBreak/>
        <w:t>Introduction</w:t>
      </w:r>
      <w:bookmarkEnd w:id="0"/>
      <w:bookmarkEnd w:id="1"/>
    </w:p>
    <w:p w14:paraId="4EB9655E" w14:textId="5207F4A6" w:rsidR="0087467F" w:rsidRDefault="007A15DD" w:rsidP="0087467F">
      <w:pPr>
        <w:jc w:val="both"/>
        <w:rPr>
          <w:rFonts w:ascii="Calibri" w:hAnsi="Calibri" w:cs="Calibri"/>
          <w:color w:val="0D0D0D"/>
          <w:sz w:val="24"/>
          <w:szCs w:val="24"/>
          <w:shd w:val="clear" w:color="auto" w:fill="FFFFFF"/>
        </w:rPr>
      </w:pPr>
      <w:r w:rsidRPr="007A15DD">
        <w:rPr>
          <w:rFonts w:ascii="Calibri" w:hAnsi="Calibri" w:cs="Calibri"/>
          <w:sz w:val="24"/>
          <w:szCs w:val="24"/>
        </w:rPr>
        <w:t xml:space="preserve">Globally, we as humankind are facing many ecological and social crises at the same time. Despite extensive and continuous efforts to transition to a more sustainable society, environmental and social challenges persist or have even worsened in various aspects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{"citationID":"g0UtTZmp","properties":{"formattedCitation":"(IPCC,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(IPCC, 2023)</w:t>
      </w:r>
      <w:r w:rsidR="00EE53E8">
        <w:rPr>
          <w:rFonts w:ascii="Calibri" w:hAnsi="Calibri" w:cs="Calibri"/>
          <w:sz w:val="24"/>
          <w:szCs w:val="24"/>
        </w:rPr>
        <w:fldChar w:fldCharType="end"/>
      </w:r>
      <w:r w:rsidRPr="007A15DD">
        <w:rPr>
          <w:rFonts w:ascii="Calibri" w:hAnsi="Calibri" w:cs="Calibri"/>
          <w:sz w:val="24"/>
          <w:szCs w:val="24"/>
        </w:rPr>
        <w:t xml:space="preserve">. In transition towards a more sustainable and just society, Education for Sustainable Development (ESD) is seen as a key aspect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{"citationID":"AKEPS39B","properties":{"formattedCitation":"(BMBF,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(BMBF, 2020)</w:t>
      </w:r>
      <w:r w:rsidR="00EE53E8">
        <w:rPr>
          <w:rFonts w:ascii="Calibri" w:hAnsi="Calibri" w:cs="Calibri"/>
          <w:sz w:val="24"/>
          <w:szCs w:val="24"/>
        </w:rPr>
        <w:fldChar w:fldCharType="end"/>
      </w:r>
      <w:r w:rsidRPr="007A15DD">
        <w:rPr>
          <w:rFonts w:ascii="Calibri" w:hAnsi="Calibri" w:cs="Calibri"/>
          <w:sz w:val="24"/>
          <w:szCs w:val="24"/>
        </w:rPr>
        <w:t>. ESD is a holistic approach to education, that focuses on the development of sustainability competencies that enable the learners to contribute to sustainable development through their competencies of knowledge, skills, motivation, attitudes, and values</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{"citationID":"MOVlTXKr","properties":{"formattedCitation":"(Rieckmann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(Rieckmann &amp; Barth, 2022)</w:t>
      </w:r>
      <w:r w:rsidR="00EE53E8">
        <w:rPr>
          <w:rFonts w:ascii="Calibri" w:hAnsi="Calibri" w:cs="Calibri"/>
          <w:sz w:val="24"/>
          <w:szCs w:val="24"/>
        </w:rPr>
        <w:fldChar w:fldCharType="end"/>
      </w:r>
      <w:r w:rsidRPr="007A15DD">
        <w:rPr>
          <w:rFonts w:ascii="Calibri" w:hAnsi="Calibri" w:cs="Calibri"/>
          <w:sz w:val="24"/>
          <w:szCs w:val="24"/>
        </w:rPr>
        <w:t>. Following the Brundtland Report and the Agenda 21 Conference in Rio, numerous programmes on Education for Sustainable Development have been initiated</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{"citationID":"2XM742dD","properties":{"formattedCitation":"(Hoffmann,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(Hoffmann, 2020)</w:t>
      </w:r>
      <w:r w:rsidR="00EE53E8">
        <w:rPr>
          <w:rFonts w:ascii="Calibri" w:hAnsi="Calibri" w:cs="Calibri"/>
          <w:sz w:val="24"/>
          <w:szCs w:val="24"/>
        </w:rPr>
        <w:fldChar w:fldCharType="end"/>
      </w:r>
      <w:r w:rsidRPr="007A15DD">
        <w:rPr>
          <w:rFonts w:ascii="Calibri" w:hAnsi="Calibri" w:cs="Calibri"/>
          <w:sz w:val="24"/>
          <w:szCs w:val="24"/>
        </w:rPr>
        <w:t>. However, the relevance, impact, and effectiveness of ESD are often questioned</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{"citationID":"cmgM8toP","properties":{"formattedCitation":"(Ssoss\\uc0\\u233{}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w:t>
      </w:r>
      <w:proofErr w:type="spellStart"/>
      <w:r w:rsidR="00EE53E8" w:rsidRPr="00EE53E8">
        <w:rPr>
          <w:rFonts w:ascii="Calibri" w:hAnsi="Calibri" w:cs="Calibri"/>
          <w:sz w:val="24"/>
        </w:rPr>
        <w:t>Ssossé</w:t>
      </w:r>
      <w:proofErr w:type="spellEnd"/>
      <w:r w:rsidR="00EE53E8" w:rsidRPr="00EE53E8">
        <w:rPr>
          <w:rFonts w:ascii="Calibri" w:hAnsi="Calibri" w:cs="Calibri"/>
          <w:sz w:val="24"/>
        </w:rPr>
        <w:t xml:space="preserve"> et al., 2021)</w:t>
      </w:r>
      <w:r w:rsidR="00EE53E8">
        <w:rPr>
          <w:rFonts w:ascii="Calibri" w:hAnsi="Calibri" w:cs="Calibri"/>
          <w:sz w:val="24"/>
          <w:szCs w:val="24"/>
        </w:rPr>
        <w:fldChar w:fldCharType="end"/>
      </w:r>
      <w:r w:rsidRPr="007A15DD">
        <w:rPr>
          <w:rFonts w:ascii="Calibri" w:hAnsi="Calibri" w:cs="Calibri"/>
          <w:sz w:val="24"/>
          <w:szCs w:val="24"/>
        </w:rPr>
        <w:t>. While ESD is widely accepted as a theoretical concept and goal dimension, it remains without a universally agreed upon definition. In addition, the complexity of the educational process makes it difficult to define outcomes and measure success accurately. Arguably, the effective development of ESD requires evidence-based recommendations, to make a real contribution much needed changes in society. When looking at the empirical data on the impact and outcomes of ESD interventions in educational settings, there is very little. Disentangling the goals, methods and outcomes of ESD and establishing effective education without instrumentalising education is an urgent issue</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{"citationID":"WNf5YHdU","properties":{"formattedCitation":"(Getzin &amp; Singer-Brodowski, 2017; Ssoss\\uc0\\u233{} et al., 2021)","plainCitation":"(Getzin &amp; Singer-Brodowski, 2017; Ssossé et al., 2021)","noteIndex":0},"citationItems":[{"id":1048,"uris":["http://zotero.org/users/6175602/items/KIAMYKC4"],"itemData":{"id":1048,"type":"article-journal","abstract":"Die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 xml:space="preserve">(Getzin &amp; Singer-Brodowski, 2017; </w:t>
      </w:r>
      <w:proofErr w:type="spellStart"/>
      <w:r w:rsidR="00EE53E8" w:rsidRPr="00EE53E8">
        <w:rPr>
          <w:rFonts w:ascii="Calibri" w:hAnsi="Calibri" w:cs="Calibri"/>
          <w:sz w:val="24"/>
        </w:rPr>
        <w:t>Ssossé</w:t>
      </w:r>
      <w:proofErr w:type="spellEnd"/>
      <w:r w:rsidR="00EE53E8" w:rsidRPr="00EE53E8">
        <w:rPr>
          <w:rFonts w:ascii="Calibri" w:hAnsi="Calibri" w:cs="Calibri"/>
          <w:sz w:val="24"/>
        </w:rPr>
        <w:t xml:space="preserve"> et al., 2021)</w:t>
      </w:r>
      <w:r w:rsidR="00EE53E8">
        <w:rPr>
          <w:rFonts w:ascii="Calibri" w:hAnsi="Calibri" w:cs="Calibri"/>
          <w:sz w:val="24"/>
          <w:szCs w:val="24"/>
        </w:rPr>
        <w:fldChar w:fldCharType="end"/>
      </w:r>
      <w:r w:rsidRPr="007A15DD">
        <w:rPr>
          <w:rFonts w:ascii="Calibri" w:hAnsi="Calibri" w:cs="Calibri"/>
          <w:sz w:val="24"/>
          <w:szCs w:val="24"/>
        </w:rPr>
        <w:t xml:space="preserve">. </w:t>
      </w:r>
      <w:bookmarkStart w:id="2" w:name="_Toc172630906"/>
      <w:r w:rsidR="0087467F" w:rsidRPr="0087467F">
        <w:rPr>
          <w:rFonts w:ascii="Calibri" w:hAnsi="Calibri" w:cs="Calibri"/>
          <w:color w:val="0D0D0D"/>
          <w:sz w:val="24"/>
          <w:szCs w:val="24"/>
          <w:shd w:val="clear" w:color="auto" w:fill="FFFFFF"/>
        </w:rPr>
        <w:t>Currently, we have a limited quantitative understanding of how ESD interventions influence the development of sustainability competencies over time at the level of personal characteristics of learners, such as knowledge, skills, attitudes and values. Despite the call for a more comprehensive approach to measuring and operationalising ESD research, namely a shift from an input to an outcome orientation</w:t>
      </w:r>
      <w:r w:rsidR="00EE53E8">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{"citationID":"pCM9hQCD","properties":{"formattedCitation":"(Waltner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(Waltner et al., 2022)</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research has mostly focused on traditional learning methods</w:t>
      </w:r>
      <w:r w:rsidR="00EE53E8">
        <w:rPr>
          <w:rFonts w:ascii="Calibri" w:hAnsi="Calibri" w:cs="Calibri"/>
          <w:color w:val="0D0D0D"/>
          <w:sz w:val="24"/>
          <w:szCs w:val="24"/>
          <w:shd w:val="clear" w:color="auto" w:fill="FFFFFF"/>
        </w:rPr>
        <w:t xml:space="preserve"> </w:t>
      </w:r>
      <w:r w:rsidR="0087467F" w:rsidRPr="0087467F">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{"citationID":"5b1RuzcR","properties":{"formattedCitation":"(Riess et al., 2022; Waltner et al., 2021)","plainCitation":"(Riess et al., 2022; Waltner et al., 2021)","noteIndex":0},"citationItems":[{"id":1172,"uris":["http://zotero.org/users/6175602/items/3URINVLX"],"itemData":{"id":1172,"type":"article-journal","abstract":"Education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(Riess et al., 2022; Waltner et al., 2021)</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or on uncomprehensive study designs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{"citationID":"mechVzxz","properties":{"formattedCitation":"(Riess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(Riess et al., 2022)</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In this analysis, I focus on the implementation of ESD measures at school level. Although the students currently being educated in our schools are not the decision-makers of today, they will ultimately be the decision-makers of the future. Recent theoretical advances in sustainability competencies, such as the Triple A framework of efficacy beliefs</w:t>
      </w:r>
      <w:r w:rsidR="00EE53E8">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{"citationID":"wnTaCitj","properties":{"formattedCitation":"(Hamann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(Hamann et al., 2024)</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together with the possibility of collecting long-term empirical data </w:t>
      </w:r>
      <w:r w:rsidR="00502665">
        <w:rPr>
          <w:rFonts w:ascii="Calibri" w:hAnsi="Calibri" w:cs="Calibri"/>
          <w:color w:val="0D0D0D"/>
          <w:sz w:val="24"/>
          <w:szCs w:val="24"/>
          <w:shd w:val="clear" w:color="auto" w:fill="FFFFFF"/>
        </w:rPr>
        <w:fldChar w:fldCharType="begin"/>
      </w:r>
      <w:r w:rsidR="00502665">
        <w:rPr>
          <w:rFonts w:ascii="Calibri" w:hAnsi="Calibri" w:cs="Calibri"/>
          <w:color w:val="0D0D0D"/>
          <w:sz w:val="24"/>
          <w:szCs w:val="24"/>
          <w:shd w:val="clear" w:color="auto" w:fill="FFFFFF"/>
        </w:rPr>
        <w:instrText xml:space="preserve"> ADDIN ZOTERO_ITEM CSL_CITATION {"citationID":"YfNAOQgM","properties":{"formattedCitation":"(Pauli,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502665">
        <w:rPr>
          <w:rFonts w:ascii="Calibri" w:hAnsi="Calibri" w:cs="Calibri"/>
          <w:color w:val="0D0D0D"/>
          <w:sz w:val="24"/>
          <w:szCs w:val="24"/>
          <w:shd w:val="clear" w:color="auto" w:fill="FFFFFF"/>
        </w:rPr>
        <w:fldChar w:fldCharType="separate"/>
      </w:r>
      <w:r w:rsidR="00502665" w:rsidRPr="00502665">
        <w:rPr>
          <w:rFonts w:ascii="Calibri" w:hAnsi="Calibri" w:cs="Calibri"/>
          <w:sz w:val="24"/>
        </w:rPr>
        <w:t>(Pauli, 2023)</w:t>
      </w:r>
      <w:r w:rsidR="00502665">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in a quasi-experimental design, allow us to quantitatively test the effects of innovative ESD interventions on students' sustainability competencies. The measurement of sustainability competencies linked to effective ESD education can provide the information and educational design guidance needed for better educational policy making in the light of our rapidly changing Anthropocene.</w:t>
      </w:r>
    </w:p>
    <w:p w14:paraId="0B7A13F9" w14:textId="77777777" w:rsidR="00B52140" w:rsidRPr="00B52140" w:rsidRDefault="00B469E6" w:rsidP="00B52140">
      <w:pPr>
        <w:pStyle w:val="Heading2"/>
      </w:pPr>
      <w:bookmarkStart w:id="3" w:name="_Toc173164285"/>
      <w:r w:rsidRPr="00B52140">
        <w:t>Theoretical and conceptual context</w:t>
      </w:r>
      <w:bookmarkEnd w:id="2"/>
      <w:bookmarkEnd w:id="3"/>
    </w:p>
    <w:p w14:paraId="3D9455DE" w14:textId="12E3B98C" w:rsidR="00EA13F4" w:rsidRPr="00B52140" w:rsidRDefault="00EA13F4" w:rsidP="00B52140">
      <w:pPr>
        <w:jc w:val="both"/>
        <w:rPr>
          <w:rFonts w:asciiTheme="majorHAnsi" w:hAnsiTheme="majorHAnsi" w:cstheme="majorBidi"/>
          <w:sz w:val="24"/>
          <w:szCs w:val="24"/>
        </w:rPr>
      </w:pPr>
      <w:r w:rsidRPr="00B52140">
        <w:rPr>
          <w:sz w:val="24"/>
          <w:szCs w:val="24"/>
        </w:rPr>
        <w:t xml:space="preserve">Education for Sustainable Development (ESD) aims to empower individuals to contribute effectively to sustainable development by fostering critical engagement with societal complexities and contradictions </w:t>
      </w:r>
      <w:r w:rsidR="00D564AF">
        <w:rPr>
          <w:sz w:val="24"/>
          <w:szCs w:val="24"/>
        </w:rPr>
        <w:fldChar w:fldCharType="begin"/>
      </w:r>
      <w:r w:rsidR="00D564AF">
        <w:rPr>
          <w:sz w:val="24"/>
          <w:szCs w:val="24"/>
        </w:rPr>
        <w:instrText xml:space="preserve"> ADDIN ZOTERO_ITEM CSL_CITATION {"citationID":"eDy9GHVq","properties":{"formattedCitation":"(Rie\\uc0\\u223{}, 2011)","plainCitation":"(Rieß, 2011)","noteIndex":0},"citationItems":[{"id":1188,"uris":["http://zotero.org/users/6175602/items/RHB5IGSR"],"itemData":{"id":1188,"type":"book","abstract":"Im Rahmen der Bildung für nachhaltige Entwicklung (BNE) soll allen Menschen die Möglichkeit eröffnet werden, sich Wissen und Werte anzueignen sowie Verhaltensweisen und Lebensstile zu erlernen, die für eine lebenswerte Zukunft und eine positive gesellschaftliche Zukunft erforderlich sind. In den vergangenen Jahren wurden zahlreiche Vorschläge und Konzeptionen für eine BNE entwickelt. Belastbares Wissen und auf empirischen Daten beruhende Erkenntnisse darüber, wie eine schulische BNE wirksam gestaltet werden kann, liegen allerdings noch kaum oder nur in unzureichender Form vor. An dieser Stelle setzt die vorliegende Arbeit an, indem sie die beiden folgenden Fragen in den Mittelpunkt der Betrachtung stellt: 1. Welche Arten von Wissen, Einstellungen und Kompetenzen sollen Schüler/-innen im Rahmen der BNE erwerben? Sind die empfohlenen Ziele in normativer Hinsicht begründbar und aus empirischer Sicht realisierbar?2. Durch welche Methoden und Verfahren kann das Lernen im Rahmen der BNE wirksam unterstützt werden? Wie können Lernprozesse im Sinne einer BNE effektiv initiiert und gefördert werden?Die Besonderheit der vorliegenden Arbeit besteht darin, dass sie versucht, durch die Integration theoretischer Analysen und empirischer Studien Antworten auf diese Fragen zu finden. Dr. habil. Werner Rieß ist Professor für Biologie und ihre Didaktik an der Pädagogischen Hochschule Freiburg. Seine Arbeitsschwerpunkte liegen in der empirischen Unterrichtsforschung im Rahmen der Bildung für nachhaltige Entwicklung, der Umweltbildung und des Faches Biologie. Er ist aktuell Sprecher des Promotionskollegs exMNU (Experimentieren im mathematisch-naturwissenschaftlichen Unterricht) und untersucht u.a. Möglichkeiten der Förderung systemischen Denkens und experimenteller Problemlösefähigkeit im Kontext einer nachhaltigen Entwicklung.","ISBN":"978-3-8309-7311-9","language":"de","note":"Google-Books-ID: b8fHhgb5fIkC","number-of-pages":"463","publisher":"Waxmann Verlag","source":"Google Books","title":"Bildung für nachhaltige Entwicklung: Theoretische Analysen und empirische Studien","title-short":"Bildung für nachhaltige Entwicklung","author":[{"family":"Rieß","given":"Werner"}],"issued":{"date-parts":[["2011"]]}}}],"schema":"https://github.com/citation-style-language/schema/raw/master/csl-citation.json"} </w:instrText>
      </w:r>
      <w:r w:rsidR="00D564AF">
        <w:rPr>
          <w:sz w:val="24"/>
          <w:szCs w:val="24"/>
        </w:rPr>
        <w:fldChar w:fldCharType="separate"/>
      </w:r>
      <w:r w:rsidR="00D564AF" w:rsidRPr="00D564AF">
        <w:rPr>
          <w:rFonts w:ascii="Calibri" w:hAnsi="Calibri" w:cs="Calibri"/>
          <w:sz w:val="24"/>
        </w:rPr>
        <w:t>(</w:t>
      </w:r>
      <w:proofErr w:type="spellStart"/>
      <w:r w:rsidR="00D564AF" w:rsidRPr="00D564AF">
        <w:rPr>
          <w:rFonts w:ascii="Calibri" w:hAnsi="Calibri" w:cs="Calibri"/>
          <w:sz w:val="24"/>
        </w:rPr>
        <w:t>Rieß</w:t>
      </w:r>
      <w:proofErr w:type="spellEnd"/>
      <w:r w:rsidR="00D564AF" w:rsidRPr="00D564AF">
        <w:rPr>
          <w:rFonts w:ascii="Calibri" w:hAnsi="Calibri" w:cs="Calibri"/>
          <w:sz w:val="24"/>
        </w:rPr>
        <w:t>, 2011)</w:t>
      </w:r>
      <w:r w:rsidR="00D564AF">
        <w:rPr>
          <w:sz w:val="24"/>
          <w:szCs w:val="24"/>
        </w:rPr>
        <w:fldChar w:fldCharType="end"/>
      </w:r>
      <w:r w:rsidRPr="00B52140">
        <w:rPr>
          <w:sz w:val="24"/>
          <w:szCs w:val="24"/>
        </w:rPr>
        <w:t>. This educational approach, endorsed by UNESCO</w:t>
      </w:r>
      <w:r w:rsidR="00D564AF">
        <w:rPr>
          <w:sz w:val="24"/>
          <w:szCs w:val="24"/>
        </w:rPr>
        <w:t xml:space="preserve"> </w:t>
      </w:r>
      <w:r w:rsidR="00D564AF">
        <w:rPr>
          <w:sz w:val="24"/>
          <w:szCs w:val="24"/>
        </w:rPr>
        <w:fldChar w:fldCharType="begin"/>
      </w:r>
      <w:r w:rsidR="00D564AF">
        <w:rPr>
          <w:sz w:val="24"/>
          <w:szCs w:val="24"/>
        </w:rPr>
        <w:instrText xml:space="preserve"> ADDIN ZOTERO_ITEM CSL_CITATION {"citationID":"NYJvKESW","properties":{"formattedCitation":"(Rieckmann, 2021)","plainCitation":"(Rieckmann, 2021)","noteIndex":0},"citationItems":[{"id":1108,"uris":["http://zotero.org/users/6175602/items/Y853HDGY"],"itemData":{"id":1108,"type":"article-journal","abstract":"Bildung für nachhaltige Entwicklung (BNE) ist ein relativ junges Bildungskonzept, das sich in der Erziehungswissenschaft wie auch in der pädagogischen Praxis in den letzten 20 Jahren etabliert hat. Dieser Artikel reflektiert das Konzept einer BNE aus bildungstheoretischer Perspektive und beleuchtet Anschlussperspekti­ven zwischen BNE und ausgewählten bildungstheoretischen Positionen und pädagogischen Strömungen. Mit den Ausführungen in diesem Artikel wird deutlich, dass BNE sich erstens besser verstehen und verorten lässt, wenn sie auf Theorien der Erziehung und Bildung Bezug nimmt. Zweitens lässt sich BNE als eine aktualisierte Konzep­tion von Allgemeinbildung im Sinne Klafkis betrachten. Drittens sind Theorien zur transformativen Bildung sehr nützlich, um die im Rahmen einer BNE angestrebte Werte-Bildung zu beschreiben. Viertens ergeben sich aus Krü­gers Reflexiver Erziehungswissenschaft Anregungen für eine Auseinandersetzung mit der Notwendigkeit struk­tureller und institutioneller Transformation und für eine inklusivere Gestaltung von BNE. Fünftens weist BNE Parallelen zu Freires Befreiungspädagogik auf, und sie könnte von einer Auseinandersetzung mit den didaktischen Zugängen der Befreiungspädagogik profitieren. Mit dem Artikel wird ein Beitrag dazu geleis­tet, zum einen BNE stärker in der Erziehungswissenschaft zu verorten und zum anderen die Anschlussfähigkeit an allgemeine erziehungswissenschaftliche Diskurse herzustellen.","container-title":"Religionspädagogische Beiträge","DOI":"10.20377/rpb-153","ISSN":"0173-0339","issue":"2","language":"de","license":"Copyright (c) 2021 Religionspädagogische Beiträge","note":"number: 2","page":"5-16","source":"rpb-journal.de","title":"Reflexion einer Bildung für nachhaltige Entwicklung aus bildungstheoretischer Perspektive","volume":"44","author":[{"family":"Rieckmann","given":"Marco"}],"issued":{"date-parts":[["2021",11,11]]}}}],"schema":"https://github.com/citation-style-language/schema/raw/master/csl-citation.json"}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(Rieckmann, 2021)</w:t>
      </w:r>
      <w:r w:rsidR="00D564AF">
        <w:rPr>
          <w:sz w:val="24"/>
          <w:szCs w:val="24"/>
        </w:rPr>
        <w:fldChar w:fldCharType="end"/>
      </w:r>
      <w:r w:rsidRPr="00B52140">
        <w:rPr>
          <w:sz w:val="24"/>
          <w:szCs w:val="24"/>
        </w:rPr>
        <w:t xml:space="preserve">, is divided into two strands: ESD 1, an instrumental approach that promotes specific sustainable behaviours as defined by experts, and ESD 2, an emancipatory approach that equips learners with the tools to critically evaluate and identify sustainable </w:t>
      </w:r>
      <w:r w:rsidRPr="00B52140">
        <w:rPr>
          <w:sz w:val="24"/>
          <w:szCs w:val="24"/>
        </w:rPr>
        <w:lastRenderedPageBreak/>
        <w:t>practices themselves</w:t>
      </w:r>
      <w:r w:rsidR="00D564AF">
        <w:rPr>
          <w:sz w:val="24"/>
          <w:szCs w:val="24"/>
        </w:rPr>
        <w:t xml:space="preserve"> </w:t>
      </w:r>
      <w:r w:rsidR="00D564AF">
        <w:rPr>
          <w:sz w:val="24"/>
          <w:szCs w:val="24"/>
        </w:rPr>
        <w:fldChar w:fldCharType="begin"/>
      </w:r>
      <w:r w:rsidR="00D564AF">
        <w:rPr>
          <w:sz w:val="24"/>
          <w:szCs w:val="24"/>
        </w:rPr>
        <w:instrText xml:space="preserve"> ADDIN ZOTERO_ITEM CSL_CITATION {"citationID":"ABGHGNq3","properties":{"formattedCitation":"(Wals, 2012)","plainCitation":"(Wals, 2012)","noteIndex":0},"citationItems":[{"id":1190,"uris":["http://zotero.org/users/6175602/items/ZA4E77RB"],"itemData":{"id":1190,"type":"chapter","abstract":"In this chapter the role of education in creating a planet that is more sustainable than the one currently in prospect will be discussed from two vantage points: an instrumental one and an emancipatory one. The instrumental perspective emphasizes the potential of education in changing human environmental behavior in predetermined and more or less agreed upon directions. The emancipatory perspective, on the other hand, emphasizes the potential of education in strengthening people’s capacities and confidence to enable them to help determine how to live together in ways that do not further undermine the carrying capacity of the earth. Whereas the former, more behaviorist vantage point tends to have more support among environmentalists with a strong concern about the rapid loss of biodiversity, climate change, depletion of natural resources, and so on, the latter, more human development–oriented vantage point, tends to have more support among educators with a strong concern for self-determination, agency, and democracy. The chapter ends with the introduction of “post-normal” environmental education.","container-title":"The Oxford Handbook of Environmental and Conservation Psychology","ISBN":"978-0-19-973302-6","note":"DOI: 10.1093/oxfordhb/9780199733026.013.0032","page":"0","publisher":"Oxford University Press","source":"Silverchair","title":"Learning Our Way Out of Unsustainability: The Role of Environmental Education","title-short":"Learning Our Way Out of Unsustainability","URL":"https://doi.org/10.1093/oxfordhb/9780199733026.013.0032","author":[{"family":"Wals","given":"Arjen E. J."}],"editor":[{"family":"Clayton","given":"Susan D."}],"accessed":{"date-parts":[["2024",7,30]]},"issued":{"date-parts":[["2012",9,28]]}}}],"schema":"https://github.com/citation-style-language/schema/raw/master/csl-citation.json"} </w:instrText>
      </w:r>
      <w:r w:rsidR="00D564AF">
        <w:rPr>
          <w:sz w:val="24"/>
          <w:szCs w:val="24"/>
        </w:rPr>
        <w:fldChar w:fldCharType="separate"/>
      </w:r>
      <w:r w:rsidR="00D564AF" w:rsidRPr="00D564AF">
        <w:rPr>
          <w:rFonts w:ascii="Calibri" w:hAnsi="Calibri" w:cs="Calibri"/>
          <w:sz w:val="24"/>
        </w:rPr>
        <w:t>(Wals, 2012)</w:t>
      </w:r>
      <w:r w:rsidR="00D564AF">
        <w:rPr>
          <w:sz w:val="24"/>
          <w:szCs w:val="24"/>
        </w:rPr>
        <w:fldChar w:fldCharType="end"/>
      </w:r>
      <w:r w:rsidRPr="00B52140">
        <w:rPr>
          <w:sz w:val="24"/>
          <w:szCs w:val="24"/>
        </w:rPr>
        <w:t xml:space="preserve">. While ESD 1 focuses on measurable changes in behaviour, ESD 2 emphasises the development of sustainability competencies necessary to navigate and influence complex, ambiguous issues. Both approaches can complement each other, especially in educational settings, where the behavioural focus of ESD 1 is justified by the shared educational and parental responsibilities in schools </w:t>
      </w:r>
      <w:r w:rsidR="00D564AF">
        <w:rPr>
          <w:sz w:val="24"/>
          <w:szCs w:val="24"/>
        </w:rPr>
        <w:fldChar w:fldCharType="begin"/>
      </w:r>
      <w:r w:rsidR="00D564AF">
        <w:rPr>
          <w:sz w:val="24"/>
          <w:szCs w:val="24"/>
        </w:rPr>
        <w:instrText xml:space="preserve"> ADDIN ZOTERO_ITEM CSL_CITATION {"citationID":"BrpprdPE","properties":{"formattedCitation":"(KMK, 2023)","plainCitation":"(KMK, 2023)","noteIndex":0},"citationItems":[{"id":1192,"uris":["http://zotero.org/users/6175602/items/E63Y6G8D"],"itemData":{"id":1192,"type":"webpage","title":"Informationen zum deutschen Bildungssystem","URL":"https://www.kmk.org/dokumentation-statistik/informationen-zum-deutschen-bildungssystem.html","author":[{"family":"KMK","given":""}],"accessed":{"date-parts":[["2024",7,30]]},"issued":{"date-parts":[["2023"]]}}}],"schema":"https://github.com/citation-style-language/schema/raw/master/csl-citation.json"} </w:instrText>
      </w:r>
      <w:r w:rsidR="00D564AF">
        <w:rPr>
          <w:sz w:val="24"/>
          <w:szCs w:val="24"/>
        </w:rPr>
        <w:fldChar w:fldCharType="separate"/>
      </w:r>
      <w:r w:rsidR="00D564AF" w:rsidRPr="00D564AF">
        <w:rPr>
          <w:rFonts w:ascii="Calibri" w:hAnsi="Calibri" w:cs="Calibri"/>
          <w:sz w:val="24"/>
        </w:rPr>
        <w:t>(KMK, 2023)</w:t>
      </w:r>
      <w:r w:rsidR="00D564AF">
        <w:rPr>
          <w:sz w:val="24"/>
          <w:szCs w:val="24"/>
        </w:rPr>
        <w:fldChar w:fldCharType="end"/>
      </w:r>
      <w:r w:rsidRPr="00B52140">
        <w:rPr>
          <w:sz w:val="24"/>
          <w:szCs w:val="24"/>
        </w:rPr>
        <w:t xml:space="preserve">. For older learners, however, the focus should be on ESD 2 in order to cultivate critical thinking and autonomous action </w:t>
      </w:r>
      <w:r w:rsidR="00D564AF">
        <w:rPr>
          <w:sz w:val="24"/>
          <w:szCs w:val="24"/>
        </w:rPr>
        <w:fldChar w:fldCharType="begin"/>
      </w:r>
      <w:r w:rsidR="00D564AF">
        <w:rPr>
          <w:sz w:val="24"/>
          <w:szCs w:val="24"/>
        </w:rPr>
        <w:instrText xml:space="preserve"> ADDIN ZOTERO_ITEM CSL_CITATION {"citationID":"5LZMi3e7","properties":{"formattedCitation":"(Rieckmann, 2021)","plainCitation":"(Rieckmann, 2021)","noteIndex":0},"citationItems":[{"id":1108,"uris":["http://zotero.org/users/6175602/items/Y853HDGY"],"itemData":{"id":1108,"type":"article-journal","abstract":"Bildung für nachhaltige Entwicklung (BNE) ist ein relativ junges Bildungskonzept, das sich in der Erziehungswissenschaft wie auch in der pädagogischen Praxis in den letzten 20 Jahren etabliert hat. Dieser Artikel reflektiert das Konzept einer BNE aus bildungstheoretischer Perspektive und beleuchtet Anschlussperspekti­ven zwischen BNE und ausgewählten bildungstheoretischen Positionen und pädagogischen Strömungen. Mit den Ausführungen in diesem Artikel wird deutlich, dass BNE sich erstens besser verstehen und verorten lässt, wenn sie auf Theorien der Erziehung und Bildung Bezug nimmt. Zweitens lässt sich BNE als eine aktualisierte Konzep­tion von Allgemeinbildung im Sinne Klafkis betrachten. Drittens sind Theorien zur transformativen Bildung sehr nützlich, um die im Rahmen einer BNE angestrebte Werte-Bildung zu beschreiben. Viertens ergeben sich aus Krü­gers Reflexiver Erziehungswissenschaft Anregungen für eine Auseinandersetzung mit der Notwendigkeit struk­tureller und institutioneller Transformation und für eine inklusivere Gestaltung von BNE. Fünftens weist BNE Parallelen zu Freires Befreiungspädagogik auf, und sie könnte von einer Auseinandersetzung mit den didaktischen Zugängen der Befreiungspädagogik profitieren. Mit dem Artikel wird ein Beitrag dazu geleis­tet, zum einen BNE stärker in der Erziehungswissenschaft zu verorten und zum anderen die Anschlussfähigkeit an allgemeine erziehungswissenschaftliche Diskurse herzustellen.","container-title":"Religionspädagogische Beiträge","DOI":"10.20377/rpb-153","ISSN":"0173-0339","issue":"2","language":"de","license":"Copyright (c) 2021 Religionspädagogische Beiträge","note":"number: 2","page":"5-16","source":"rpb-journal.de","title":"Reflexion einer Bildung für nachhaltige Entwicklung aus bildungstheoretischer Perspektive","volume":"44","author":[{"family":"Rieckmann","given":"Marco"}],"issued":{"date-parts":[["2021",11,11]]}}}],"schema":"https://github.com/citation-style-language/schema/raw/master/csl-citation.json"}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(Rieckmann, 2021)</w:t>
      </w:r>
      <w:r w:rsidR="00D564AF">
        <w:rPr>
          <w:sz w:val="24"/>
          <w:szCs w:val="24"/>
        </w:rPr>
        <w:fldChar w:fldCharType="end"/>
      </w:r>
      <w:r w:rsidRPr="00B52140">
        <w:rPr>
          <w:sz w:val="24"/>
          <w:szCs w:val="24"/>
        </w:rPr>
        <w:t>. This shift is in line with the broader educational trend towards competency-based learning, which prioritises skills and abilities over specific content knowledge, thereby increasing the likelihood that students will internalise and apply sustainable practices</w:t>
      </w:r>
      <w:r w:rsidR="00D564AF">
        <w:rPr>
          <w:sz w:val="24"/>
          <w:szCs w:val="24"/>
        </w:rPr>
        <w:t xml:space="preserve"> </w:t>
      </w:r>
      <w:r w:rsidR="00D564AF">
        <w:rPr>
          <w:sz w:val="24"/>
          <w:szCs w:val="24"/>
        </w:rPr>
        <w:fldChar w:fldCharType="begin"/>
      </w:r>
      <w:r w:rsidR="00F32E58">
        <w:rPr>
          <w:sz w:val="24"/>
          <w:szCs w:val="24"/>
        </w:rPr>
        <w:instrText xml:space="preserve"> ADDIN ZOTERO_ITEM CSL_CITATION {"citationID":"vpCo0vGk","properties":{"formattedCitation":"(de Haan, 2006)","plainCitation":"(de Haan, 2006)","noteIndex":0},"citationItems":[{"id":1194,"uris":["http://zotero.org/users/6175602/items/DCE7PQXT"],"itemData":{"id":1194,"type":"article-journal","abstract":"This article aims to describe the German BLK ‘21’ Programme (State—Federal States Commission for Educational Planning and Research Promotion [BLK]) which supported the introduction of Education for Sustainable Development (ESD) into schools from 1999 to 2004. Its political basis, conceptualisation, implementation and results are described. Furthermore, the article gives an overview of the growing international significance of ESD and its perspectives in Germany.","container-title":"Environmental Education Research","DOI":"10.1080/13504620500526362","ISSN":"1350-4622","issue":"1","note":"publisher: Routledge\n_eprint: https://doi.org/10.1080/13504620500526362","page":"19–32","source":"Taylor and Francis+NEJM","title":"The BLK ‘21’ programme in Germany: a ‘Gestaltungskompetenz’‐based model for Education for Sustainable Development","title-short":"The BLK ‘21’ programme in Germany","volume":"12","author":[{"family":"Haan","given":"Gerhard","non-dropping-particle":"de"}],"issued":{"date-parts":[["2006",2,1]]}}}],"schema":"https://github.com/citation-style-language/schema/raw/master/csl-citation.json"} </w:instrText>
      </w:r>
      <w:r w:rsidR="00D564AF">
        <w:rPr>
          <w:sz w:val="24"/>
          <w:szCs w:val="24"/>
        </w:rPr>
        <w:fldChar w:fldCharType="separate"/>
      </w:r>
      <w:r w:rsidR="00F32E58" w:rsidRPr="00F32E58">
        <w:rPr>
          <w:rFonts w:ascii="Calibri" w:hAnsi="Calibri" w:cs="Calibri"/>
          <w:sz w:val="24"/>
        </w:rPr>
        <w:t>(de Haan, 2006)</w:t>
      </w:r>
      <w:r w:rsidR="00D564AF">
        <w:rPr>
          <w:sz w:val="24"/>
          <w:szCs w:val="24"/>
        </w:rPr>
        <w:fldChar w:fldCharType="end"/>
      </w:r>
      <w:r w:rsidRPr="00B52140">
        <w:rPr>
          <w:sz w:val="24"/>
          <w:szCs w:val="24"/>
        </w:rPr>
        <w:t xml:space="preserve">. ESD 2 approaches are even more complex to measure because of the issues surrounding the definition of relevant sustainability competencies to be measured. This complexity is evident in the ongoing debate on ESD and other transformative educational approaches </w:t>
      </w:r>
      <w:r w:rsidR="00F32E58">
        <w:rPr>
          <w:sz w:val="24"/>
          <w:szCs w:val="24"/>
        </w:rPr>
        <w:fldChar w:fldCharType="begin"/>
      </w:r>
      <w:r w:rsidR="00F32E58">
        <w:rPr>
          <w:sz w:val="24"/>
          <w:szCs w:val="24"/>
        </w:rPr>
        <w:instrText xml:space="preserve"> ADDIN ZOTERO_ITEM CSL_CITATION {"citationID":"1vbwwwxG","properties":{"formattedCitation":"(Getzin &amp; Singer-Brodowski, 2017; Wals, 2006)","plainCitation":"(Getzin &amp; Singer-Brodowski, 2017; Wals, 2006)","noteIndex":0},"citationItems":[{"id":1048,"uris":["http://zotero.org/users/6175602/items/KIAMYKC4"],"itemData":{"id":1048,"type":"article-journal","abstract":"Die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id":1195,"uris":["http://zotero.org/users/6175602/items/MUQNUUTD"],"itemData":{"id":1195,"type":"chapter","container-title":"Proceedings of the Seminar on Education for Sustainable Development","event-place":"Helsinki","ISBN":"978-952-485-255-5","language":"eng","page":"42-59","publisher-place":"Helsinki","source":"library.wur.nl","title":"The end of ESD... the beginning of transformative learning. Emphasizing the 'E' in ESD","URL":"https://library.wur.nl/WebQuery/wurpubs/353568","author":[{"family":"Wals","given":"A. E. J."}],"accessed":{"date-parts":[["2024",7,30]]},"issued":{"date-parts":[["2006"]]}}}],"schema":"https://github.com/citation-style-language/schema/raw/master/csl-citation.json"} </w:instrText>
      </w:r>
      <w:r w:rsidR="00F32E58">
        <w:rPr>
          <w:sz w:val="24"/>
          <w:szCs w:val="24"/>
        </w:rPr>
        <w:fldChar w:fldCharType="separate"/>
      </w:r>
      <w:r w:rsidR="00F32E58" w:rsidRPr="00F32E58">
        <w:rPr>
          <w:rFonts w:ascii="Calibri" w:hAnsi="Calibri" w:cs="Calibri"/>
          <w:sz w:val="24"/>
        </w:rPr>
        <w:t>(Getzin &amp; Singer-Brodowski, 2017; Wals, 2006)</w:t>
      </w:r>
      <w:r w:rsidR="00F32E58">
        <w:rPr>
          <w:sz w:val="24"/>
          <w:szCs w:val="24"/>
        </w:rPr>
        <w:fldChar w:fldCharType="end"/>
      </w:r>
      <w:r w:rsidRPr="00B52140">
        <w:rPr>
          <w:sz w:val="24"/>
          <w:szCs w:val="24"/>
        </w:rPr>
        <w:t>. ESD, as an intentional educational intervention, has the potential to challenge existing social, economic and political systems that perpetuate injustice and inequality, aligning it with critical pedagogy and interpretivist or constructivist epistemological paradigms</w:t>
      </w:r>
      <w:r w:rsidR="00F32E58">
        <w:rPr>
          <w:sz w:val="24"/>
          <w:szCs w:val="24"/>
        </w:rPr>
        <w:t xml:space="preserve"> </w:t>
      </w:r>
      <w:r w:rsidR="00F32E58">
        <w:rPr>
          <w:sz w:val="24"/>
          <w:szCs w:val="24"/>
        </w:rPr>
        <w:fldChar w:fldCharType="begin"/>
      </w:r>
      <w:r w:rsidR="00F32E58">
        <w:rPr>
          <w:sz w:val="24"/>
          <w:szCs w:val="24"/>
        </w:rPr>
        <w:instrText xml:space="preserve"> ADDIN ZOTERO_ITEM CSL_CITATION {"citationID":"Bk8LyAOu","properties":{"formattedCitation":"(O\\uc0\\u8217{}Flaherty &amp; Liddy, 2018)","plainCitation":"(O’Flaherty &amp; Liddy, 2018)","noteIndex":0},"citationItems":[{"id":1174,"uris":["http://zotero.org/users/6175602/items/TQGW79XD"],"itemData":{"id":1174,"type":"article-journal","abstract":"The Sustainable Development Goals set out by the United Nations advocate that all learners will have the knowledge and skills needed to promote sustainable development. Development education, education for sustainable development and global citizenship education are deliberate educational interventions, which all address global justice and sustainability issues. Current research continues to expand our understanding of the field, but there are no recent reviews of the literature addressing the impact of these educational interventions. The objective of this paper is, therefore, to examine the impact of intentional development education, education for sustainable development and global citizenship education. We reviewed 243 abstracts against specific inclusion criteria: 127 from Scopus, 101 from ERIC, and 15 from EBSCO. Of those abstracts, 99 met inclusion criteria and underwent double review, which excluded further studies. Of the final 44 papers included for review, 26 focused on education for sustainable development or environmental educational themes, 12 were global orientated in content, either through development education or global citizenship, and six were intercultural educational interventions. In this paper, we provide an overview of measures of assessment of learning used, review the evidence of the impact on learners, and address some methodological and pedagogical questions arising from the review.","container-title":"Environmental Education Research","DOI":"10.1080/13504622.2017.1392484","ISSN":"1350-4622","issue":"7","note":"publisher: Routledge\n_eprint: https://doi.org/10.1080/13504622.2017.1392484","page":"1031–1049","source":"Taylor and Francis+NEJM","title":"The impact of development education and education for sustainable development interventions: a synthesis of the research","title-short":"The impact of development education and education for sustainable development interventions","volume":"24","author":[{"family":"O’Flaherty","given":"J."},{"family":"Liddy","given":"M."}],"issued":{"date-parts":[["2018",7,3]]}}}],"schema":"https://github.com/citation-style-language/schema/raw/master/csl-citation.json"} </w:instrText>
      </w:r>
      <w:r w:rsidR="00F32E58">
        <w:rPr>
          <w:sz w:val="24"/>
          <w:szCs w:val="24"/>
        </w:rPr>
        <w:fldChar w:fldCharType="separate"/>
      </w:r>
      <w:r w:rsidR="00F32E58" w:rsidRPr="00F32E58">
        <w:rPr>
          <w:rFonts w:ascii="Calibri" w:hAnsi="Calibri" w:cs="Calibri"/>
          <w:sz w:val="24"/>
        </w:rPr>
        <w:t>(O’Flaherty &amp; Liddy, 2018)</w:t>
      </w:r>
      <w:r w:rsidR="00F32E58">
        <w:rPr>
          <w:sz w:val="24"/>
          <w:szCs w:val="24"/>
        </w:rPr>
        <w:fldChar w:fldCharType="end"/>
      </w:r>
      <w:r w:rsidRPr="00B52140">
        <w:rPr>
          <w:sz w:val="24"/>
          <w:szCs w:val="24"/>
        </w:rPr>
        <w:t xml:space="preserve">. </w:t>
      </w:r>
      <w:bookmarkStart w:id="4" w:name="_Toc172630907"/>
      <w:r w:rsidRPr="00B52140">
        <w:rPr>
          <w:sz w:val="24"/>
          <w:szCs w:val="24"/>
        </w:rPr>
        <w:t>While these paradigms would lend themselves well to mixed methods approaches, which allow for the existence of multiple realities and experiences that can be viewed differently</w:t>
      </w:r>
      <w:r w:rsidR="00F32E58">
        <w:rPr>
          <w:sz w:val="24"/>
          <w:szCs w:val="24"/>
        </w:rPr>
        <w:t xml:space="preserve"> </w:t>
      </w:r>
      <w:r w:rsidR="00F32E58">
        <w:rPr>
          <w:sz w:val="24"/>
          <w:szCs w:val="24"/>
        </w:rPr>
        <w:fldChar w:fldCharType="begin"/>
      </w:r>
      <w:r w:rsidR="00F32E58">
        <w:rPr>
          <w:sz w:val="24"/>
          <w:szCs w:val="24"/>
        </w:rPr>
        <w:instrText xml:space="preserve"> ADDIN ZOTERO_ITEM CSL_CITATION {"citationID":"fakHiIR3","properties":{"formattedCitation":"(Moustakas, 1994)","plainCitation":"(Moustakas, 1994)","noteIndex":0},"citationItems":[{"id":1199,"uris":["http://zotero.org/users/6175602/items/Y9N3ZPWX"],"itemData":{"id":1199,"type":"book","abstract":"&lt;p&gt;&amp;#8220;Phenomenology has long served as a research model for many psychologists and other social science scholars and professionals. Yet there are few books","ISBN":"978-1-4129-9565-8","language":"en","note":"DOI: 10.4135/9781412995658","publisher":"SAGE Publications, Inc.","source":"methods.sagepub.com","title":"Phenomenological research methods","URL":"https://methods.sagepub.com/book/phenomenological-research-methods","author":[{"family":"Moustakas","given":"Clark"}],"accessed":{"date-parts":[["2024",7,30]]},"issued":{"date-parts":[["1994"]]}}}],"schema":"https://github.com/citation-style-language/schema/raw/master/csl-citation.json"} </w:instrText>
      </w:r>
      <w:r w:rsidR="00F32E58">
        <w:rPr>
          <w:sz w:val="24"/>
          <w:szCs w:val="24"/>
        </w:rPr>
        <w:fldChar w:fldCharType="separate"/>
      </w:r>
      <w:r w:rsidR="00F32E58" w:rsidRPr="00F32E58">
        <w:rPr>
          <w:rFonts w:ascii="Calibri" w:hAnsi="Calibri" w:cs="Calibri"/>
          <w:sz w:val="24"/>
        </w:rPr>
        <w:t>(Moustakas, 1994)</w:t>
      </w:r>
      <w:r w:rsidR="00F32E58">
        <w:rPr>
          <w:sz w:val="24"/>
          <w:szCs w:val="24"/>
        </w:rPr>
        <w:fldChar w:fldCharType="end"/>
      </w:r>
      <w:r w:rsidRPr="00B52140">
        <w:rPr>
          <w:sz w:val="24"/>
          <w:szCs w:val="24"/>
        </w:rPr>
        <w:t xml:space="preserve"> and complex, nuanced outcomes </w:t>
      </w:r>
      <w:r w:rsidR="0016589A">
        <w:rPr>
          <w:sz w:val="24"/>
          <w:szCs w:val="24"/>
        </w:rPr>
        <w:fldChar w:fldCharType="begin"/>
      </w:r>
      <w:r w:rsidR="0016589A">
        <w:rPr>
          <w:sz w:val="24"/>
          <w:szCs w:val="24"/>
        </w:rPr>
        <w:instrText xml:space="preserve"> ADDIN ZOTERO_ITEM CSL_CITATION {"citationID":"jYPCv9dy","properties":{"formattedCitation":"(Dumas &amp; Anderson, 2014)","plainCitation":"(Dumas &amp; Anderson, 2014)","noteIndex":0},"citationItems":[{"id":1201,"uris":["http://zotero.org/users/6175602/items/TZFRXKBB"],"itemData":{"id":1201,"type":"article-journal","abstract":"As educational research becomes privatized, commodified and commercialized, research relevance increasingly means being incorporated into neoliberal ideological and economic agendas. Within this social context, qualitative research in particular is often deemed less relevant (if not irrelevant) because it does not provide prescriptions for best practices or claim to offer “proof” that a given policy will lead to specific outcomes. The authors suggest that notions of research’s relevance to policy and practice may be too narrow a way of thinking about how qualitative scholarship might enter policy discourse. Instead, they propose that scholars advance a new common sense, in which “policy knowledge” is understood as more useful—indeed, more relevant—than mere policy prescription. In their view, impacting the very framing of policy will require that scholars expand their notion of the audiences for educational research, and be more creative at reaching a diverse range of stakeholders, including not only policymakers, but also journalists, youth and community activists, and teachers.","container-title":"Education Policy Analysis Archives","DOI":"10.14507/epaa.v22n11.2014","ISSN":"1068-2341","language":"en","license":"Copyright (c) 2019 Michael Dumas, Gary L. Anderson","page":"11-11","source":"epaa.asu.edu","title":"Qualitative research as policy knowledge: Framing policy problems and transforming education from the ground up","title-short":"Qualitative research as policy knowledge","volume":"22","author":[{"family":"Dumas","given":"Michael"},{"family":"Anderson","given":"Gary L."}],"issued":{"date-parts":[["2014",2,15]]}}}],"schema":"https://github.com/citation-style-language/schema/raw/master/csl-citation.json"} </w:instrText>
      </w:r>
      <w:r w:rsidR="0016589A">
        <w:rPr>
          <w:sz w:val="24"/>
          <w:szCs w:val="24"/>
        </w:rPr>
        <w:fldChar w:fldCharType="separate"/>
      </w:r>
      <w:r w:rsidR="0016589A" w:rsidRPr="0016589A">
        <w:rPr>
          <w:rFonts w:ascii="Calibri" w:hAnsi="Calibri" w:cs="Calibri"/>
          <w:sz w:val="24"/>
        </w:rPr>
        <w:t>(Dumas &amp; Anderson, 2014)</w:t>
      </w:r>
      <w:r w:rsidR="0016589A">
        <w:rPr>
          <w:sz w:val="24"/>
          <w:szCs w:val="24"/>
        </w:rPr>
        <w:fldChar w:fldCharType="end"/>
      </w:r>
      <w:r w:rsidRPr="00B52140">
        <w:rPr>
          <w:sz w:val="24"/>
          <w:szCs w:val="24"/>
        </w:rPr>
        <w:t>, much research is still based on predominantly positivist epistemologies, with quantitative measures such as pre/post surveys commonly used to evaluate educational interventions</w:t>
      </w:r>
      <w:r w:rsidR="0016589A">
        <w:rPr>
          <w:sz w:val="24"/>
          <w:szCs w:val="24"/>
        </w:rPr>
        <w:t xml:space="preserve"> </w:t>
      </w:r>
      <w:r w:rsidR="0016589A">
        <w:rPr>
          <w:sz w:val="24"/>
          <w:szCs w:val="24"/>
        </w:rPr>
        <w:fldChar w:fldCharType="begin"/>
      </w:r>
      <w:r w:rsidR="0016589A">
        <w:rPr>
          <w:sz w:val="24"/>
          <w:szCs w:val="24"/>
        </w:rPr>
        <w:instrText xml:space="preserve"> ADDIN ZOTERO_ITEM CSL_CITATION {"citationID":"3tuR5svF","properties":{"formattedCitation":"(O\\uc0\\u8217{}Flaherty &amp; Liddy, 2018)","plainCitation":"(O’Flaherty &amp; Liddy, 2018)","noteIndex":0},"citationItems":[{"id":1174,"uris":["http://zotero.org/users/6175602/items/TQGW79XD"],"itemData":{"id":1174,"type":"article-journal","abstract":"The Sustainable Development Goals set out by the United Nations advocate that all learners will have the knowledge and skills needed to promote sustainable development. Development education, education for sustainable development and global citizenship education are deliberate educational interventions, which all address global justice and sustainability issues. Current research continues to expand our understanding of the field, but there are no recent reviews of the literature addressing the impact of these educational interventions. The objective of this paper is, therefore, to examine the impact of intentional development education, education for sustainable development and global citizenship education. We reviewed 243 abstracts against specific inclusion criteria: 127 from Scopus, 101 from ERIC, and 15 from EBSCO. Of those abstracts, 99 met inclusion criteria and underwent double review, which excluded further studies. Of the final 44 papers included for review, 26 focused on education for sustainable development or environmental educational themes, 12 were global orientated in content, either through development education or global citizenship, and six were intercultural educational interventions. In this paper, we provide an overview of measures of assessment of learning used, review the evidence of the impact on learners, and address some methodological and pedagogical questions arising from the review.","container-title":"Environmental Education Research","DOI":"10.1080/13504622.2017.1392484","ISSN":"1350-4622","issue":"7","note":"publisher: Routledge\n_eprint: https://doi.org/10.1080/13504622.2017.1392484","page":"1031–1049","source":"Taylor and Francis+NEJM","title":"The impact of development education and education for sustainable development interventions: a synthesis of the research","title-short":"The impact of development education and education for sustainable development interventions","volume":"24","author":[{"family":"O’Flaherty","given":"J."},{"family":"Liddy","given":"M."}],"issued":{"date-parts":[["2018",7,3]]}}}],"schema":"https://github.com/citation-style-language/schema/raw/master/csl-citation.json"} </w:instrText>
      </w:r>
      <w:r w:rsidR="0016589A">
        <w:rPr>
          <w:sz w:val="24"/>
          <w:szCs w:val="24"/>
        </w:rPr>
        <w:fldChar w:fldCharType="separate"/>
      </w:r>
      <w:r w:rsidR="0016589A" w:rsidRPr="0016589A">
        <w:rPr>
          <w:rFonts w:ascii="Calibri" w:hAnsi="Calibri" w:cs="Calibri"/>
          <w:sz w:val="24"/>
        </w:rPr>
        <w:t>(O’Flaherty &amp; Liddy, 2018)</w:t>
      </w:r>
      <w:r w:rsidR="0016589A">
        <w:rPr>
          <w:sz w:val="24"/>
          <w:szCs w:val="24"/>
        </w:rPr>
        <w:fldChar w:fldCharType="end"/>
      </w:r>
      <w:r w:rsidRPr="00B52140">
        <w:rPr>
          <w:sz w:val="24"/>
          <w:szCs w:val="24"/>
        </w:rPr>
        <w:t xml:space="preserve">. Due to resource constraints, I also chose to adopt a purely quantitative approach, reflecting a positivist epistemology. There are many complex considerations that need to be </w:t>
      </w:r>
      <w:proofErr w:type="gramStart"/>
      <w:r w:rsidRPr="00B52140">
        <w:rPr>
          <w:sz w:val="24"/>
          <w:szCs w:val="24"/>
        </w:rPr>
        <w:t>taken into account</w:t>
      </w:r>
      <w:proofErr w:type="gramEnd"/>
      <w:r w:rsidRPr="00B52140">
        <w:rPr>
          <w:sz w:val="24"/>
          <w:szCs w:val="24"/>
        </w:rPr>
        <w:t xml:space="preserve"> when aiming to improve ESD - however, effective ESD interventions can benefit from being designed around measurable sustainability competencies and their continuous development.</w:t>
      </w:r>
    </w:p>
    <w:p w14:paraId="3942E39A" w14:textId="6EAB52CC" w:rsidR="00B469E6" w:rsidRPr="00C7451B" w:rsidRDefault="00B469E6" w:rsidP="00C7451B">
      <w:pPr>
        <w:pStyle w:val="Heading3"/>
      </w:pPr>
      <w:bookmarkStart w:id="5" w:name="_Toc173164286"/>
      <w:r w:rsidRPr="00C7451B">
        <w:t>Goals of ESD</w:t>
      </w:r>
      <w:bookmarkEnd w:id="4"/>
      <w:bookmarkEnd w:id="5"/>
    </w:p>
    <w:p w14:paraId="4E1CC6A9" w14:textId="19B6B18C" w:rsidR="00C7451B" w:rsidRDefault="00B27233" w:rsidP="00C7451B">
      <w:pPr>
        <w:jc w:val="both"/>
        <w:rPr>
          <w:rFonts w:ascii="Calibri" w:hAnsi="Calibri" w:cs="Calibri"/>
          <w:color w:val="222222"/>
          <w:sz w:val="24"/>
          <w:szCs w:val="24"/>
          <w:shd w:val="clear" w:color="auto" w:fill="FFFFFF"/>
        </w:rPr>
      </w:pPr>
      <w:r w:rsidRPr="00B27233">
        <w:rPr>
          <w:rFonts w:ascii="Calibri" w:hAnsi="Calibri" w:cs="Calibri"/>
          <w:sz w:val="24"/>
          <w:szCs w:val="24"/>
        </w:rPr>
        <w:t xml:space="preserve">Sustainability competencies need targets against which they can be measured. While there may be project-specific objectives for each ESD intervention, the question remains as to the overarching understanding of the dimensions of the goals. At the international level, goals are set, for example, by Agenda 21 </w:t>
      </w:r>
      <w:r w:rsidR="004912B1">
        <w:rPr>
          <w:rFonts w:ascii="Calibri" w:hAnsi="Calibri" w:cs="Calibri"/>
          <w:sz w:val="24"/>
          <w:szCs w:val="24"/>
        </w:rPr>
        <w:fldChar w:fldCharType="begin"/>
      </w:r>
      <w:r w:rsidR="004912B1">
        <w:rPr>
          <w:rFonts w:ascii="Calibri" w:hAnsi="Calibri" w:cs="Calibri"/>
          <w:sz w:val="24"/>
          <w:szCs w:val="24"/>
        </w:rPr>
        <w:instrText xml:space="preserve"> ADDIN ZOTERO_ITEM CSL_CITATION {"citationID":"XSmRi7so","properties":{"formattedCitation":"(UNCED, 1992)","plainCitation":"(UNCED, 1992)","noteIndex":0},"citationItems":[{"id":1205,"uris":["http://zotero.org/users/6175602/items/XJVS7LA5"],"itemData":{"id":1205,"type":"document","title":"United Nations Conference on Environment &amp; Development Rio de Janerio, Brazil, 3 to 14 June 1992, Agenda 21. 1992.","URL":"https://sustainabledevelopment.un.org/content/documents/Agenda21.pdf","author":[{"family":"UNCED","given":""}],"issued":{"date-parts":[["1992"]]}}}],"schema":"https://github.com/citation-style-language/schema/raw/master/csl-citation.json"} </w:instrText>
      </w:r>
      <w:r w:rsidR="004912B1">
        <w:rPr>
          <w:rFonts w:ascii="Calibri" w:hAnsi="Calibri" w:cs="Calibri"/>
          <w:sz w:val="24"/>
          <w:szCs w:val="24"/>
        </w:rPr>
        <w:fldChar w:fldCharType="separate"/>
      </w:r>
      <w:r w:rsidR="004912B1" w:rsidRPr="004912B1">
        <w:rPr>
          <w:rFonts w:ascii="Calibri" w:hAnsi="Calibri" w:cs="Calibri"/>
          <w:sz w:val="24"/>
        </w:rPr>
        <w:t>(UNCED, 1992)</w:t>
      </w:r>
      <w:r w:rsidR="004912B1">
        <w:rPr>
          <w:rFonts w:ascii="Calibri" w:hAnsi="Calibri" w:cs="Calibri"/>
          <w:sz w:val="24"/>
          <w:szCs w:val="24"/>
        </w:rPr>
        <w:fldChar w:fldCharType="end"/>
      </w:r>
      <w:r w:rsidRPr="00B27233">
        <w:rPr>
          <w:rFonts w:ascii="Calibri" w:hAnsi="Calibri" w:cs="Calibri"/>
          <w:sz w:val="24"/>
          <w:szCs w:val="24"/>
        </w:rPr>
        <w:t xml:space="preserve">. They provide a normative framework, but there is no operationalisation of ESD outcomes </w:t>
      </w:r>
      <w:r w:rsidR="004912B1">
        <w:rPr>
          <w:rFonts w:ascii="Calibri" w:hAnsi="Calibri" w:cs="Calibri"/>
          <w:sz w:val="24"/>
          <w:szCs w:val="24"/>
        </w:rPr>
        <w:fldChar w:fldCharType="begin"/>
      </w:r>
      <w:r w:rsidR="004912B1">
        <w:rPr>
          <w:rFonts w:ascii="Calibri" w:hAnsi="Calibri" w:cs="Calibri"/>
          <w:sz w:val="24"/>
          <w:szCs w:val="24"/>
        </w:rPr>
        <w:instrText xml:space="preserve"> ADDIN ZOTERO_ITEM CSL_CITATION {"citationID":"SK3k3A50","properties":{"formattedCitation":"(Wiek et al., 2011)","plainCitation":"(Wiek et al., 2011)","noteIndex":0},"citationItems":[{"id":1206,"uris":["http://zotero.org/users/6175602/items/7QVKT4K3"],"itemData":{"id":1206,"type":"article-journal","abstract":"The emerging academic field focused on sustainability has been engaged in a rich and converging debate to define what key competencies are considered critical for graduating students to possess. For more than a decade, sustainability courses have been developed and taught in higher education, yet comprehensive academic programs in sustainability, on the undergraduate and graduate level, have emerged only over the last few years. Considering this recent institutional momentum, the time is seemingly right to synthesize the discussion about key competencies in sustainability in order to support these relatively young academic programs in shaping their profiles and achieving their ambitious missions. This article presents the results of a broad literature review. The review identifies the relevant literature on key competencies in sustainability; synthesizes the substantive contributions in a coherent framework of sustainability research and problem-solving competence; and addresses critical gaps in the conceptualization of key competencies in sustainability. Insights from this study lay the groundwork for institutional advancements in designing and revising academic programs; teaching and learning evaluations; as well as hiring and training faculty and staff.","container-title":"Sustainability Science","DOI":"10.1007/s11625-011-0132-6","ISSN":"1862-4057","issue":"2","journalAbbreviation":"Sustain Sci","language":"en","page":"203-218","source":"Springer Link","title":"Key competencies in sustainability: a reference framework for academic program development","title-short":"Key competencies in sustainability","volume":"6","author":[{"family":"Wiek","given":"Arnim"},{"family":"Withycombe","given":"Lauren"},{"family":"Redman","given":"Charles L."}],"issued":{"date-parts":[["2011",7,1]]}}}],"schema":"https://github.com/citation-style-language/schema/raw/master/csl-citation.json"} </w:instrText>
      </w:r>
      <w:r w:rsidR="004912B1">
        <w:rPr>
          <w:rFonts w:ascii="Calibri" w:hAnsi="Calibri" w:cs="Calibri"/>
          <w:sz w:val="24"/>
          <w:szCs w:val="24"/>
        </w:rPr>
        <w:fldChar w:fldCharType="separate"/>
      </w:r>
      <w:r w:rsidR="004912B1" w:rsidRPr="004912B1">
        <w:rPr>
          <w:rFonts w:ascii="Calibri" w:hAnsi="Calibri" w:cs="Calibri"/>
          <w:sz w:val="24"/>
        </w:rPr>
        <w:t>(Wiek et al., 2011)</w:t>
      </w:r>
      <w:r w:rsidR="004912B1">
        <w:rPr>
          <w:rFonts w:ascii="Calibri" w:hAnsi="Calibri" w:cs="Calibri"/>
          <w:sz w:val="24"/>
          <w:szCs w:val="24"/>
        </w:rPr>
        <w:fldChar w:fldCharType="end"/>
      </w:r>
      <w:r w:rsidRPr="00B27233">
        <w:rPr>
          <w:rFonts w:ascii="Calibri" w:hAnsi="Calibri" w:cs="Calibri"/>
          <w:sz w:val="24"/>
          <w:szCs w:val="24"/>
        </w:rPr>
        <w:t xml:space="preserve">. At the local level, there are regional education plans, such as the one in Baden-Württemberg: "Education for Sustainable Development enables learners to make informed decisions and act responsibly for the protection of the environment, a functioning economy and a just world society for current and future generations" </w:t>
      </w:r>
      <w:r w:rsidR="002D3412">
        <w:rPr>
          <w:rFonts w:ascii="Calibri" w:hAnsi="Calibri" w:cs="Calibri"/>
          <w:sz w:val="24"/>
          <w:szCs w:val="24"/>
        </w:rPr>
        <w:t xml:space="preserve"> </w:t>
      </w:r>
      <w:r w:rsidR="002D3412">
        <w:rPr>
          <w:rFonts w:ascii="Calibri" w:hAnsi="Calibri" w:cs="Calibri"/>
          <w:sz w:val="24"/>
          <w:szCs w:val="24"/>
        </w:rPr>
        <w:fldChar w:fldCharType="begin"/>
      </w:r>
      <w:r w:rsidR="002D3412">
        <w:rPr>
          <w:rFonts w:ascii="Calibri" w:hAnsi="Calibri" w:cs="Calibri"/>
          <w:sz w:val="24"/>
          <w:szCs w:val="24"/>
        </w:rPr>
        <w:instrText xml:space="preserve"> ADDIN ZOTERO_ITEM CSL_CITATION {"citationID":"ggVEokZM","properties":{"formattedCitation":"(Ministry of Education Baden W\\uc0\\u252{}rttemberg, 2016)","plainCitation":"(Ministry of Education Baden Württemberg, 2016)","noteIndex":0},"citationItems":[{"id":1208,"uris":["http://zotero.org/users/6175602/items/UES6Y65W"],"itemData":{"id":1208,"type":"webpage","title":"Bildung und Kultur – Statistisches Landesamt Baden-Württemberg","URL":"https://www.statistik-bw.de/BildungKultur/","author":[{"family":"Ministry of Education Baden Württemberg","given":""}],"accessed":{"date-parts":[["2024",7,30]]},"issued":{"date-parts":[["2016"]]}}}],"schema":"https://github.com/citation-style-language/schema/raw/master/csl-citation.json"} </w:instrText>
      </w:r>
      <w:r w:rsidR="002D3412">
        <w:rPr>
          <w:rFonts w:ascii="Calibri" w:hAnsi="Calibri" w:cs="Calibri"/>
          <w:sz w:val="24"/>
          <w:szCs w:val="24"/>
        </w:rPr>
        <w:fldChar w:fldCharType="separate"/>
      </w:r>
      <w:r w:rsidR="002D3412" w:rsidRPr="002D3412">
        <w:rPr>
          <w:rFonts w:ascii="Calibri" w:hAnsi="Calibri" w:cs="Calibri"/>
          <w:sz w:val="24"/>
        </w:rPr>
        <w:t>(Ministry of Education Baden Württemberg, 2016)</w:t>
      </w:r>
      <w:r w:rsidR="002D3412">
        <w:rPr>
          <w:rFonts w:ascii="Calibri" w:hAnsi="Calibri" w:cs="Calibri"/>
          <w:sz w:val="24"/>
          <w:szCs w:val="24"/>
        </w:rPr>
        <w:fldChar w:fldCharType="end"/>
      </w:r>
      <w:r w:rsidRPr="00B27233">
        <w:rPr>
          <w:rFonts w:ascii="Calibri" w:hAnsi="Calibri" w:cs="Calibri"/>
          <w:sz w:val="24"/>
          <w:szCs w:val="24"/>
        </w:rPr>
        <w:t>, but they also remain without operationalisation. Educational goals, which are personal characteristics to be promoted in learners, should include a normative test and an empirical test</w:t>
      </w:r>
      <w:r w:rsidRPr="00B7692A">
        <w:rPr>
          <w:rFonts w:ascii="Calibri" w:hAnsi="Calibri" w:cs="Calibri"/>
          <w:sz w:val="24"/>
          <w:szCs w:val="24"/>
        </w:rPr>
        <w:t xml:space="preserve">. </w:t>
      </w:r>
      <w:r w:rsidR="00B7692A" w:rsidRPr="00B7692A">
        <w:rPr>
          <w:sz w:val="24"/>
          <w:szCs w:val="24"/>
        </w:rPr>
        <w:t>Critical analyses of major ESD goal recommendations suggest that sustainability competencies encompass the cognitive abilities, skills, and the related motivational, volitional, and social preparedness necessary for addressing sustainability-related challenges and promoting sustainable development in personal, social, and institutional contexts</w:t>
      </w:r>
      <w:r w:rsidR="00B7692A">
        <w:rPr>
          <w:sz w:val="24"/>
          <w:szCs w:val="24"/>
        </w:rPr>
        <w:t xml:space="preserve"> </w:t>
      </w:r>
      <w:r w:rsidR="00B7692A">
        <w:rPr>
          <w:sz w:val="24"/>
          <w:szCs w:val="24"/>
        </w:rPr>
        <w:fldChar w:fldCharType="begin"/>
      </w:r>
      <w:r w:rsidR="00B7692A">
        <w:rPr>
          <w:sz w:val="24"/>
          <w:szCs w:val="24"/>
        </w:rPr>
        <w:instrText xml:space="preserve"> ADDIN ZOTERO_ITEM CSL_CITATION {"citationID":"J33x04bn","properties":{"formattedCitation":"(Rie\\uc0\\u223{}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B7692A">
        <w:rPr>
          <w:sz w:val="24"/>
          <w:szCs w:val="24"/>
        </w:rPr>
        <w:fldChar w:fldCharType="separate"/>
      </w:r>
      <w:r w:rsidR="00B7692A" w:rsidRPr="00B7692A">
        <w:rPr>
          <w:rFonts w:ascii="Calibri" w:hAnsi="Calibri" w:cs="Calibri"/>
          <w:sz w:val="24"/>
        </w:rPr>
        <w:t>(</w:t>
      </w:r>
      <w:proofErr w:type="spellStart"/>
      <w:r w:rsidR="00B7692A" w:rsidRPr="00B7692A">
        <w:rPr>
          <w:rFonts w:ascii="Calibri" w:hAnsi="Calibri" w:cs="Calibri"/>
          <w:sz w:val="24"/>
        </w:rPr>
        <w:t>Rieß</w:t>
      </w:r>
      <w:proofErr w:type="spellEnd"/>
      <w:r w:rsidR="00B7692A" w:rsidRPr="00B7692A">
        <w:rPr>
          <w:rFonts w:ascii="Calibri" w:hAnsi="Calibri" w:cs="Calibri"/>
          <w:sz w:val="24"/>
        </w:rPr>
        <w:t xml:space="preserve"> et al., 2018)</w:t>
      </w:r>
      <w:r w:rsidR="00B7692A">
        <w:rPr>
          <w:sz w:val="24"/>
          <w:szCs w:val="24"/>
        </w:rPr>
        <w:fldChar w:fldCharType="end"/>
      </w:r>
      <w:r w:rsidR="00B7692A" w:rsidRPr="00B7692A">
        <w:rPr>
          <w:sz w:val="24"/>
          <w:szCs w:val="24"/>
        </w:rPr>
        <w:t>.</w:t>
      </w:r>
      <w:r w:rsidR="00B7692A">
        <w:t xml:space="preserve"> </w:t>
      </w:r>
      <w:r w:rsidRPr="00B27233">
        <w:rPr>
          <w:rFonts w:ascii="Calibri" w:hAnsi="Calibri" w:cs="Calibri"/>
          <w:sz w:val="24"/>
          <w:szCs w:val="24"/>
        </w:rPr>
        <w:t>Although some ESD learning goals exist, there is still a lack of operationalisation of ESD outcomes to be translated into measurement models and tools</w:t>
      </w:r>
      <w:r w:rsidR="00B7692A">
        <w:rPr>
          <w:rFonts w:ascii="Calibri" w:hAnsi="Calibri" w:cs="Calibri"/>
          <w:sz w:val="24"/>
          <w:szCs w:val="24"/>
        </w:rPr>
        <w:t xml:space="preserve"> </w:t>
      </w:r>
      <w:r w:rsidR="00B7692A">
        <w:rPr>
          <w:rFonts w:ascii="Calibri" w:hAnsi="Calibri" w:cs="Calibri"/>
          <w:sz w:val="24"/>
          <w:szCs w:val="24"/>
        </w:rPr>
        <w:fldChar w:fldCharType="begin"/>
      </w:r>
      <w:r w:rsidR="00B7692A">
        <w:rPr>
          <w:rFonts w:ascii="Calibri" w:hAnsi="Calibri" w:cs="Calibri"/>
          <w:sz w:val="24"/>
          <w:szCs w:val="24"/>
        </w:rPr>
        <w:instrText xml:space="preserve"> ADDIN ZOTERO_ITEM CSL_CITATION {"citationID":"AyUkQosx","properties":{"formattedCitation":"(Rie\\uc0\\u223{}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B7692A">
        <w:rPr>
          <w:rFonts w:ascii="Calibri" w:hAnsi="Calibri" w:cs="Calibri"/>
          <w:sz w:val="24"/>
          <w:szCs w:val="24"/>
        </w:rPr>
        <w:fldChar w:fldCharType="separate"/>
      </w:r>
      <w:r w:rsidR="00B7692A" w:rsidRPr="00B7692A">
        <w:rPr>
          <w:rFonts w:ascii="Calibri" w:hAnsi="Calibri" w:cs="Calibri"/>
          <w:sz w:val="24"/>
        </w:rPr>
        <w:t>(</w:t>
      </w:r>
      <w:proofErr w:type="spellStart"/>
      <w:r w:rsidR="00B7692A" w:rsidRPr="00B7692A">
        <w:rPr>
          <w:rFonts w:ascii="Calibri" w:hAnsi="Calibri" w:cs="Calibri"/>
          <w:sz w:val="24"/>
        </w:rPr>
        <w:t>Rieß</w:t>
      </w:r>
      <w:proofErr w:type="spellEnd"/>
      <w:r w:rsidR="00B7692A" w:rsidRPr="00B7692A">
        <w:rPr>
          <w:rFonts w:ascii="Calibri" w:hAnsi="Calibri" w:cs="Calibri"/>
          <w:sz w:val="24"/>
        </w:rPr>
        <w:t xml:space="preserve"> et al., 2018)</w:t>
      </w:r>
      <w:r w:rsidR="00B7692A">
        <w:rPr>
          <w:rFonts w:ascii="Calibri" w:hAnsi="Calibri" w:cs="Calibri"/>
          <w:sz w:val="24"/>
          <w:szCs w:val="24"/>
        </w:rPr>
        <w:fldChar w:fldCharType="end"/>
      </w:r>
      <w:r w:rsidRPr="00B27233">
        <w:rPr>
          <w:rFonts w:ascii="Calibri" w:hAnsi="Calibri" w:cs="Calibri"/>
          <w:sz w:val="24"/>
          <w:szCs w:val="24"/>
        </w:rPr>
        <w:t xml:space="preserve">. The use of empirically </w:t>
      </w:r>
      <w:r w:rsidRPr="00B27233">
        <w:rPr>
          <w:rFonts w:ascii="Calibri" w:hAnsi="Calibri" w:cs="Calibri"/>
          <w:sz w:val="24"/>
          <w:szCs w:val="24"/>
        </w:rPr>
        <w:lastRenderedPageBreak/>
        <w:t>validated measurement tools and approaches from related disciplines makes it possible to integrate operationalised facets of competencies in the context of ESD. As such, ESD learning goals need to be structured and interrelated</w:t>
      </w:r>
      <w:r w:rsidR="00B469E6" w:rsidRPr="00840A2C">
        <w:rPr>
          <w:rFonts w:ascii="Calibri" w:hAnsi="Calibri" w:cs="Calibri"/>
          <w:color w:val="222222"/>
          <w:sz w:val="24"/>
          <w:szCs w:val="24"/>
          <w:shd w:val="clear" w:color="auto" w:fill="FFFFFF"/>
        </w:rPr>
        <w:t xml:space="preserve">. </w:t>
      </w:r>
      <w:bookmarkStart w:id="6" w:name="_Toc172630908"/>
      <w:r w:rsidRPr="00B27233">
        <w:rPr>
          <w:rFonts w:ascii="Calibri" w:hAnsi="Calibri" w:cs="Calibri"/>
          <w:color w:val="222222"/>
          <w:sz w:val="24"/>
          <w:szCs w:val="24"/>
          <w:shd w:val="clear" w:color="auto" w:fill="FFFFFF"/>
        </w:rPr>
        <w:t xml:space="preserve">One prominent framework is the tripartite framework model for sustainability competencies </w:t>
      </w:r>
      <w:r w:rsidR="009D0AB3">
        <w:rPr>
          <w:rFonts w:ascii="Calibri" w:hAnsi="Calibri" w:cs="Calibri"/>
          <w:color w:val="222222"/>
          <w:sz w:val="24"/>
          <w:szCs w:val="24"/>
          <w:shd w:val="clear" w:color="auto" w:fill="FFFFFF"/>
        </w:rPr>
        <w:fldChar w:fldCharType="begin"/>
      </w:r>
      <w:r w:rsidR="009D0AB3">
        <w:rPr>
          <w:rFonts w:ascii="Calibri" w:hAnsi="Calibri" w:cs="Calibri"/>
          <w:color w:val="222222"/>
          <w:sz w:val="24"/>
          <w:szCs w:val="24"/>
          <w:shd w:val="clear" w:color="auto" w:fill="FFFFFF"/>
        </w:rPr>
        <w:instrText xml:space="preserve"> ADDIN ZOTERO_ITEM CSL_CITATION {"citationID":"RGyXHjwv","properties":{"formattedCitation":"(Rie\\uc0\\u223{}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9D0AB3">
        <w:rPr>
          <w:rFonts w:ascii="Calibri" w:hAnsi="Calibri" w:cs="Calibri"/>
          <w:color w:val="222222"/>
          <w:sz w:val="24"/>
          <w:szCs w:val="24"/>
          <w:shd w:val="clear" w:color="auto" w:fill="FFFFFF"/>
        </w:rPr>
        <w:fldChar w:fldCharType="separate"/>
      </w:r>
      <w:r w:rsidR="009D0AB3" w:rsidRPr="009D0AB3">
        <w:rPr>
          <w:rFonts w:ascii="Calibri" w:hAnsi="Calibri" w:cs="Calibri"/>
          <w:sz w:val="24"/>
        </w:rPr>
        <w:t>(</w:t>
      </w:r>
      <w:proofErr w:type="spellStart"/>
      <w:r w:rsidR="009D0AB3" w:rsidRPr="009D0AB3">
        <w:rPr>
          <w:rFonts w:ascii="Calibri" w:hAnsi="Calibri" w:cs="Calibri"/>
          <w:sz w:val="24"/>
        </w:rPr>
        <w:t>Rieß</w:t>
      </w:r>
      <w:proofErr w:type="spellEnd"/>
      <w:r w:rsidR="009D0AB3" w:rsidRPr="009D0AB3">
        <w:rPr>
          <w:rFonts w:ascii="Calibri" w:hAnsi="Calibri" w:cs="Calibri"/>
          <w:sz w:val="24"/>
        </w:rPr>
        <w:t xml:space="preserve"> et al., 2018)</w:t>
      </w:r>
      <w:r w:rsidR="009D0AB3">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xml:space="preserve">, which includes cognitive, affective motivational (= attitudinal), and behavioural related to sustainability. The cognitive dimension of sustainability competencies ranges from knowledge of basic concepts of sustainable development and the SDGs to an understanding of physical, ecological, social, cultural, economic and political systems related to sustainability. The attitudinal dimension includes values, needs and motivational competencies, such as acceptance of intergenerational equity and attitudes towards consumption and mobility. The behavioural dimension includes promoting sustainable practices and helping learners to translate their understanding into concrete actions. The framework has the advantages of including the behavioural dimensions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{"citationID":"5d3Vy2kZ","properties":{"formattedCitation":"(Lambrechts et al., 2013)","plainCitation":"(Lambrechts et al., 2013)","noteIndex":0},"citationItems":[{"id":1212,"uris":["http://zotero.org/users/6175602/items/EZ3HFK4Z"],"itemData":{"id":1212,"type":"article-journal","abstract":"Over the past years, many universities have integrated sustainability into their education, research, outreach, and operations. Within education, competences regarding sustainable development (SD) have been defined, courses on sustainability have been developed, and manuals and methods for teaching SD have been developed and integrated in curricula. The integration of competences for SD in higher education programs can be seen as an important step in achieving sustainability in higher education. Although these competences are defined and described in different models and settings, little information is available on the actual status of the integration of competences for SD in different study programs. In order to find out how and to what extent these competences are already present, the existing competence schemes of study programs within two Belgian universities were analyzed in the fields of business management, office management, and applied information technology. Results of the analysis show that competences for SD related to responsibility and emotional intelligence are widely integrated, while competences for SD dealing with system orientation, future orientation, personal commitment, and action taking are virtually absent. The analysis also shows that many competences for SD could be discovered within the selected study programs, though in an implicit and fragmented way, thus not covering all necessary fields of knowledge, skills, and attitudes. This calls for an adjustment of the study programs to clearly and explicitly integrate competences for SD, especially those related to system orientation, future orientation, personal involvement, and action taking.","collection-title":"Environmental Management for Sustainable Universities (EMSU) 2010","container-title":"Journal of Cleaner Production","DOI":"10.1016/j.jclepro.2011.12.034","ISSN":"0959-6526","journalAbbreviation":"Journal of Cleaner Production","page":"65-73","source":"ScienceDirect","title":"The integration of competences for sustainable development in higher education: an analysis of bachelor programs in management","title-short":"The integration of competences for sustainable development in higher education","volume":"48","author":[{"family":"Lambrechts","given":"Wim"},{"family":"Mulà","given":"Ingrid"},{"family":"Ceulemans","given":"Kim"},{"family":"Molderez","given":"Ingrid"},{"family":"Gaeremynck","given":"Veerle"}],"issued":{"date-parts":[["2013",6,1]]}}}],"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(Lambrechts et al., 2013)</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being adaptable to different contexts</w:t>
      </w:r>
      <w:r w:rsidR="0064000B">
        <w:rPr>
          <w:rFonts w:ascii="Calibri" w:hAnsi="Calibri" w:cs="Calibri"/>
          <w:color w:val="222222"/>
          <w:sz w:val="24"/>
          <w:szCs w:val="24"/>
          <w:shd w:val="clear" w:color="auto" w:fill="FFFFFF"/>
        </w:rPr>
        <w:t xml:space="preserve">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{"citationID":"b9U0eOFA","properties":{"formattedCitation":"(Waltner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(Waltner et al., 2019)</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xml:space="preserve">, and countering criticism of the dominance of the cognitive dimensions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{"citationID":"xltKY11i","properties":{"formattedCitation":"(Rieckmann &amp; Barth, 2016)","plainCitation":"(Rieckmann &amp; Barth, 2016)","noteIndex":0},"citationItems":[{"id":1215,"uris":["http://zotero.org/users/6175602/items/EHG4TVJI"],"itemData":{"id":1215,"type":"article-journal","journalAbbreviation":"Empirische Forschung zur Bildung für nachhaltige Entwicklung - Themen, Methoden und Trends","language":"de","source":"Zotero","title":"Kompetenzentwicklungsprozesse in der Bildung für nachhaltige Entwicklung erfassen – Überblick über ein heterogenes Forschungsfeld","author":[{"family":"Rieckmann","given":"Marco"},{"family":"Barth","given":"Matthias"}],"issued":{"date-parts":[["2016"]]}}}],"schema":"https://github.com/citation-style-language/schema/raw/master/csl-citation.json"}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(Rieckmann &amp; Barth, 2016)</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If the aim is to measure sustainability competencies, it is useful to benchmark against the specific goal dimensions of sustainability knowledge, sustainability behaviour (SB) and sustainability attitudes (SA).</w:t>
      </w:r>
    </w:p>
    <w:p w14:paraId="0CC49A65" w14:textId="77777777" w:rsidR="00C7451B" w:rsidRDefault="00B469E6" w:rsidP="00C7451B">
      <w:pPr>
        <w:pStyle w:val="Heading3"/>
      </w:pPr>
      <w:bookmarkStart w:id="7" w:name="_Toc173164287"/>
      <w:r w:rsidRPr="00840A2C">
        <w:t>Operationalisation ESD out</w:t>
      </w:r>
      <w:bookmarkEnd w:id="6"/>
      <w:r w:rsidRPr="00840A2C">
        <w:t>come</w:t>
      </w:r>
      <w:r w:rsidR="00DB07CD">
        <w:t>s</w:t>
      </w:r>
      <w:bookmarkEnd w:id="7"/>
    </w:p>
    <w:p w14:paraId="1743E3C6" w14:textId="5972D4D6" w:rsidR="00E66E54" w:rsidRPr="00236133" w:rsidRDefault="00E66E54" w:rsidP="00C7451B">
      <w:pPr>
        <w:jc w:val="both"/>
        <w:rPr>
          <w:rFonts w:asciiTheme="majorHAnsi" w:hAnsiTheme="majorHAnsi" w:cstheme="majorBidi"/>
          <w:sz w:val="24"/>
          <w:szCs w:val="24"/>
        </w:rPr>
      </w:pPr>
      <w:r w:rsidRPr="00236133">
        <w:rPr>
          <w:rFonts w:ascii="Calibri" w:hAnsi="Calibri" w:cs="Calibri"/>
          <w:sz w:val="24"/>
          <w:szCs w:val="24"/>
        </w:rPr>
        <w:t>There have been numerous attempts to operationalise the measurement of sustainability competenc</w:t>
      </w:r>
      <w:r w:rsidR="006315A1">
        <w:rPr>
          <w:rFonts w:ascii="Calibri" w:hAnsi="Calibri" w:cs="Calibri"/>
          <w:sz w:val="24"/>
          <w:szCs w:val="24"/>
        </w:rPr>
        <w:t>i</w:t>
      </w:r>
      <w:r w:rsidRPr="00236133">
        <w:rPr>
          <w:rFonts w:ascii="Calibri" w:hAnsi="Calibri" w:cs="Calibri"/>
          <w:sz w:val="24"/>
          <w:szCs w:val="24"/>
        </w:rPr>
        <w:t>es through the use of survey scales. For empirical measurement, these competencies need to be precisely defined</w:t>
      </w:r>
      <w:r w:rsidR="00C72AE5">
        <w:rPr>
          <w:rFonts w:ascii="Calibri" w:hAnsi="Calibri" w:cs="Calibri"/>
          <w:sz w:val="24"/>
          <w:szCs w:val="24"/>
        </w:rPr>
        <w:t xml:space="preserve"> </w:t>
      </w:r>
      <w:r w:rsidR="00C72AE5">
        <w:rPr>
          <w:rFonts w:ascii="Calibri" w:hAnsi="Calibri" w:cs="Calibri"/>
          <w:sz w:val="24"/>
          <w:szCs w:val="24"/>
        </w:rPr>
        <w:fldChar w:fldCharType="begin"/>
      </w:r>
      <w:r w:rsidR="00C72AE5">
        <w:rPr>
          <w:rFonts w:ascii="Calibri" w:hAnsi="Calibri" w:cs="Calibri"/>
          <w:sz w:val="24"/>
          <w:szCs w:val="24"/>
        </w:rPr>
        <w:instrText xml:space="preserve"> ADDIN ZOTERO_ITEM CSL_CITATION {"citationID":"FIxR2hiP","properties":{"formattedCitation":"(Klieme &amp; Hartig, 2008)","plainCitation":"(Klieme &amp; Hartig, 2008)","noteIndex":0},"citationItems":[{"id":1216,"uris":["http://zotero.org/users/6175602/items/5NK4ZQ98"],"itemData":{"id":1216,"type":"chapter","abstract":"Der Begriff der Kompetenz ist seit vielen Jahren ein Modebegriff der Sozial- und Erziehungswissenschaften, er ist in vielfältiger unterschiedlicher Weise genutzt und immer wieder neu gefasst worden. Der vorliegende Aufsatz versucht, die sozialwissenschaftlichen Wurzeln des Kompetenzbegriffs und den darauf aufbauenden Diskurs in der Erziehungswissenschaft nachzuzeichnen. Damit wird der Kontext skizziert, in dem die aktuelle empirische Forschung zur Modellierung und Messung von Kompetenzen angesiedelt ist. Die Bedeutung des Kompetenzbegriffs in sprachwissenschaftlichen sowie sozialisationstheoretischen Zusammenhängen muss hierbei ebenso berücksichtigt werden wie funktional-pragmatische Kompetenzkonzepte in der Psychologie. Schließlich ist der Kompetenzbegriff in den Erziehungswissenschaften zentral zur Beschreibung der Ziele von schulischer und beruflicher Bildung. Die Komplexität des Kompetenzbegriffs stellt die empirische Forschung vor hohe Herausforderungen. Interessierende Kompetenzkonstrukte müssen präzisiert werden und in angemessene Messmodelle und -instrumente umgesetzt werden. Eine angemessene Modellierung von Kompetenzen kann sowohl Auswertungsroutinen für Messverfahren bereitstellen als auch die Zusammenhänge zwischen individuellen Fähigkeiten und Fertigkeiten und erfolgreichem Handeln in spezifischen Kontexten beschreiben.","container-title":"Kompetenzdiagnostik: Zeitschrift für Erziehungswissenschaft","event-place":"Wiesbaden","ISBN":"978-3-531-90865-6","language":"de","note":"DOI: 10.1007/978-3-531-90865-6_2","page":"11-29","publisher":"VS Verlag für Sozialwissenschaften","publisher-place":"Wiesbaden","source":"Springer Link","title":"Kompetenzkonzepte in den Sozialwissenschaften und im erziehungswissenschaftlichen Diskurs","URL":"https://doi.org/10.1007/978-3-531-90865-6_2","author":[{"family":"Klieme","given":"Eckhard"},{"family":"Hartig","given":"Johannes"}],"editor":[{"family":"Prenzel","given":"Manfred"},{"family":"Gogolin","given":"Ingrid"},{"family":"Krüger","given":"Heinz-Hermann"}],"accessed":{"date-parts":[["2024",7,30]]},"issued":{"date-parts":[["2008"]]}}}],"schema":"https://github.com/citation-style-language/schema/raw/master/csl-citation.json"} </w:instrText>
      </w:r>
      <w:r w:rsidR="00C72AE5">
        <w:rPr>
          <w:rFonts w:ascii="Calibri" w:hAnsi="Calibri" w:cs="Calibri"/>
          <w:sz w:val="24"/>
          <w:szCs w:val="24"/>
        </w:rPr>
        <w:fldChar w:fldCharType="separate"/>
      </w:r>
      <w:r w:rsidR="00C72AE5" w:rsidRPr="00C72AE5">
        <w:rPr>
          <w:rFonts w:ascii="Calibri" w:hAnsi="Calibri" w:cs="Calibri"/>
          <w:sz w:val="24"/>
        </w:rPr>
        <w:t>(</w:t>
      </w:r>
      <w:proofErr w:type="spellStart"/>
      <w:r w:rsidR="00C72AE5" w:rsidRPr="00C72AE5">
        <w:rPr>
          <w:rFonts w:ascii="Calibri" w:hAnsi="Calibri" w:cs="Calibri"/>
          <w:sz w:val="24"/>
        </w:rPr>
        <w:t>Klieme</w:t>
      </w:r>
      <w:proofErr w:type="spellEnd"/>
      <w:r w:rsidR="00C72AE5" w:rsidRPr="00C72AE5">
        <w:rPr>
          <w:rFonts w:ascii="Calibri" w:hAnsi="Calibri" w:cs="Calibri"/>
          <w:sz w:val="24"/>
        </w:rPr>
        <w:t xml:space="preserve"> &amp; Hartig, 2008)</w:t>
      </w:r>
      <w:r w:rsidR="00C72AE5">
        <w:rPr>
          <w:rFonts w:ascii="Calibri" w:hAnsi="Calibri" w:cs="Calibri"/>
          <w:sz w:val="24"/>
          <w:szCs w:val="24"/>
        </w:rPr>
        <w:fldChar w:fldCharType="end"/>
      </w:r>
      <w:r w:rsidRPr="00236133">
        <w:rPr>
          <w:rFonts w:ascii="Calibri" w:hAnsi="Calibri" w:cs="Calibri"/>
          <w:sz w:val="24"/>
          <w:szCs w:val="24"/>
        </w:rPr>
        <w:t>. Despite existing efforts, there is still a need to develop adequate measurement instruments for the different dimensions of sustainability competen</w:t>
      </w:r>
      <w:r w:rsidR="00C72AE5">
        <w:rPr>
          <w:rFonts w:ascii="Calibri" w:hAnsi="Calibri" w:cs="Calibri"/>
          <w:sz w:val="24"/>
          <w:szCs w:val="24"/>
        </w:rPr>
        <w:t>c</w:t>
      </w:r>
      <w:r w:rsidRPr="00236133">
        <w:rPr>
          <w:rFonts w:ascii="Calibri" w:hAnsi="Calibri" w:cs="Calibri"/>
          <w:sz w:val="24"/>
          <w:szCs w:val="24"/>
        </w:rPr>
        <w:t>ies (SC). Integrating ESD research with well-established measurement approaches facilitates the inclusion of already operationalised facets (e.g. environmental attitudes) in the broader construct of SC. Examples of measurement approaches exist in related disciplines for each of the three target dimensions. For the cognitive dimension, tools are available to assess specific aspects of sustainability knowledge (e.g., environmental knowledge</w:t>
      </w:r>
      <w:r w:rsidR="00C72AE5">
        <w:rPr>
          <w:rFonts w:ascii="Calibri" w:hAnsi="Calibri" w:cs="Calibri"/>
          <w:sz w:val="24"/>
          <w:szCs w:val="24"/>
        </w:rPr>
        <w:t xml:space="preserve"> </w:t>
      </w:r>
      <w:r w:rsidR="00C72AE5">
        <w:rPr>
          <w:rFonts w:ascii="Calibri" w:hAnsi="Calibri" w:cs="Calibri"/>
          <w:sz w:val="24"/>
          <w:szCs w:val="24"/>
        </w:rPr>
        <w:fldChar w:fldCharType="begin"/>
      </w:r>
      <w:r w:rsidR="005A5388">
        <w:rPr>
          <w:rFonts w:ascii="Calibri" w:hAnsi="Calibri" w:cs="Calibri"/>
          <w:sz w:val="24"/>
          <w:szCs w:val="24"/>
        </w:rPr>
        <w:instrText xml:space="preserve"> ADDIN ZOTERO_ITEM CSL_CITATION {"citationID":"LxyEuTNq","properties":{"formattedCitation":"(Frick et al., 2004)","plainCitation":"(Frick et al., 2004)","noteIndex":0},"citationItems":[{"id":1218,"uris":["http://zotero.org/users/6175602/items/PVQDZ9YN"],"itemData":{"id":1218,"type":"article-journal","abstract":"Knowledge is commonly seen as a necessary precondition for a person’s behavior. Consistent with this, most educational interventions rely on knowledge transfer. However, for the most efficient informational strategies for education, it is essential that we identify the types of knowledge that promote behavior effectively and investigate their structure. A questionnaire consisting of three environmental knowledge scales and a conservation behavior measure was sent to 5000 randomly selected Swiss adults. A completed questionnaire was returned by 55% of them (N=2736). A series of structural equation analyses indicates that the three knowledge forms exert different influences on conservation behavior: Action-related knowledge and effectiveness knowledge have a direct effect on performance. In contrast, system knowledge is more remote from behavior, exerting only a mediated influence on it by way of affecting the other two knowledge types.","container-title":"Personality and Individual Differences","DOI":"10.1016/j.paid.2004.02.015","ISSN":"0191-8869","issue":"8","journalAbbreviation":"Personality and Individual Differences","page":"1597-1613","source":"ScienceDirect","title":"Environmental knowledge and conservation behavior: exploring prevalence and structure in a representative sample","title-short":"Environmental knowledge and conservation behavior","volume":"37","author":[{"family":"Frick","given":"Jacqueline"},{"family":"Kaiser","given":"Florian G."},{"family":"Wilson","given":"Mark"}],"issued":{"date-parts":[["2004",12,1]]}},"label":"page"}],"schema":"https://github.com/citation-style-language/schema/raw/master/csl-citation.json"} </w:instrText>
      </w:r>
      <w:r w:rsidR="00C72AE5">
        <w:rPr>
          <w:rFonts w:ascii="Calibri" w:hAnsi="Calibri" w:cs="Calibri"/>
          <w:sz w:val="24"/>
          <w:szCs w:val="24"/>
        </w:rPr>
        <w:fldChar w:fldCharType="separate"/>
      </w:r>
      <w:r w:rsidR="005A5388" w:rsidRPr="005A5388">
        <w:rPr>
          <w:rFonts w:ascii="Calibri" w:hAnsi="Calibri" w:cs="Calibri"/>
          <w:sz w:val="24"/>
        </w:rPr>
        <w:t>(Frick et al., 2004)</w:t>
      </w:r>
      <w:r w:rsidR="00C72AE5">
        <w:rPr>
          <w:rFonts w:ascii="Calibri" w:hAnsi="Calibri" w:cs="Calibri"/>
          <w:sz w:val="24"/>
          <w:szCs w:val="24"/>
        </w:rPr>
        <w:fldChar w:fldCharType="end"/>
      </w:r>
      <w:r w:rsidR="00C72AE5">
        <w:rPr>
          <w:rFonts w:ascii="Calibri" w:hAnsi="Calibri" w:cs="Calibri"/>
          <w:sz w:val="24"/>
          <w:szCs w:val="24"/>
        </w:rPr>
        <w:t>)</w:t>
      </w:r>
      <w:r w:rsidRPr="00236133">
        <w:rPr>
          <w:rFonts w:ascii="Calibri" w:hAnsi="Calibri" w:cs="Calibri"/>
          <w:sz w:val="24"/>
          <w:szCs w:val="24"/>
        </w:rPr>
        <w:t xml:space="preserve">. For the attitudinal domain, tools such as the Greenpeace Sustainability Barometer </w:t>
      </w:r>
      <w:r w:rsidR="005A5388">
        <w:rPr>
          <w:rFonts w:ascii="Calibri" w:hAnsi="Calibri" w:cs="Calibri"/>
          <w:sz w:val="24"/>
          <w:szCs w:val="24"/>
        </w:rPr>
        <w:fldChar w:fldCharType="begin"/>
      </w:r>
      <w:r w:rsidR="005A5388">
        <w:rPr>
          <w:rFonts w:ascii="Calibri" w:hAnsi="Calibri" w:cs="Calibri"/>
          <w:sz w:val="24"/>
          <w:szCs w:val="24"/>
        </w:rPr>
        <w:instrText xml:space="preserve"> ADDIN ZOTERO_ITEM CSL_CITATION {"citationID":"KoylsgaM","properties":{"formattedCitation":"(Grunenberg et al., 2012)","plainCitation":"(Grunenberg et al., 2012)","noteIndex":0},"citationItems":[{"id":1221,"uris":["http://zotero.org/users/6175602/items/ZX2ZJ9TY"],"itemData":{"id":1221,"type":"article-journal","language":"de","source":"Zotero","title":"Greenpeace Nachhaltigkeitsbarometer – Was bewegt die Jugend?","author":[{"family":"Grunenberg","given":"Heiko"},{"family":"Küster","given":"Kerstin"},{"family":"Rode","given":"Horst"}],"issued":{"date-parts":[["2012"]]}}}],"schema":"https://github.com/citation-style-language/schema/raw/master/csl-citation.json"} </w:instrText>
      </w:r>
      <w:r w:rsidR="005A5388">
        <w:rPr>
          <w:rFonts w:ascii="Calibri" w:hAnsi="Calibri" w:cs="Calibri"/>
          <w:sz w:val="24"/>
          <w:szCs w:val="24"/>
        </w:rPr>
        <w:fldChar w:fldCharType="separate"/>
      </w:r>
      <w:r w:rsidR="005A5388" w:rsidRPr="005A5388">
        <w:rPr>
          <w:rFonts w:ascii="Calibri" w:hAnsi="Calibri" w:cs="Calibri"/>
          <w:sz w:val="24"/>
        </w:rPr>
        <w:t>(</w:t>
      </w:r>
      <w:proofErr w:type="spellStart"/>
      <w:r w:rsidR="005A5388" w:rsidRPr="005A5388">
        <w:rPr>
          <w:rFonts w:ascii="Calibri" w:hAnsi="Calibri" w:cs="Calibri"/>
          <w:sz w:val="24"/>
        </w:rPr>
        <w:t>Grunenberg</w:t>
      </w:r>
      <w:proofErr w:type="spellEnd"/>
      <w:r w:rsidR="005A5388" w:rsidRPr="005A5388">
        <w:rPr>
          <w:rFonts w:ascii="Calibri" w:hAnsi="Calibri" w:cs="Calibri"/>
          <w:sz w:val="24"/>
        </w:rPr>
        <w:t xml:space="preserve"> et al., 2012)</w:t>
      </w:r>
      <w:r w:rsidR="005A5388">
        <w:rPr>
          <w:rFonts w:ascii="Calibri" w:hAnsi="Calibri" w:cs="Calibri"/>
          <w:sz w:val="24"/>
          <w:szCs w:val="24"/>
        </w:rPr>
        <w:fldChar w:fldCharType="end"/>
      </w:r>
      <w:r w:rsidRPr="00236133">
        <w:rPr>
          <w:rFonts w:ascii="Calibri" w:hAnsi="Calibri" w:cs="Calibri"/>
          <w:sz w:val="24"/>
          <w:szCs w:val="24"/>
        </w:rPr>
        <w:t xml:space="preserve"> are used, and for the behavioural dimension, the General Ecological Behaviour Scale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{"citationID":"ssXGAJrP","properties":{"formattedCitation":"(Kaiser et al., 2001)","plainCitation":"(Kaiser et al., 2001)","noteIndex":0},"citationItems":[{"id":1222,"uris":["http://zotero.org/users/6175602/items/7RWGTY5R"],"itemData":{"id":1222,"type":"article-journal","abstract":"Zusammenfassung. Die Validität subjektiver Verhaltensdaten wird immer wieder angezweifelt. Ziel dieser Arbeit ist es, die Übereinstimmung zwischen selbstberichteten und beobachteten ökologischen Verhaltensweisen zu prüfen. Dazu wurden 40 Personen, die sich laut eigener Angaben besonders ökologisch bzw. besonders wenig ökologisch verhielten, von zwei Interviewerinnen zu Hause besucht. Bei dieser Gelegenheit wurden exemplarisch 14 von gesamthaft 65 Verhaltensweisen der Skala Allgemeinen Ökologischen Verhaltens (siehe Kaiser, 1998) überprüft, die bzw. deren Verhaltenskonsequenzen uns zuverlässig beobachtbar erschienen. Dies betraf z.B. den Besitz eines verbrauchsreduzierten Autos oder die Mitgliedschaft in einer Umweltschutzorganisation. Es zeigte sich, dass Selbstberichtsdaten nicht nur zeitlich stabile (rtt = .83; rtt = .96), sondern auch valide (κ = .78; M (r) = .81) Indikatoren ökologischen Verhaltens darstellen; dies besonders dann, wenn selbstberichtete Verhaltensdaten in Form dichotomer Ereignisse - tue ich oder tue ich nicht, besitze ich oder besitze ich nicht - erfragt werden.","container-title":"Diagnostica","DOI":"10.1026//0012-1924.47.2.88","ISSN":"0012-1924","issue":"2","note":"publisher: Hogrefe Verlag","page":"88-95","source":"econtent.hogrefe.com (Atypon)","title":"Zur Angemessenheit selbstberichteten Verhaltens: Eine Validitätsuntersuchung der Skala Allgemeinen Ökologischen Verhaltens","title-short":"Zur Angemessenheit selbstberichteten Verhaltens","volume":"47","author":[{"family":"Kaiser","given":"Florian G."},{"family":"Frick","given":"Jacqueline"},{"family":"Stoll-Kleemann","given":"Susanne"}],"issued":{"date-parts":[["2001",4]]}}}],"schema":"https://github.com/citation-style-language/schema/raw/master/csl-citation.json"}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(Kaiser et al., 2001)</w:t>
      </w:r>
      <w:r w:rsidR="00CA4D91">
        <w:rPr>
          <w:rFonts w:ascii="Calibri" w:hAnsi="Calibri" w:cs="Calibri"/>
          <w:sz w:val="24"/>
          <w:szCs w:val="24"/>
        </w:rPr>
        <w:fldChar w:fldCharType="end"/>
      </w:r>
      <w:r w:rsidRPr="00236133">
        <w:rPr>
          <w:rFonts w:ascii="Calibri" w:hAnsi="Calibri" w:cs="Calibri"/>
          <w:sz w:val="24"/>
          <w:szCs w:val="24"/>
        </w:rPr>
        <w:t xml:space="preserve"> is a notable example. Recent research has attempted to combine these scales and adapt them to the school context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{"citationID":"UziKVAaB","properties":{"formattedCitation":"(Waltner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(Waltner et al., 2021)</w:t>
      </w:r>
      <w:r w:rsidR="00CA4D91">
        <w:rPr>
          <w:rFonts w:ascii="Calibri" w:hAnsi="Calibri" w:cs="Calibri"/>
          <w:sz w:val="24"/>
          <w:szCs w:val="24"/>
        </w:rPr>
        <w:fldChar w:fldCharType="end"/>
      </w:r>
      <w:r w:rsidRPr="00236133">
        <w:rPr>
          <w:rFonts w:ascii="Calibri" w:hAnsi="Calibri" w:cs="Calibri"/>
          <w:sz w:val="24"/>
          <w:szCs w:val="24"/>
        </w:rPr>
        <w:t xml:space="preserve">. At the same time, it remains uncertain to what extent indicators can capture the ultimate normative goal of ESD: the actual development of a more sustainable society through sustainable behaviour. Theories of action in psychology suggest that various forms of knowledge and motivational factors (including subjective and social norms and attributions of responsibility) interact to form behavioural intentions, which then lead to sustainability-relevant behaviour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{"citationID":"lMKQrK0W","properties":{"formattedCitation":"(Ajzen,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(Ajzen, 1991)</w:t>
      </w:r>
      <w:r w:rsidR="00CA4D91">
        <w:rPr>
          <w:rFonts w:ascii="Calibri" w:hAnsi="Calibri" w:cs="Calibri"/>
          <w:sz w:val="24"/>
          <w:szCs w:val="24"/>
        </w:rPr>
        <w:fldChar w:fldCharType="end"/>
      </w:r>
      <w:r w:rsidRPr="00236133">
        <w:rPr>
          <w:rFonts w:ascii="Calibri" w:hAnsi="Calibri" w:cs="Calibri"/>
          <w:sz w:val="24"/>
          <w:szCs w:val="24"/>
        </w:rPr>
        <w:t>. In addition, external conditions (e.g. behavioural opportunities, situational contexts, social norms and the lifestyle of the social environment) also influence sustainability-relevant behaviour</w:t>
      </w:r>
      <w:r w:rsidR="00B469E6" w:rsidRPr="00236133">
        <w:rPr>
          <w:rFonts w:ascii="Calibri" w:hAnsi="Calibri" w:cs="Calibri"/>
          <w:sz w:val="24"/>
          <w:szCs w:val="24"/>
        </w:rPr>
        <w:t xml:space="preserve">. </w:t>
      </w:r>
      <w:r w:rsidRPr="00236133">
        <w:rPr>
          <w:rFonts w:ascii="Calibri" w:hAnsi="Calibri" w:cs="Calibri"/>
          <w:sz w:val="24"/>
          <w:szCs w:val="24"/>
        </w:rPr>
        <w:t xml:space="preserve">Promoting knowledge and motivational orientations can therefore encourage desired behaviours. However, research has consistently shown a significant gap between knowledge, motivational orientations and actual sustainability-promoting behaviour </w:t>
      </w:r>
      <w:r w:rsidR="004E2EAA">
        <w:rPr>
          <w:rFonts w:ascii="Calibri" w:hAnsi="Calibri" w:cs="Calibri"/>
          <w:sz w:val="24"/>
          <w:szCs w:val="24"/>
        </w:rPr>
        <w:t xml:space="preserve"> </w:t>
      </w:r>
      <w:r w:rsidR="0095213D">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{"citationID":"yn1GRRQc","properties":{"formattedCitation":"(Kollmuss &amp; Agyeman, 2002; Terlau &amp; Hirsch, 2015)","plainCitation":"(Kollmuss &amp; Agyeman, 2002; Terlau &amp; Hirsch, 2015)","noteIndex":0},"citationItems":[{"id":1225,"uris":["http://zotero.org/users/6175602/items/EYC2MM36"],"itemData":{"id":1225,"type":"article-journal","abstract":"Numerous theoretical frameworks have been developed to explain the gap between the possession of environmental knowledge and environmental awareness, and displaying pro-environmental behavior. Although many hundreds of studies have been undertaken, no definitive explanation has yet been found. Our article describes a few of the most influential and commonly used analytical frameworks: early US linear progression models; altruism, empathy and prosocial behavior models; and finally, sociological models. All of the models we discuss (and many of the ones we do not such as economic models, psychological models that look at behavior in general, social marketing models and that have become known as deliberative and inclusionary processes or procedures (DIPS)) have some validity in certain circumstances. This indicates that the question of what shapes pro-environmental behavior is such a complex one that it cannot be visualized through one single framework or diagram. We then analyze the factors that have been found to have some influence, positive or negative, on pro-environmental behavior such as demographic factors, external factors (e.g. institutional, economic, social and cultural) and internal factors (e.g. motivation, pro-environmental knowledge, awareness, values, attitudes, emotion, locus of control, responsibilities and priorities). Although we point out that developing a model that tries to incorporate all factors might neither be feasible nor useful, we feel that it can help illuminate this complex field. Accordingly, we propose our own model based on the work of Fliegenschnee and Schelakovsky (1998) who were influenced by Fietkau and Kessel (1981).","container-title":"Environmental Education Research","DOI":"10.1080/13504620220145401","ISSN":"1350-4622","issue":"3","note":"publisher: Routledge\n_eprint: https://doi.org/10.1080/13504620220145401","page":"239–260","source":"Taylor and Francis+NEJM","title":"Mind the Gap: Why do people act environmentally and what are the barriers to pro-environmental behavior?","title-short":"Mind the Gap","volume":"8","author":[{"family":"Kollmuss","given":"Anja"},{"family":"Agyeman","given":"Julian"}],"issued":{"date-parts":[["2002",8,1]]}}},{"id":1227,"uris":["http://zotero.org/users/6175602/items/AP9FG2Z4"],"itemData":{"id":1227,"type":"article-journal","abstract":"Sustainable development needs sustainable production and sustainable consumption. During the last decades the encouragement of sustainable production has been the focus of research and policy makers under the implicit assumption that the observable increasing ‘green’ values of consumers would also entail a growing sustainable consumption. However, it has been found that the actual purchasing behaviour often deviates from ‘green’ attitudes. This phenomenon is called the attitude-behaviour gap. It is influenced by individual, social and situational factors. The main purchasing barriers for sustainable (organic) food are price, lack of immediate availability, sensory criteria, lack or overload of information as well as the low-involvement feature of food products in conjunction with well-established consumption routines, lack of transparency and trust towards labels and certifications. The last three barriers are mainly of a psychological nature. Especially the low-involvement feature of food products due to daily purchase routines and relatively low prices tends to result in fast, automatic and subconscious decisions based on a so-called human mental system 1, derived from Daniel Kahneman’s2model in behavioural psychology. In contrast, the human mental system 2 is especially important for the transformations of individual behaviour towards a more sustainable consumption. Decisions based on the human mental system 2 are slow, logical, rational, conscious and arduous. This so-called dual action model also influences the reliability of responses in consumer surveys. It seems that the consumer behaviour is the most unstable and unpredictable part of the entire supply chain and requires special attention. Concrete measures to influence consumer behaviour towards sustainable consumption are highly complex. This paper presents a review of interdisciplinary research literature on the complexity of sustainable food consumption and an empirical analysis of selected countries worldwide. In a ‘best practice’ case study, it analyses the organic food sector in Denmark, especially in the 80ies and 90ies, where the market share rose to a leading position worldwide. The Danish example demonstrates that common efforts and a shared responsibility of consumers, business, interdisciplinary researchers, mass media and policy are needed. It takes pioneers of change who succeed in assembling a ‘critical mass’ willing to increase its ‘sustainable’ behaviour. Considering the strong psychological barriers of consumers and the continuing low market share of organic food, proactive policy measures would be conducive to foster the personal responsibility of the consumers and offer incentives towards a sustainable production. Also, further self-obligations of companies (Corporate Social Responsibility – CSR) as well as more transparency and simplification of reliable labels and certifications are needed to encourage the process towards a sustainable development.","container-title":"Proceedings in Food System Dynamics","DOI":"10.18461/pfsd.2015.1516","ISSN":"2194-511X","issue":"0","language":"en","license":"Copyright (c)","note":"number: 0","page":"199-214","source":"centmapress.ilb.uni-bonn.de","title":"Sustainable Consumption and the Attitude-Behaviour-Gap Phenomenon - Causes and Measurements towards a Sustainable Development","author":[{"family":"Terlau","given":"Wiltrud"},{"family":"Hirsch","given":"Darya"}],"issued":{"date-parts":[["2015"]]}}}],"schema":"https://github.com/citation-style-language/schema/raw/master/csl-citation.json"} </w:instrText>
      </w:r>
      <w:r w:rsidR="0095213D">
        <w:rPr>
          <w:rFonts w:ascii="Calibri" w:hAnsi="Calibri" w:cs="Calibri"/>
          <w:sz w:val="24"/>
          <w:szCs w:val="24"/>
        </w:rPr>
        <w:fldChar w:fldCharType="separate"/>
      </w:r>
      <w:r w:rsidR="009C522A" w:rsidRPr="009C522A">
        <w:rPr>
          <w:rFonts w:ascii="Calibri" w:hAnsi="Calibri" w:cs="Calibri"/>
          <w:sz w:val="24"/>
        </w:rPr>
        <w:t>(</w:t>
      </w:r>
      <w:proofErr w:type="spellStart"/>
      <w:r w:rsidR="009C522A" w:rsidRPr="009C522A">
        <w:rPr>
          <w:rFonts w:ascii="Calibri" w:hAnsi="Calibri" w:cs="Calibri"/>
          <w:sz w:val="24"/>
        </w:rPr>
        <w:t>Kollmuss</w:t>
      </w:r>
      <w:proofErr w:type="spellEnd"/>
      <w:r w:rsidR="009C522A" w:rsidRPr="009C522A">
        <w:rPr>
          <w:rFonts w:ascii="Calibri" w:hAnsi="Calibri" w:cs="Calibri"/>
          <w:sz w:val="24"/>
        </w:rPr>
        <w:t xml:space="preserve"> &amp; Agyeman, 2002; </w:t>
      </w:r>
      <w:proofErr w:type="spellStart"/>
      <w:r w:rsidR="009C522A" w:rsidRPr="009C522A">
        <w:rPr>
          <w:rFonts w:ascii="Calibri" w:hAnsi="Calibri" w:cs="Calibri"/>
          <w:sz w:val="24"/>
        </w:rPr>
        <w:t>Terlau</w:t>
      </w:r>
      <w:proofErr w:type="spellEnd"/>
      <w:r w:rsidR="009C522A" w:rsidRPr="009C522A">
        <w:rPr>
          <w:rFonts w:ascii="Calibri" w:hAnsi="Calibri" w:cs="Calibri"/>
          <w:sz w:val="24"/>
        </w:rPr>
        <w:t xml:space="preserve"> &amp; Hirsch, 2015)</w:t>
      </w:r>
      <w:r w:rsidR="0095213D">
        <w:rPr>
          <w:rFonts w:ascii="Calibri" w:hAnsi="Calibri" w:cs="Calibri"/>
          <w:sz w:val="24"/>
          <w:szCs w:val="24"/>
        </w:rPr>
        <w:fldChar w:fldCharType="end"/>
      </w:r>
      <w:r w:rsidR="009C522A">
        <w:rPr>
          <w:rFonts w:ascii="Calibri" w:hAnsi="Calibri" w:cs="Calibri"/>
          <w:sz w:val="24"/>
          <w:szCs w:val="24"/>
        </w:rPr>
        <w:t>.</w:t>
      </w:r>
      <w:r w:rsidRPr="00236133">
        <w:rPr>
          <w:rFonts w:ascii="Calibri" w:hAnsi="Calibri" w:cs="Calibri"/>
          <w:sz w:val="24"/>
          <w:szCs w:val="24"/>
        </w:rPr>
        <w:t xml:space="preserve"> Specifically, in the cognitive goal dimension, sustainability knowledge is positively related to sustainability attitudes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{"citationID":"XbbXbGMc","properties":{"formattedCitation":"(Arcury, 1990)","plainCitation":"(Arcury, 1990)","noteIndex":0},"citationItems":[{"id":1229,"uris":["http://zotero.org/users/6175602/items/MXSB8N3M"],"itemData":{"id":1229,"type":"article-journal","abstract":"Increased knowledge about the environment is assumed to change environmental attitudes, and both environmental knowledge and attitudes are assumed to influence environmental policy. However, little research has focused on public environmental knowledge or the relationship between knowledge and environmental attitudes. This paper uses telephone survey data from 680 Kentucky residents to address this gap in the literature. Specifically, this analysis examines how environmental knowledge and attitudes are related sociodemographic factors (gender, age, education, income and residence). As in similar research, the respondents to this survey did not score well on the measures of environmental knowledge. Environmental knowledge is found to be consistently and positively related to environmental attitudes, although the relationship is not especially strong. With the correlation of knowledge and attitudes, the low level of environmental knowledge has disturbing implications for environmental policy.","container-title":"Human Organization","DOI":"10.17730/humo.49.4.y6135676n433r880","ISSN":"0018-7259","issue":"4","journalAbbreviation":"Human Organization","language":"en","note":"publisher: Allen Press","page":"300-304","source":"meridian.allenpress.com","title":"Environmental Attitude and Environmental Knowledge","volume":"49","author":[{"family":"Arcury","given":"Thomas"}],"issued":{"date-parts":[["1990",12,1]]}}}],"schema":"https://github.com/citation-style-language/schema/raw/master/csl-citation.json"}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w:t>
      </w:r>
      <w:proofErr w:type="spellStart"/>
      <w:r w:rsidR="009C522A" w:rsidRPr="009C522A">
        <w:rPr>
          <w:rFonts w:ascii="Calibri" w:hAnsi="Calibri" w:cs="Calibri"/>
          <w:sz w:val="24"/>
        </w:rPr>
        <w:t>Arcury</w:t>
      </w:r>
      <w:proofErr w:type="spellEnd"/>
      <w:r w:rsidR="009C522A" w:rsidRPr="009C522A">
        <w:rPr>
          <w:rFonts w:ascii="Calibri" w:hAnsi="Calibri" w:cs="Calibri"/>
          <w:sz w:val="24"/>
        </w:rPr>
        <w:t>, 1990)</w:t>
      </w:r>
      <w:r w:rsidR="009C522A">
        <w:rPr>
          <w:rFonts w:ascii="Calibri" w:hAnsi="Calibri" w:cs="Calibri"/>
          <w:sz w:val="24"/>
          <w:szCs w:val="24"/>
        </w:rPr>
        <w:fldChar w:fldCharType="end"/>
      </w:r>
      <w:r w:rsidRPr="00236133">
        <w:rPr>
          <w:rFonts w:ascii="Calibri" w:hAnsi="Calibri" w:cs="Calibri"/>
          <w:sz w:val="24"/>
          <w:szCs w:val="24"/>
        </w:rPr>
        <w:t xml:space="preserve">, but the prediction of actual behaviour is </w:t>
      </w:r>
      <w:r w:rsidRPr="00236133">
        <w:rPr>
          <w:rFonts w:ascii="Calibri" w:hAnsi="Calibri" w:cs="Calibri"/>
          <w:sz w:val="24"/>
          <w:szCs w:val="24"/>
        </w:rPr>
        <w:lastRenderedPageBreak/>
        <w:t>quite low</w:t>
      </w:r>
      <w:r w:rsidR="009C522A">
        <w:rPr>
          <w:rFonts w:ascii="Calibri" w:hAnsi="Calibri" w:cs="Calibri"/>
          <w:sz w:val="24"/>
          <w:szCs w:val="24"/>
        </w:rPr>
        <w:t xml:space="preserve">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{"citationID":"SA40Km5i","properties":{"formattedCitation":"(Frick et al., 2004)","plainCitation":"(Frick et al., 2004)","noteIndex":0},"citationItems":[{"id":1218,"uris":["http://zotero.org/users/6175602/items/PVQDZ9YN"],"itemData":{"id":1218,"type":"article-journal","abstract":"Knowledge is commonly seen as a necessary precondition for a person’s behavior. Consistent with this, most educational interventions rely on knowledge transfer. However, for the most efficient informational strategies for education, it is essential that we identify the types of knowledge that promote behavior effectively and investigate their structure. A questionnaire consisting of three environmental knowledge scales and a conservation behavior measure was sent to 5000 randomly selected Swiss adults. A completed questionnaire was returned by 55% of them (N=2736). A series of structural equation analyses indicates that the three knowledge forms exert different influences on conservation behavior: Action-related knowledge and effectiveness knowledge have a direct effect on performance. In contrast, system knowledge is more remote from behavior, exerting only a mediated influence on it by way of affecting the other two knowledge types.","container-title":"Personality and Individual Differences","DOI":"10.1016/j.paid.2004.02.015","ISSN":"0191-8869","issue":"8","journalAbbreviation":"Personality and Individual Differences","page":"1597-1613","source":"ScienceDirect","title":"Environmental knowledge and conservation behavior: exploring prevalence and structure in a representative sample","title-short":"Environmental knowledge and conservation behavior","volume":"37","author":[{"family":"Frick","given":"Jacqueline"},{"family":"Kaiser","given":"Florian G."},{"family":"Wilson","given":"Mark"}],"issued":{"date-parts":[["2004",12,1]]}}}],"schema":"https://github.com/citation-style-language/schema/raw/master/csl-citation.json"}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(Frick et al., 2004)</w:t>
      </w:r>
      <w:r w:rsidR="009C522A">
        <w:rPr>
          <w:rFonts w:ascii="Calibri" w:hAnsi="Calibri" w:cs="Calibri"/>
          <w:sz w:val="24"/>
          <w:szCs w:val="24"/>
        </w:rPr>
        <w:fldChar w:fldCharType="end"/>
      </w:r>
      <w:r w:rsidRPr="00236133">
        <w:rPr>
          <w:rFonts w:ascii="Calibri" w:hAnsi="Calibri" w:cs="Calibri"/>
          <w:sz w:val="24"/>
          <w:szCs w:val="24"/>
        </w:rPr>
        <w:t xml:space="preserve">. Knowledge serves as an indirect predictor of behaviour, providing a foundation but lacking the necessary motivational factors. This </w:t>
      </w:r>
      <w:r w:rsidR="00CC7C06" w:rsidRPr="00236133">
        <w:rPr>
          <w:rFonts w:ascii="Calibri" w:hAnsi="Calibri" w:cs="Calibri"/>
          <w:sz w:val="24"/>
          <w:szCs w:val="24"/>
        </w:rPr>
        <w:t>often-cited</w:t>
      </w:r>
      <w:r w:rsidRPr="00236133">
        <w:rPr>
          <w:rFonts w:ascii="Calibri" w:hAnsi="Calibri" w:cs="Calibri"/>
          <w:sz w:val="24"/>
          <w:szCs w:val="24"/>
        </w:rPr>
        <w:t xml:space="preserve"> gap between knowledge and behaviour is evident in several studies</w:t>
      </w:r>
      <w:r w:rsidR="009C522A">
        <w:rPr>
          <w:rFonts w:ascii="Calibri" w:hAnsi="Calibri" w:cs="Calibri"/>
          <w:sz w:val="24"/>
          <w:szCs w:val="24"/>
        </w:rPr>
        <w:t xml:space="preserve"> and should be explored further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{"citationID":"WqDofEKL","properties":{"formattedCitation":"(Kagawa, 2007)","plainCitation":"(Kagawa, 2007)","noteIndex":0},"citationItems":[{"id":1230,"uris":["http://zotero.org/users/6175602/items/VZWLFUR6"],"itemData":{"id":1230,"type":"article-journal","abstract":"Purpose – An online questionnaire survey was conducted to explore University of Plymouth students' perceptions and understandings of, and attitudes towards, sustainable development and related concepts and issues. In general, student perceptions of sustainable development have been under‐researched. This research sought to go some way towards filling the gap by providing insights for those working in the field of education for sustainable development (ESD) in higher education. Design/methodology/approach – The survey was administrated in autumn 2005 by the Centre for Sustainable Futures at the University of Plymouth. The closed‐category statements were analyzed in terms of frequencies and percentages. A comprehensive set of cross tabulations and χ2 tests were also conducted using SPSS. Responses to open‐ended questions were coded and categorized according to emerging themes. Findings – Key findings include, first, that a majority of student respondents think sustainability is “a good thing” their positive response not particularly correlating with their degree of familiarity with either of the concepts of sustainable development or sustainability. Second, students strongly associate the concepts of sustainable development and sustainability with their environmental as against economic and social aspects. Third, in terms of personal change for a sustainable lifestyle, “light green” actions addressing responsibility as consumers such as changing purchasing habits, recycling, and saving energy and/or water were most frequently articulated. Fourth, respondents harbour mixed feelings regarding the future of society in the face of sustainability‐oriented challenges. Originality/value – The paper highlights the importance of ESD curriculum development that more explicitly addresses the interconnectedness of different aspects of sustainable development and which also employs pedagogies that help students to take action towards realizing their preferred futures. It also suggests future study directed towards identifying various means of facilitating students' pro‐sustainability behaviours.","container-title":"International Journal of Sustainability in Higher Education","DOI":"10.1108/14676370710817174","ISSN":"1467-6370","issue":"3","note":"publisher: Emerald Group Publishing Limited","page":"317-338","source":"Emerald Insight","title":"Dissonance in students' perceptions of sustainable development and sustainability: Implications for curriculum change","title-short":"Dissonance in students' perceptions of sustainable development and sustainability","volume":"8","author":[{"family":"Kagawa","given":"Fumiyo"}],"issued":{"date-parts":[["2007",1,1]]}}}],"schema":"https://github.com/citation-style-language/schema/raw/master/csl-citation.json"}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(Kagawa, 2007)</w:t>
      </w:r>
      <w:r w:rsidR="009C522A">
        <w:rPr>
          <w:rFonts w:ascii="Calibri" w:hAnsi="Calibri" w:cs="Calibri"/>
          <w:sz w:val="24"/>
          <w:szCs w:val="24"/>
        </w:rPr>
        <w:fldChar w:fldCharType="end"/>
      </w:r>
      <w:r w:rsidR="009C522A">
        <w:rPr>
          <w:rFonts w:ascii="Calibri" w:hAnsi="Calibri" w:cs="Calibri"/>
          <w:sz w:val="24"/>
          <w:szCs w:val="24"/>
        </w:rPr>
        <w:t>.</w:t>
      </w:r>
      <w:r w:rsidRPr="00236133">
        <w:rPr>
          <w:rFonts w:ascii="Calibri" w:hAnsi="Calibri" w:cs="Calibri"/>
          <w:sz w:val="24"/>
          <w:szCs w:val="24"/>
        </w:rPr>
        <w:t xml:space="preserve"> For the affective-motivational and behavioural dimensions, numerous studies have shown a very close relationship. Affective goal commitment, or a positively valued sequence of actions, is central to motivation. An action will not be performed if the perceived costs outweigh the affective goal commitment. The attitude-cost relationship is modelled in the Campbell paradigm</w:t>
      </w:r>
      <w:r w:rsidR="0023586A">
        <w:rPr>
          <w:rFonts w:ascii="Calibri" w:hAnsi="Calibri" w:cs="Calibri"/>
          <w:sz w:val="24"/>
          <w:szCs w:val="24"/>
        </w:rPr>
        <w:t xml:space="preserve"> </w:t>
      </w:r>
      <w:r w:rsidRPr="00236133">
        <w:rPr>
          <w:rFonts w:ascii="Calibri" w:hAnsi="Calibri" w:cs="Calibri"/>
          <w:sz w:val="24"/>
          <w:szCs w:val="24"/>
        </w:rPr>
        <w:t xml:space="preserve"> </w:t>
      </w:r>
      <w:r w:rsidR="0023586A">
        <w:rPr>
          <w:rFonts w:ascii="Calibri" w:hAnsi="Calibri" w:cs="Calibri"/>
          <w:sz w:val="24"/>
          <w:szCs w:val="24"/>
        </w:rPr>
        <w:fldChar w:fldCharType="begin"/>
      </w:r>
      <w:r w:rsidR="0023586A">
        <w:rPr>
          <w:rFonts w:ascii="Calibri" w:hAnsi="Calibri" w:cs="Calibri"/>
          <w:sz w:val="24"/>
          <w:szCs w:val="24"/>
        </w:rPr>
        <w:instrText xml:space="preserve"> ADDIN ZOTERO_ITEM CSL_CITATION {"citationID":"I4olH0aK","properties":{"formattedCitation":"(Kaiser et al., 2010)","plainCitation":"(Kaiser et al., 2010)","noteIndex":0},"citationItems":[{"id":1232,"uris":["http://zotero.org/users/6175602/items/QY9LWKKA"],"itemData":{"id":1232,"type":"article-journal","abstract":"Because people often say one thing and do another, social psychologists have abandoned the idea of a simple or axiomatic connection between attitude and behavior. Nearly 50 years ago, however, Donald Campbell proposed that the root of the seeming inconsistency between attitude and behavior lies in disregard of behavioral costs. According to Campbell, attitude— behavior gaps are empirical chimeras. Verbal claims and other overt behaviors regarding an attitude object all arise from one “behavioral disposition.” In this article, the authors present the constituents of and evidence for a paradigm for attitude research that describes individual behavior as a function of a person’s attitude level and the costs of the specific behavior involved. In the authors’ version of Campbell’s paradigm, they propose a formal and thus axiomatic rather than causal relationship between an attitude and its corresponding performances. The authors draw implications of their proposal for mainstream attitude theory, empirical research, and applications concerning attitudes.","container-title":"Personality and Social Psychology Review","DOI":"10.1177/1088868310366452","ISSN":"1088-8683","issue":"4","journalAbbreviation":"Pers Soc Psychol Rev","language":"en","note":"publisher: SAGE Publications Inc","page":"351-367","source":"SAGE Journals","title":"Reviving Campbell’s Paradigm for Attitude Research","volume":"14","author":[{"family":"Kaiser","given":"Florian G."},{"family":"Byrka","given":"Katarzyna"},{"family":"Hartig","given":"Terry"}],"issued":{"date-parts":[["2010",11,1]]}}}],"schema":"https://github.com/citation-style-language/schema/raw/master/csl-citation.json"} </w:instrText>
      </w:r>
      <w:r w:rsidR="0023586A">
        <w:rPr>
          <w:rFonts w:ascii="Calibri" w:hAnsi="Calibri" w:cs="Calibri"/>
          <w:sz w:val="24"/>
          <w:szCs w:val="24"/>
        </w:rPr>
        <w:fldChar w:fldCharType="separate"/>
      </w:r>
      <w:r w:rsidR="0023586A" w:rsidRPr="0023586A">
        <w:rPr>
          <w:rFonts w:ascii="Calibri" w:hAnsi="Calibri" w:cs="Calibri"/>
          <w:sz w:val="24"/>
        </w:rPr>
        <w:t>(Kaiser et al., 2010)</w:t>
      </w:r>
      <w:r w:rsidR="0023586A">
        <w:rPr>
          <w:rFonts w:ascii="Calibri" w:hAnsi="Calibri" w:cs="Calibri"/>
          <w:sz w:val="24"/>
          <w:szCs w:val="24"/>
        </w:rPr>
        <w:fldChar w:fldCharType="end"/>
      </w:r>
      <w:r w:rsidRPr="00236133">
        <w:rPr>
          <w:rFonts w:ascii="Calibri" w:hAnsi="Calibri" w:cs="Calibri"/>
          <w:sz w:val="24"/>
          <w:szCs w:val="24"/>
        </w:rPr>
        <w:t>, which suggests a strong link between an individual's attitudes and behaviour. Consequently, within the Campbell paradigm, behavioural self-reports are used as indicators of a person's attitudes. When operationalising the sustainability competencies that are most relevant to real-world behaviour, it is most effective to use scales that capture sustainability attitudes and sustainability behaviours.</w:t>
      </w:r>
    </w:p>
    <w:p w14:paraId="1DAED1F5" w14:textId="2956A749" w:rsidR="00AE4F63" w:rsidRDefault="00AE4F63" w:rsidP="00AE4F63">
      <w:pPr>
        <w:pStyle w:val="NormalWeb"/>
        <w:jc w:val="both"/>
        <w:rPr>
          <w:rFonts w:ascii="Calibri" w:hAnsi="Calibri" w:cs="Calibri"/>
        </w:rPr>
      </w:pPr>
      <w:r w:rsidRPr="00AE4F63">
        <w:rPr>
          <w:rFonts w:ascii="Calibri" w:hAnsi="Calibri" w:cs="Calibri"/>
        </w:rPr>
        <w:t>The operationalisation of behavioural sustainability competencies can benefit from exploring the underlying theories of behaviour. Empirically, some of the most commonly used models of sustainability-relevant behaviour are the Theory of Planned Behaviour (TPB) and the Norm Activation Model</w:t>
      </w:r>
      <w:r w:rsidR="00EC0F31">
        <w:rPr>
          <w:rFonts w:ascii="Calibri" w:hAnsi="Calibri" w:cs="Calibri"/>
        </w:rPr>
        <w:t xml:space="preserve"> </w:t>
      </w:r>
      <w:r w:rsidR="00EC0F31">
        <w:rPr>
          <w:rFonts w:ascii="Calibri" w:hAnsi="Calibri" w:cs="Calibri"/>
        </w:rPr>
        <w:fldChar w:fldCharType="begin"/>
      </w:r>
      <w:r w:rsidR="00EC0F31">
        <w:rPr>
          <w:rFonts w:ascii="Calibri" w:hAnsi="Calibri" w:cs="Calibri"/>
        </w:rPr>
        <w:instrText xml:space="preserve"> ADDIN ZOTERO_ITEM CSL_CITATION {"citationID":"jUK7VRLn","properties":{"formattedCitation":"(Bamberg &amp; M\\uc0\\u246{}ser, 2007)","plainCitation":"(Bamberg &amp; Möser, 2007)","noteIndex":0},"citationItems":[{"id":1234,"uris":["http://zotero.org/users/6175602/items/YF5YMQJV"],"itemData":{"id":1234,"type":"article-journal","abstract":"The goal of the present paper is a replication as well as an extension of the Hines et al. [(1986/87). Analysis and synthesis of research on responsible environmental behaviour: A meta-analysis. Journal of Environmental Education, 18, 1–8] meta-analysis on psycho-social determinants of pro-environmental behaviour. Based on information from a total of 57 samples the present meta-analysis finds mean correlations between psycho-social variables and pro-environmental behaviour similar to those reported by Hines et al. In a second step, the matrix of pooled correlations is used for a structural equation modelling (SEM) test of theoretically postulated structural relations between eight determinants of pro-environmental behaviour (so-called Meta-analytic SEM (MASEM)). MASEM results confirm that pro-environmental behavioural intention mediate the impact of all other psycho-social variables on pro-environmental behaviour (27% explained variance). Results also confirm that besides attitude and behavioural control personal moral norm is a third predictor of pro-environmental behavioural intention (52% explained variance). The MASEM also indicates that problem awareness is an important but indirect determinant of pro-environmental intention. Its impact seems to be mediated by moral and social norms, guilt and attribution processes.","container-title":"Journal of Environmental Psychology","DOI":"10.1016/j.jenvp.2006.12.002","ISSN":"0272-4944","issue":"1","journalAbbreviation":"Journal of Environmental Psychology","page":"14-25","source":"ScienceDirect","title":"Twenty years after Hines, Hungerford, and Tomera: A new meta-analysis of psycho-social determinants of pro-environmental behaviour","title-short":"Twenty years after Hines, Hungerford, and Tomera","volume":"27","author":[{"family":"Bamberg","given":"Sebastian"},{"family":"Möser","given":"Guido"}],"issued":{"date-parts":[["2007",3,1]]}}}],"schema":"https://github.com/citation-style-language/schema/raw/master/csl-citation.json"} </w:instrText>
      </w:r>
      <w:r w:rsidR="00EC0F31">
        <w:rPr>
          <w:rFonts w:ascii="Calibri" w:hAnsi="Calibri" w:cs="Calibri"/>
        </w:rPr>
        <w:fldChar w:fldCharType="separate"/>
      </w:r>
      <w:r w:rsidR="00EC0F31" w:rsidRPr="00EC0F31">
        <w:rPr>
          <w:rFonts w:ascii="Calibri" w:hAnsi="Calibri" w:cs="Calibri"/>
        </w:rPr>
        <w:t xml:space="preserve">(Bamberg &amp; </w:t>
      </w:r>
      <w:proofErr w:type="spellStart"/>
      <w:r w:rsidR="00EC0F31" w:rsidRPr="00EC0F31">
        <w:rPr>
          <w:rFonts w:ascii="Calibri" w:hAnsi="Calibri" w:cs="Calibri"/>
        </w:rPr>
        <w:t>Möser</w:t>
      </w:r>
      <w:proofErr w:type="spellEnd"/>
      <w:r w:rsidR="00EC0F31" w:rsidRPr="00EC0F31">
        <w:rPr>
          <w:rFonts w:ascii="Calibri" w:hAnsi="Calibri" w:cs="Calibri"/>
        </w:rPr>
        <w:t>, 2007)</w:t>
      </w:r>
      <w:r w:rsidR="00EC0F31">
        <w:rPr>
          <w:rFonts w:ascii="Calibri" w:hAnsi="Calibri" w:cs="Calibri"/>
        </w:rPr>
        <w:fldChar w:fldCharType="end"/>
      </w:r>
      <w:r w:rsidRPr="00AE4F63">
        <w:rPr>
          <w:rFonts w:ascii="Calibri" w:hAnsi="Calibri" w:cs="Calibri"/>
        </w:rPr>
        <w:t xml:space="preserve"> </w:t>
      </w:r>
      <w:r w:rsidR="00EC0F31">
        <w:rPr>
          <w:rFonts w:ascii="Calibri" w:hAnsi="Calibri" w:cs="Calibri"/>
        </w:rPr>
        <w:t>.</w:t>
      </w:r>
      <w:r w:rsidRPr="00AE4F63">
        <w:rPr>
          <w:rFonts w:ascii="Calibri" w:hAnsi="Calibri" w:cs="Calibri"/>
        </w:rPr>
        <w:t xml:space="preserve">The TPB is one of the most prominent from-within approaches </w:t>
      </w:r>
      <w:r w:rsidR="006D2F8D">
        <w:rPr>
          <w:rFonts w:ascii="Calibri" w:hAnsi="Calibri" w:cs="Calibri"/>
        </w:rPr>
        <w:fldChar w:fldCharType="begin"/>
      </w:r>
      <w:r w:rsidR="006D2F8D">
        <w:rPr>
          <w:rFonts w:ascii="Calibri" w:hAnsi="Calibri" w:cs="Calibri"/>
        </w:rPr>
        <w:instrText xml:space="preserve"> ADDIN ZOTERO_ITEM CSL_CITATION {"citationID":"ltU9hVzE","properties":{"formattedCitation":"(Ertz et al., 2016)","plainCitation":"(Ertz et al., 2016)","noteIndex":0},"citationItems":[{"id":1236,"uris":["http://zotero.org/users/6175602/items/MS8HPIP9"],"itemData":{"id":1236,"type":"article-journal","abstract":"By including the context within which consumers' pro-environmental attitudes and behaviors are formed, this research provides a comprehensive delineation of the process that leads from context to behavior. This is the first study to examine context factors as subjective perceptions made by consumers about aspects of their own situation, specifically the extent to which they perceive having more or less time, money, and power available. In contrast to previous research considering one type of behavior (such as recycling), this study recognizes pro-environmental behavior as a heterogeneous, multi-dimensional construct, and includes both public and private sphere behaviors. Pro-environmental business managers and policy-makers may not be in a position to impact objective contextual factors that consumers face, however, they may influence perceptions and attitudes. This study identifies specifically which variables may be of more interest to modulate, so as to increase pro-environmental behavior.","container-title":"Journal of Business Research","DOI":"10.1016/j.jbusres.2016.06.010","ISSN":"0148-2963","issue":"10","journalAbbreviation":"Journal of Business Research","page":"3971-3980","source":"ScienceDirect","title":"Exploring pro-environmental behaviors of consumers: An analysis of contextual factors, attitude, and behaviors","title-short":"Exploring pro-environmental behaviors of consumers","volume":"69","author":[{"family":"Ertz","given":"Myriam"},{"family":"Karakas","given":"Fahri"},{"family":"Sarigöllü","given":"Emine"}],"issued":{"date-parts":[["2016",10,1]]}}}],"schema":"https://github.com/citation-style-language/schema/raw/master/csl-citation.json"} </w:instrText>
      </w:r>
      <w:r w:rsidR="006D2F8D">
        <w:rPr>
          <w:rFonts w:ascii="Calibri" w:hAnsi="Calibri" w:cs="Calibri"/>
        </w:rPr>
        <w:fldChar w:fldCharType="separate"/>
      </w:r>
      <w:r w:rsidR="006D2F8D" w:rsidRPr="006D2F8D">
        <w:rPr>
          <w:rFonts w:ascii="Calibri" w:hAnsi="Calibri" w:cs="Calibri"/>
        </w:rPr>
        <w:t>(Ertz et al., 2016)</w:t>
      </w:r>
      <w:r w:rsidR="006D2F8D">
        <w:rPr>
          <w:rFonts w:ascii="Calibri" w:hAnsi="Calibri" w:cs="Calibri"/>
        </w:rPr>
        <w:fldChar w:fldCharType="end"/>
      </w:r>
      <w:r w:rsidRPr="00AE4F63">
        <w:rPr>
          <w:rFonts w:ascii="Calibri" w:hAnsi="Calibri" w:cs="Calibri"/>
        </w:rPr>
        <w:t>. The from-within approach focuses on individual decision making. As this approach is more accessible to education, it will be pursued further in this paper. In the TPB, intention and perceived behavioural control (PBC) are seen as direct determinants of behaviour</w:t>
      </w:r>
      <w:r w:rsidR="006E083F">
        <w:rPr>
          <w:rFonts w:ascii="Calibri" w:hAnsi="Calibri" w:cs="Calibri"/>
        </w:rPr>
        <w:t xml:space="preserve"> </w:t>
      </w:r>
      <w:r w:rsidR="006E083F">
        <w:rPr>
          <w:rFonts w:ascii="Calibri" w:hAnsi="Calibri" w:cs="Calibri"/>
        </w:rPr>
        <w:fldChar w:fldCharType="begin"/>
      </w:r>
      <w:r w:rsidR="006E083F">
        <w:rPr>
          <w:rFonts w:ascii="Calibri" w:hAnsi="Calibri" w:cs="Calibri"/>
        </w:rPr>
        <w:instrText xml:space="preserve"> ADDIN ZOTERO_ITEM CSL_CITATION {"citationID":"wH5QtLmF","properties":{"formattedCitation":"(Ajzen,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6E083F">
        <w:rPr>
          <w:rFonts w:ascii="Calibri" w:hAnsi="Calibri" w:cs="Calibri"/>
        </w:rPr>
        <w:fldChar w:fldCharType="separate"/>
      </w:r>
      <w:r w:rsidR="006E083F" w:rsidRPr="006E083F">
        <w:rPr>
          <w:rFonts w:ascii="Calibri" w:hAnsi="Calibri" w:cs="Calibri"/>
        </w:rPr>
        <w:t>(Ajzen, 1991)</w:t>
      </w:r>
      <w:r w:rsidR="006E083F">
        <w:rPr>
          <w:rFonts w:ascii="Calibri" w:hAnsi="Calibri" w:cs="Calibri"/>
        </w:rPr>
        <w:fldChar w:fldCharType="end"/>
      </w:r>
      <w:r w:rsidRPr="00AE4F63">
        <w:rPr>
          <w:rFonts w:ascii="Calibri" w:hAnsi="Calibri" w:cs="Calibri"/>
        </w:rPr>
        <w:t xml:space="preserve">. Intention, in turn, is influenced by PBC, but also by two other factors: firstly, attitudes towards the behaviour in question, and secondly, subjective norms that influence behavioural intention. Behind these determinants are beliefs or convictions that relate to behaviour, norms and control </w:t>
      </w:r>
      <w:r w:rsidR="006E083F">
        <w:rPr>
          <w:rFonts w:ascii="Calibri" w:hAnsi="Calibri" w:cs="Calibri"/>
        </w:rPr>
        <w:fldChar w:fldCharType="begin"/>
      </w:r>
      <w:r w:rsidR="006E083F">
        <w:rPr>
          <w:rFonts w:ascii="Calibri" w:hAnsi="Calibri" w:cs="Calibri"/>
        </w:rPr>
        <w:instrText xml:space="preserve"> ADDIN ZOTERO_ITEM CSL_CITATION {"citationID":"rM4Mm5b0","properties":{"formattedCitation":"(Ajzen,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6E083F">
        <w:rPr>
          <w:rFonts w:ascii="Calibri" w:hAnsi="Calibri" w:cs="Calibri"/>
        </w:rPr>
        <w:fldChar w:fldCharType="separate"/>
      </w:r>
      <w:r w:rsidR="006E083F" w:rsidRPr="006E083F">
        <w:rPr>
          <w:rFonts w:ascii="Calibri" w:hAnsi="Calibri" w:cs="Calibri"/>
        </w:rPr>
        <w:t>(Ajzen, 1991)</w:t>
      </w:r>
      <w:r w:rsidR="006E083F">
        <w:rPr>
          <w:rFonts w:ascii="Calibri" w:hAnsi="Calibri" w:cs="Calibri"/>
        </w:rPr>
        <w:fldChar w:fldCharType="end"/>
      </w:r>
      <w:r w:rsidRPr="00AE4F63">
        <w:rPr>
          <w:rFonts w:ascii="Calibri" w:hAnsi="Calibri" w:cs="Calibri"/>
        </w:rPr>
        <w:t xml:space="preserve">. The TPB, as a rational choice theory, focuses on the self-interest of the person weighing the consequences of their actions </w:t>
      </w:r>
      <w:r w:rsidR="004E6AB3">
        <w:rPr>
          <w:rFonts w:ascii="Calibri" w:hAnsi="Calibri" w:cs="Calibri"/>
        </w:rPr>
        <w:fldChar w:fldCharType="begin"/>
      </w:r>
      <w:r w:rsidR="004E6AB3">
        <w:rPr>
          <w:rFonts w:ascii="Calibri" w:hAnsi="Calibri" w:cs="Calibri"/>
        </w:rPr>
        <w:instrText xml:space="preserve"> ADDIN ZOTERO_ITEM CSL_CITATION {"citationID":"e7VsKODm","properties":{"formattedCitation":"(Kaiser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4E6AB3">
        <w:rPr>
          <w:rFonts w:ascii="Calibri" w:hAnsi="Calibri" w:cs="Calibri"/>
        </w:rPr>
        <w:fldChar w:fldCharType="separate"/>
      </w:r>
      <w:r w:rsidR="004E6AB3" w:rsidRPr="004E6AB3">
        <w:rPr>
          <w:rFonts w:ascii="Calibri" w:hAnsi="Calibri" w:cs="Calibri"/>
        </w:rPr>
        <w:t>(Kaiser et al., 2005)</w:t>
      </w:r>
      <w:r w:rsidR="004E6AB3">
        <w:rPr>
          <w:rFonts w:ascii="Calibri" w:hAnsi="Calibri" w:cs="Calibri"/>
        </w:rPr>
        <w:fldChar w:fldCharType="end"/>
      </w:r>
      <w:r w:rsidRPr="00AE4F63">
        <w:rPr>
          <w:rFonts w:ascii="Calibri" w:hAnsi="Calibri" w:cs="Calibri"/>
        </w:rPr>
        <w:t xml:space="preserve">. </w:t>
      </w:r>
      <w:r w:rsidR="004E6AB3">
        <w:rPr>
          <w:rFonts w:ascii="Calibri" w:hAnsi="Calibri" w:cs="Calibri"/>
        </w:rPr>
        <w:t>Research</w:t>
      </w:r>
      <w:r w:rsidRPr="00AE4F63">
        <w:rPr>
          <w:rFonts w:ascii="Calibri" w:hAnsi="Calibri" w:cs="Calibri"/>
        </w:rPr>
        <w:t xml:space="preserve"> assessed the explanatory power of the TPB for pro-environmental behaviour. According to their study, the three determinants - attitude, subjective norms and perceived behavioural control - explain 76% of the variance in behavioural intention, while these in turn explain 95% of the variance in an individual's pro-environmental behaviour</w:t>
      </w:r>
      <w:r w:rsidR="004E6AB3">
        <w:rPr>
          <w:rFonts w:ascii="Calibri" w:hAnsi="Calibri" w:cs="Calibri"/>
        </w:rPr>
        <w:t xml:space="preserve"> </w:t>
      </w:r>
      <w:r w:rsidR="004E6AB3">
        <w:rPr>
          <w:rFonts w:ascii="Calibri" w:hAnsi="Calibri" w:cs="Calibri"/>
        </w:rPr>
        <w:fldChar w:fldCharType="begin"/>
      </w:r>
      <w:r w:rsidR="004E6AB3">
        <w:rPr>
          <w:rFonts w:ascii="Calibri" w:hAnsi="Calibri" w:cs="Calibri"/>
        </w:rPr>
        <w:instrText xml:space="preserve"> ADDIN ZOTERO_ITEM CSL_CITATION {"citationID":"BZH195Y2","properties":{"formattedCitation":"(Kaiser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4E6AB3">
        <w:rPr>
          <w:rFonts w:ascii="Calibri" w:hAnsi="Calibri" w:cs="Calibri"/>
        </w:rPr>
        <w:fldChar w:fldCharType="separate"/>
      </w:r>
      <w:r w:rsidR="004E6AB3" w:rsidRPr="004E6AB3">
        <w:rPr>
          <w:rFonts w:ascii="Calibri" w:hAnsi="Calibri" w:cs="Calibri"/>
        </w:rPr>
        <w:t>(Kaiser et al., 2005)</w:t>
      </w:r>
      <w:r w:rsidR="004E6AB3">
        <w:rPr>
          <w:rFonts w:ascii="Calibri" w:hAnsi="Calibri" w:cs="Calibri"/>
        </w:rPr>
        <w:fldChar w:fldCharType="end"/>
      </w:r>
      <w:r w:rsidRPr="00AE4F63">
        <w:rPr>
          <w:rFonts w:ascii="Calibri" w:hAnsi="Calibri" w:cs="Calibri"/>
        </w:rPr>
        <w:t xml:space="preserve"> . However, in a meta-analysis, this average </w:t>
      </w:r>
      <w:r w:rsidR="004E6AB3">
        <w:rPr>
          <w:rFonts w:ascii="Calibri" w:hAnsi="Calibri" w:cs="Calibri"/>
        </w:rPr>
        <w:t>was</w:t>
      </w:r>
      <w:r w:rsidRPr="00AE4F63">
        <w:rPr>
          <w:rFonts w:ascii="Calibri" w:hAnsi="Calibri" w:cs="Calibri"/>
        </w:rPr>
        <w:t xml:space="preserve"> significantly lower at 27% variance explanation</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{"citationID":"iEqFreFu","properties":{"formattedCitation":"(Armitage &amp; Conner, 2001)","plainCitation":"(Armitage &amp; Conner, 2001)","noteIndex":0},"citationItems":[{"id":1242,"uris":["http://zotero.org/users/6175602/items/8RFDH8M4"],"itemData":{"id":1242,"type":"article-journal","abstract":"The Theory of Planned Behaviour (TPB) has received considerable attention in the literature. The present study is a quantitative integration and review of that research. From a database of 185 independent studies published up to the end of 1997, the TPB accounted for 27% and 39% of the variance in behaviour and intention, respectively. The perceived behavioural control (PBC) construct accounted for significant amounts of variance in intention and behaviour, independent of theory of reasoned action variables. When behaviour measures were self-reports, the TPB accounted for 11% more of the variance in behaviour than when behaviour measures were objective or observed (R2s = .31 and .21, respectively). Attitude, subjective norm and PBC account for significantly more of the variance in individuals' desires than intentions or self-predictions, but intentions and self-predictions were better predictors of behaviour. The subjective norm construct is generally found to be a weak predictor of intentions. This is partly attributable to a combination of poor measurement and the need for expansion of the normative component. The discussion focuses on ways in which current TPB research can be taken forward in the light of the present review.","container-title":"British Journal of Social Psychology","DOI":"10.1348/014466601164939","ISSN":"2044-8309","issue":"4","language":"en","license":"2001 The British Psychological Society","note":"_eprint: https://onlinelibrary.wiley.com/doi/pdf/10.1348/014466601164939","page":"471-499","source":"Wiley Online Library","title":"Efficacy of the Theory of Planned Behaviour: A meta-analytic review","title-short":"Efficacy of the Theory of Planned Behaviour","volume":"40","author":[{"family":"Armitage","given":"Christopher J."},{"family":"Conner","given":"Mark"}],"issued":{"date-parts":[["2001"]]}}}],"schema":"https://github.com/citation-style-language/schema/raw/master/csl-citation.json"}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(Armitage &amp; Conner, 2001)</w:t>
      </w:r>
      <w:r w:rsidR="0030754A">
        <w:rPr>
          <w:rFonts w:ascii="Calibri" w:hAnsi="Calibri" w:cs="Calibri"/>
        </w:rPr>
        <w:fldChar w:fldCharType="end"/>
      </w:r>
      <w:r w:rsidRPr="00AE4F63">
        <w:rPr>
          <w:rFonts w:ascii="Calibri" w:hAnsi="Calibri" w:cs="Calibri"/>
        </w:rPr>
        <w:t xml:space="preserve">. </w:t>
      </w:r>
      <w:bookmarkStart w:id="8" w:name="_Toc172630909"/>
      <w:r w:rsidRPr="00AE4F63">
        <w:rPr>
          <w:rFonts w:ascii="Calibri" w:hAnsi="Calibri" w:cs="Calibri"/>
        </w:rPr>
        <w:t xml:space="preserve">On the downside, the directions of effect between attitudes, subjective norms and perceived behavioural control remain incompletely identified in the TPB </w:t>
      </w:r>
      <w:r w:rsidR="0030754A">
        <w:rPr>
          <w:rFonts w:ascii="Calibri" w:hAnsi="Calibri" w:cs="Calibri"/>
        </w:rPr>
        <w:fldChar w:fldCharType="begin"/>
      </w:r>
      <w:r w:rsidR="0030754A">
        <w:rPr>
          <w:rFonts w:ascii="Calibri" w:hAnsi="Calibri" w:cs="Calibri"/>
        </w:rPr>
        <w:instrText xml:space="preserve"> ADDIN ZOTERO_ITEM CSL_CITATION {"citationID":"DAxjK59o","properties":{"formattedCitation":"(Kaiser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(Kaiser et al., 2005)</w:t>
      </w:r>
      <w:r w:rsidR="0030754A">
        <w:rPr>
          <w:rFonts w:ascii="Calibri" w:hAnsi="Calibri" w:cs="Calibri"/>
        </w:rPr>
        <w:fldChar w:fldCharType="end"/>
      </w:r>
      <w:r w:rsidRPr="00AE4F63">
        <w:rPr>
          <w:rFonts w:ascii="Calibri" w:hAnsi="Calibri" w:cs="Calibri"/>
        </w:rPr>
        <w:t>. Furthermore, it has been criticised for focusing on internal factors such as knowledge and attitudes and for failing to consider structural barriers, power relations and inequalities that pose systemic barriers to individuals</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{"citationID":"D3cZt9fH","properties":{"formattedCitation":"(Bamberg et al., 2021)","plainCitation":"(Bamberg et al., 2021)","noteIndex":0},"citationItems":[{"id":1245,"uris":["http://zotero.org/users/6175602/items/668TMVRX"],"itemData":{"id":1245,"type":"article-journal","container-title":"Frontiers in Psychology","DOI":"10.3389/fpsyg.2021.710897","ISSN":"1664-1078","journalAbbreviation":"Front. Psychol.","language":"English","note":"publisher: Frontiers","source":"Frontiers","title":"Editorial: The Role of the Individual in the Great Transformation Toward Sustainability","title-short":"Editorial","URL":"https://www.frontiersin.org/journals/psychology/articles/10.3389/fpsyg.2021.710897/full","volume":"12","author":[{"family":"Bamberg","given":"Sebastian"},{"family":"Fischer","given":"Daniel"},{"family":"Geiger","given":"Sonja M."}],"accessed":{"date-parts":[["2024",7,30]]},"issued":{"date-parts":[["2021",7,5]]}}}],"schema":"https://github.com/citation-style-language/schema/raw/master/csl-citation.json"}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(Bamberg et al., 2021)</w:t>
      </w:r>
      <w:r w:rsidR="0030754A">
        <w:rPr>
          <w:rFonts w:ascii="Calibri" w:hAnsi="Calibri" w:cs="Calibri"/>
        </w:rPr>
        <w:fldChar w:fldCharType="end"/>
      </w:r>
      <w:r w:rsidRPr="00AE4F63">
        <w:rPr>
          <w:rFonts w:ascii="Calibri" w:hAnsi="Calibri" w:cs="Calibri"/>
        </w:rPr>
        <w:t>, as well as moral and normative considerations</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{"citationID":"tqj5NVod","properties":{"formattedCitation":"(Kaiser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(Kaiser et al., 2005)</w:t>
      </w:r>
      <w:r w:rsidR="0030754A">
        <w:rPr>
          <w:rFonts w:ascii="Calibri" w:hAnsi="Calibri" w:cs="Calibri"/>
        </w:rPr>
        <w:fldChar w:fldCharType="end"/>
      </w:r>
      <w:r w:rsidRPr="00AE4F63">
        <w:rPr>
          <w:rFonts w:ascii="Calibri" w:hAnsi="Calibri" w:cs="Calibri"/>
        </w:rPr>
        <w:t>. For operationalisation in the context of this study, the TPB was used due to existing data. Attitudes and subjective norms can be assigned to the affective dimensions, while PBC and intentions represent motivational aspects. These four variables at the first and second causal levels are summarised here as sustainability attitude dimensions, alongside the sustainability behaviour dimension, which is derived directly from self-reported behaviour. Therefore, sustainability competencies and the sustainability attitude and sustainability behaviour dimensions can be operationalised with the components of the Theory of Planned Behaviour.</w:t>
      </w:r>
    </w:p>
    <w:p w14:paraId="3D4CB294" w14:textId="77777777" w:rsidR="00C7451B" w:rsidRDefault="00B469E6" w:rsidP="00C7451B">
      <w:pPr>
        <w:pStyle w:val="Heading3"/>
        <w:rPr>
          <w:rStyle w:val="Heading4Char"/>
          <w:rFonts w:ascii="Calibri" w:hAnsi="Calibri" w:cs="Calibri"/>
          <w:i w:val="0"/>
          <w:iCs w:val="0"/>
        </w:rPr>
      </w:pPr>
      <w:bookmarkStart w:id="9" w:name="_Toc173164288"/>
      <w:r w:rsidRPr="00840A2C">
        <w:rPr>
          <w:rStyle w:val="Heading4Char"/>
          <w:rFonts w:ascii="Calibri" w:hAnsi="Calibri" w:cs="Calibri"/>
          <w:i w:val="0"/>
          <w:iCs w:val="0"/>
        </w:rPr>
        <w:lastRenderedPageBreak/>
        <w:t>Measurement approaches</w:t>
      </w:r>
      <w:bookmarkEnd w:id="8"/>
      <w:bookmarkEnd w:id="9"/>
    </w:p>
    <w:p w14:paraId="4EF1D143" w14:textId="27658650" w:rsidR="003456E4" w:rsidRPr="00C7451B" w:rsidRDefault="003456E4" w:rsidP="00B52140">
      <w:pPr>
        <w:jc w:val="both"/>
        <w:rPr>
          <w:color w:val="2E74B5" w:themeColor="accent1" w:themeShade="BF"/>
          <w:kern w:val="2"/>
          <w:sz w:val="24"/>
          <w:szCs w:val="24"/>
          <w:lang w:eastAsia="en-GB"/>
          <w14:ligatures w14:val="standardContextual"/>
        </w:rPr>
      </w:pPr>
      <w:r w:rsidRPr="00C7451B">
        <w:rPr>
          <w:sz w:val="24"/>
          <w:szCs w:val="24"/>
        </w:rPr>
        <w:t xml:space="preserve">The operationalisation of sustainability competencies and their attribution to an ESD intervention can be assessed using different methods. Quantitative research projects can make a significant contribution to the normative debate by providing empirical insights and a valuable information base for ESD stakeholders, including teachers </w:t>
      </w:r>
      <w:r w:rsidR="00C001B8">
        <w:rPr>
          <w:sz w:val="24"/>
          <w:szCs w:val="24"/>
        </w:rPr>
        <w:fldChar w:fldCharType="begin"/>
      </w:r>
      <w:r w:rsidR="00C001B8">
        <w:rPr>
          <w:sz w:val="24"/>
          <w:szCs w:val="24"/>
        </w:rPr>
        <w:instrText xml:space="preserve"> ADDIN ZOTERO_ITEM CSL_CITATION {"citationID":"24pW8lj5","properties":{"formattedCitation":"(Waltner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C001B8">
        <w:rPr>
          <w:sz w:val="24"/>
          <w:szCs w:val="24"/>
        </w:rPr>
        <w:fldChar w:fldCharType="separate"/>
      </w:r>
      <w:r w:rsidR="00C001B8" w:rsidRPr="00C001B8">
        <w:rPr>
          <w:rFonts w:ascii="Calibri" w:hAnsi="Calibri" w:cs="Calibri"/>
          <w:sz w:val="24"/>
        </w:rPr>
        <w:t>(Waltner et al., 2019)</w:t>
      </w:r>
      <w:r w:rsidR="00C001B8">
        <w:rPr>
          <w:sz w:val="24"/>
          <w:szCs w:val="24"/>
        </w:rPr>
        <w:fldChar w:fldCharType="end"/>
      </w:r>
      <w:r w:rsidRPr="00C7451B">
        <w:rPr>
          <w:sz w:val="24"/>
          <w:szCs w:val="24"/>
        </w:rPr>
        <w:t>. It is important not to rely solely on plausible and normative considerations and assumptions. Some effects of educational measures, such as teaching or the whole institutional approach, may only be empirically verifiable in the long term, or may not be clearly attributable to a specific measure due to the complexity of interacting variables that influence, for example, sustainability awareness. These considerations highlight that shifting the focus from input to output orientation of ESD policies may require longer-term assessments and different methodological approaches to effectively assess impacts</w:t>
      </w:r>
      <w:r w:rsidR="00C001B8">
        <w:rPr>
          <w:sz w:val="24"/>
          <w:szCs w:val="24"/>
        </w:rPr>
        <w:t xml:space="preserve"> </w:t>
      </w:r>
      <w:r w:rsidR="00C001B8">
        <w:rPr>
          <w:sz w:val="24"/>
          <w:szCs w:val="24"/>
        </w:rPr>
        <w:fldChar w:fldCharType="begin"/>
      </w:r>
      <w:r w:rsidR="00C001B8">
        <w:rPr>
          <w:sz w:val="24"/>
          <w:szCs w:val="24"/>
        </w:rPr>
        <w:instrText xml:space="preserve"> ADDIN ZOTERO_ITEM CSL_CITATION {"citationID":"iC4wOQxa","properties":{"formattedCitation":"(Waltner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C001B8">
        <w:rPr>
          <w:sz w:val="24"/>
          <w:szCs w:val="24"/>
        </w:rPr>
        <w:fldChar w:fldCharType="separate"/>
      </w:r>
      <w:r w:rsidR="00C001B8" w:rsidRPr="00C001B8">
        <w:rPr>
          <w:rFonts w:ascii="Calibri" w:hAnsi="Calibri" w:cs="Calibri"/>
          <w:sz w:val="24"/>
        </w:rPr>
        <w:t>(Waltner et al., 2022)</w:t>
      </w:r>
      <w:r w:rsidR="00C001B8">
        <w:rPr>
          <w:sz w:val="24"/>
          <w:szCs w:val="24"/>
        </w:rPr>
        <w:fldChar w:fldCharType="end"/>
      </w:r>
      <w:r w:rsidRPr="00C7451B">
        <w:rPr>
          <w:sz w:val="24"/>
          <w:szCs w:val="24"/>
        </w:rPr>
        <w:t>. At present, empirical data on the long- and short-term impacts of ESD initiatives in educational settings are limited</w:t>
      </w:r>
      <w:r w:rsidR="00BC4E5B">
        <w:rPr>
          <w:sz w:val="24"/>
          <w:szCs w:val="24"/>
        </w:rPr>
        <w:t xml:space="preserve"> </w:t>
      </w:r>
      <w:r w:rsidR="00BC4E5B">
        <w:rPr>
          <w:sz w:val="24"/>
          <w:szCs w:val="24"/>
        </w:rPr>
        <w:fldChar w:fldCharType="begin"/>
      </w:r>
      <w:r w:rsidR="00BC4E5B">
        <w:rPr>
          <w:sz w:val="24"/>
          <w:szCs w:val="24"/>
        </w:rPr>
        <w:instrText xml:space="preserve"> ADDIN ZOTERO_ITEM CSL_CITATION {"citationID":"wqleRv9M","properties":{"formattedCitation":"(Riess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BC4E5B">
        <w:rPr>
          <w:sz w:val="24"/>
          <w:szCs w:val="24"/>
        </w:rPr>
        <w:fldChar w:fldCharType="separate"/>
      </w:r>
      <w:r w:rsidR="00BC4E5B" w:rsidRPr="00BC4E5B">
        <w:rPr>
          <w:rFonts w:ascii="Calibri" w:hAnsi="Calibri" w:cs="Calibri"/>
          <w:sz w:val="24"/>
        </w:rPr>
        <w:t>(Riess et al., 2022)</w:t>
      </w:r>
      <w:r w:rsidR="00BC4E5B">
        <w:rPr>
          <w:sz w:val="24"/>
          <w:szCs w:val="24"/>
        </w:rPr>
        <w:fldChar w:fldCharType="end"/>
      </w:r>
      <w:r w:rsidRPr="00C7451B">
        <w:rPr>
          <w:sz w:val="24"/>
          <w:szCs w:val="24"/>
        </w:rPr>
        <w:t>, indicating the need for further research and comprehensive evaluation strategies. The measurement of sustainability competencies benefits from looking at long-term empirical data.</w:t>
      </w:r>
    </w:p>
    <w:p w14:paraId="5EBE8EFC" w14:textId="6F0BFCC4" w:rsidR="00B37BBC" w:rsidRDefault="00B37BBC" w:rsidP="00B37BBC">
      <w:pPr>
        <w:pStyle w:val="NormalWeb"/>
        <w:jc w:val="both"/>
        <w:rPr>
          <w:rFonts w:ascii="Calibri" w:hAnsi="Calibri" w:cs="Calibri"/>
        </w:rPr>
      </w:pPr>
      <w:r w:rsidRPr="00B37BBC">
        <w:rPr>
          <w:rFonts w:ascii="Calibri" w:hAnsi="Calibri" w:cs="Calibri"/>
        </w:rPr>
        <w:t xml:space="preserve">When measuring sustainability competencies, the choice of measurement method also depends on the teaching and learning approach used. There is a strong </w:t>
      </w:r>
      <w:r w:rsidR="00BB71E0">
        <w:rPr>
          <w:rFonts w:ascii="Calibri" w:hAnsi="Calibri" w:cs="Calibri"/>
        </w:rPr>
        <w:t>call</w:t>
      </w:r>
      <w:r w:rsidRPr="00B37BBC">
        <w:rPr>
          <w:rFonts w:ascii="Calibri" w:hAnsi="Calibri" w:cs="Calibri"/>
        </w:rPr>
        <w:t xml:space="preserve"> for alternative and innovative approaches to ESD </w:t>
      </w:r>
      <w:r w:rsidR="00BB71E0">
        <w:rPr>
          <w:rFonts w:ascii="Calibri" w:hAnsi="Calibri" w:cs="Calibri"/>
        </w:rPr>
        <w:fldChar w:fldCharType="begin"/>
      </w:r>
      <w:r w:rsidR="00BB71E0">
        <w:rPr>
          <w:rFonts w:ascii="Calibri" w:hAnsi="Calibri" w:cs="Calibri"/>
        </w:rPr>
        <w:instrText xml:space="preserve"> ADDIN ZOTERO_ITEM CSL_CITATION {"citationID":"yK5NcTIb","properties":{"formattedCitation":"(Tejedor et al., 2019)","plainCitation":"(Tejedor et al., 2019)","noteIndex":0},"citationItems":[{"id":1247,"uris":["http://zotero.org/users/6175602/items/U9SWUTFQ"],"itemData":{"id":1247,"type":"article-journal","abstract":"Higher education is a principal agent for addressing the sustainable development goals proposed by the 2030 Agenda, because of its key mission of knowledge generation, teaching and social innovation for sustainability. In order to achieve this, higher education needs to integrate transversally the values of sustainability in the way of developing the field of management, as well as research, university life and, of course, teaching. This paper focuses on teaching, and more specifically on the didactic strategies considered most relevant for training in sustainability competencies in college students, according to the guidelines commonly accepted by the international academic community. Through collaborative work among experts from six Spanish universities taking part in the EDINSOST project (education and social innovation for sustainability), funded by the Spanish R&amp;D+i Program, in this paper the role of five active learning strategies (service learning, problem-based learning, project-oriented learning, simulation games and case studies) in education for sustainability are reviewed, and a systematic approach of their implementation in higher education settings is presented. The results provide a synthesis of their objectives, foundations, and stages of application (planning, implementation, and learning assessment), which can be used as valuable guidelines for teachers.","container-title":"Sustainability","DOI":"10.3390/su11072086","ISSN":"2071-1050","issue":"7","language":"en","license":"http://creativecommons.org/licenses/by/3.0/","note":"number: 7\npublisher: Multidisciplinary Digital Publishing Institute","page":"2086","source":"www.mdpi.com","title":"Didactic Strategies to Promote Competencies in Sustainability","volume":"11","author":[{"family":"Tejedor","given":"Gemma"},{"family":"Segalàs","given":"Jordi"},{"family":"Barrón","given":"Ángela"},{"family":"Fernández-Morilla","given":"Mónica"},{"family":"Fuertes","given":"M. Teresa"},{"family":"Ruiz-Morales","given":"Jorge"},{"family":"Gutiérrez","given":"Ibón"},{"family":"García-González","given":"Esther"},{"family":"Aramburuzabala","given":"Pilar"},{"family":"Hernández","given":"Àngels"}],"issued":{"date-parts":[["2019",1]]}}}],"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(Tejedor et al., 2019)</w:t>
      </w:r>
      <w:r w:rsidR="00BB71E0">
        <w:rPr>
          <w:rFonts w:ascii="Calibri" w:hAnsi="Calibri" w:cs="Calibri"/>
        </w:rPr>
        <w:fldChar w:fldCharType="end"/>
      </w:r>
      <w:r w:rsidRPr="00B37BBC">
        <w:rPr>
          <w:rFonts w:ascii="Calibri" w:hAnsi="Calibri" w:cs="Calibri"/>
        </w:rPr>
        <w:t>. Fostering personal attributes with high affective-motivational components, such as attitudes towards sustainable development and intergenerational equity, requires methods that effectively address complex human characteristics. Despite the inherent stability and resistance to change of attitudes, the integration of principles from general motivation and social psychology may prove beneficial</w:t>
      </w:r>
      <w:r w:rsidR="00BF3D33">
        <w:rPr>
          <w:rFonts w:ascii="Calibri" w:hAnsi="Calibri" w:cs="Calibri"/>
        </w:rPr>
        <w:t xml:space="preserve"> </w:t>
      </w:r>
      <w:r w:rsidR="00BF3D33">
        <w:rPr>
          <w:rFonts w:ascii="Calibri" w:hAnsi="Calibri" w:cs="Calibri"/>
        </w:rPr>
        <w:fldChar w:fldCharType="begin"/>
      </w:r>
      <w:r w:rsidR="00BF3D33">
        <w:rPr>
          <w:rFonts w:ascii="Calibri" w:hAnsi="Calibri" w:cs="Calibri"/>
        </w:rPr>
        <w:instrText xml:space="preserve"> ADDIN ZOTERO_ITEM CSL_CITATION {"citationID":"t2UIHj5i","properties":{"formattedCitation":"(Deci &amp; Ryan, 2008)","plainCitation":"(Deci &amp; Ryan, 2008)","noteIndex":0},"citationItems":[{"id":1249,"uris":["http://zotero.org/users/6175602/items/32MLCKV3"],"itemData":{"id":1249,"type":"article-journal","abstract":"Self-determination theory (SDT) is an empirically based theory of human motivation, development, and wellness. The theory focuses on types, rather than just amount, of motivation, paying particular attention to autonomous motivation, controlled motivation, and amotivation as predictors of performance, relational, and well-being outcomes. It also addresses the social conditions that enhance versus diminish these types of motivation, proposing and finding that the degrees to which basic psychological needs for autonomy, competence, and relatedness are supported versus thwarted affect both the type and strength of motivation. SDT also examines people's life goals or aspirations, showing differential relations of intrinsic versus extrinsic life goals to performance and psychological health. In this introduction we also briefly discuss recent developments within SDT concerning mindfulness and vitality, and highlight the applicability of SDT within applied domains, including work, relationships, parenting, education, virtual environments, sport, sustainability, health care, and psychotherapy. (PsycInfo Database Record (c) 2022 APA, all rights reserved)","container-title":"Canadian Psychology / Psychologie canadienne","DOI":"10.1037/a0012801","ISSN":"1878-7304","issue":"3","note":"publisher-place: US\npublisher: Educational Publishing Foundation","page":"182-185","source":"APA PsycNet","title":"Self-determination theory: A macrotheory of human motivation, development, and health","title-short":"Self-determination theory","volume":"49","author":[{"family":"Deci","given":"Edward L."},{"family":"Ryan","given":"Richard M."}],"issued":{"date-parts":[["2008"]]}}}],"schema":"https://github.com/citation-style-language/schema/raw/master/csl-citation.json"} </w:instrText>
      </w:r>
      <w:r w:rsidR="00BF3D33">
        <w:rPr>
          <w:rFonts w:ascii="Calibri" w:hAnsi="Calibri" w:cs="Calibri"/>
        </w:rPr>
        <w:fldChar w:fldCharType="separate"/>
      </w:r>
      <w:r w:rsidR="00BF3D33" w:rsidRPr="00BF3D33">
        <w:rPr>
          <w:rFonts w:ascii="Calibri" w:hAnsi="Calibri" w:cs="Calibri"/>
        </w:rPr>
        <w:t>(Deci &amp; Ryan, 2008)</w:t>
      </w:r>
      <w:r w:rsidR="00BF3D33">
        <w:rPr>
          <w:rFonts w:ascii="Calibri" w:hAnsi="Calibri" w:cs="Calibri"/>
        </w:rPr>
        <w:fldChar w:fldCharType="end"/>
      </w:r>
      <w:r w:rsidRPr="00B37BBC">
        <w:rPr>
          <w:rFonts w:ascii="Calibri" w:hAnsi="Calibri" w:cs="Calibri"/>
        </w:rPr>
        <w:t xml:space="preserve">. Techniques such as inducing cognitive conflict, role-playing, simulation games and experiential learning activities, including sustainability projects and internships, have shown potential to increase motivation and change attitudes </w:t>
      </w:r>
      <w:r w:rsidR="00BB71E0">
        <w:rPr>
          <w:rFonts w:ascii="Calibri" w:hAnsi="Calibri" w:cs="Calibri"/>
        </w:rPr>
        <w:fldChar w:fldCharType="begin"/>
      </w:r>
      <w:r w:rsidR="00BB71E0">
        <w:rPr>
          <w:rFonts w:ascii="Calibri" w:hAnsi="Calibri" w:cs="Calibri"/>
        </w:rPr>
        <w:instrText xml:space="preserve"> ADDIN ZOTERO_ITEM CSL_CITATION {"citationID":"FJct3nUd","properties":{"formattedCitation":"(Riess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(Riess et al., 2022)</w:t>
      </w:r>
      <w:r w:rsidR="00BB71E0">
        <w:rPr>
          <w:rFonts w:ascii="Calibri" w:hAnsi="Calibri" w:cs="Calibri"/>
        </w:rPr>
        <w:fldChar w:fldCharType="end"/>
      </w:r>
      <w:r w:rsidRPr="00B37BBC">
        <w:rPr>
          <w:rFonts w:ascii="Calibri" w:hAnsi="Calibri" w:cs="Calibri"/>
        </w:rPr>
        <w:t>. These methods facilitate a deeper engagement with different perspectives and arguments, which is essential for promoting sustainable behaviour. In addition, supporting students' intrinsic motivation by providing experiences of competence, autonomy and social connectedness - such as choosing between different types of food in a school canteen and participating in group learning - can significantly enhance the effectiveness of these educational strategies</w:t>
      </w:r>
      <w:r w:rsidR="00BB71E0">
        <w:rPr>
          <w:rFonts w:ascii="Calibri" w:hAnsi="Calibri" w:cs="Calibri"/>
        </w:rPr>
        <w:t xml:space="preserve"> </w:t>
      </w:r>
      <w:r w:rsidR="00BB71E0">
        <w:rPr>
          <w:rFonts w:ascii="Calibri" w:hAnsi="Calibri" w:cs="Calibri"/>
        </w:rPr>
        <w:fldChar w:fldCharType="begin"/>
      </w:r>
      <w:r w:rsidR="00BB71E0">
        <w:rPr>
          <w:rFonts w:ascii="Calibri" w:hAnsi="Calibri" w:cs="Calibri"/>
        </w:rPr>
        <w:instrText xml:space="preserve"> ADDIN ZOTERO_ITEM CSL_CITATION {"citationID":"OyetZFtL","properties":{"formattedCitation":"(Deci &amp; Ryan, 2008)","plainCitation":"(Deci &amp; Ryan, 2008)","noteIndex":0},"citationItems":[{"id":1249,"uris":["http://zotero.org/users/6175602/items/32MLCKV3"],"itemData":{"id":1249,"type":"article-journal","abstract":"Self-determination theory (SDT) is an empirically based theory of human motivation, development, and wellness. The theory focuses on types, rather than just amount, of motivation, paying particular attention to autonomous motivation, controlled motivation, and amotivation as predictors of performance, relational, and well-being outcomes. It also addresses the social conditions that enhance versus diminish these types of motivation, proposing and finding that the degrees to which basic psychological needs for autonomy, competence, and relatedness are supported versus thwarted affect both the type and strength of motivation. SDT also examines people's life goals or aspirations, showing differential relations of intrinsic versus extrinsic life goals to performance and psychological health. In this introduction we also briefly discuss recent developments within SDT concerning mindfulness and vitality, and highlight the applicability of SDT within applied domains, including work, relationships, parenting, education, virtual environments, sport, sustainability, health care, and psychotherapy. (PsycInfo Database Record (c) 2022 APA, all rights reserved)","container-title":"Canadian Psychology / Psychologie canadienne","DOI":"10.1037/a0012801","ISSN":"1878-7304","issue":"3","note":"publisher-place: US\npublisher: Educational Publishing Foundation","page":"182-185","source":"APA PsycNet","title":"Self-determination theory: A macrotheory of human motivation, development, and health","title-short":"Self-determination theory","volume":"49","author":[{"family":"Deci","given":"Edward L."},{"family":"Ryan","given":"Richard M."}],"issued":{"date-parts":[["2008"]]}}}],"schema":"https://github.com/citation-style-language/schema/raw/master/csl-citation.json"}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(Deci &amp; Ryan, 2008)</w:t>
      </w:r>
      <w:r w:rsidR="00BB71E0">
        <w:rPr>
          <w:rFonts w:ascii="Calibri" w:hAnsi="Calibri" w:cs="Calibri"/>
        </w:rPr>
        <w:fldChar w:fldCharType="end"/>
      </w:r>
      <w:r w:rsidRPr="00B37BBC">
        <w:rPr>
          <w:rFonts w:ascii="Calibri" w:hAnsi="Calibri" w:cs="Calibri"/>
        </w:rPr>
        <w:t>. Promoting sustainable behaviour requires a multifaceted approach that addresses both internal and external factors that influence individual actions. Psychological theories of action suggest that a mix of knowledge, motivational factors, subjective and social norms, and attributions of responsibility can lead to the formation of behavioural intentions and ultimately drive actual behaviour</w:t>
      </w:r>
      <w:r w:rsidR="00BF3D33">
        <w:rPr>
          <w:rFonts w:ascii="Calibri" w:hAnsi="Calibri" w:cs="Calibri"/>
        </w:rPr>
        <w:t xml:space="preserve"> </w:t>
      </w:r>
      <w:r w:rsidR="00BF3D33">
        <w:rPr>
          <w:rFonts w:ascii="Calibri" w:hAnsi="Calibri" w:cs="Calibri"/>
        </w:rPr>
        <w:fldChar w:fldCharType="begin"/>
      </w:r>
      <w:r w:rsidR="00BF3D33">
        <w:rPr>
          <w:rFonts w:ascii="Calibri" w:hAnsi="Calibri" w:cs="Calibri"/>
        </w:rPr>
        <w:instrText xml:space="preserve"> ADDIN ZOTERO_ITEM CSL_CITATION {"citationID":"5lPUPqtZ","properties":{"formattedCitation":"(Ajzen,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BF3D33">
        <w:rPr>
          <w:rFonts w:ascii="Calibri" w:hAnsi="Calibri" w:cs="Calibri"/>
        </w:rPr>
        <w:fldChar w:fldCharType="separate"/>
      </w:r>
      <w:r w:rsidR="00BF3D33" w:rsidRPr="00BF3D33">
        <w:rPr>
          <w:rFonts w:ascii="Calibri" w:hAnsi="Calibri" w:cs="Calibri"/>
        </w:rPr>
        <w:t>(Ajzen, 1991)</w:t>
      </w:r>
      <w:r w:rsidR="00BF3D33">
        <w:rPr>
          <w:rFonts w:ascii="Calibri" w:hAnsi="Calibri" w:cs="Calibri"/>
        </w:rPr>
        <w:fldChar w:fldCharType="end"/>
      </w:r>
      <w:r w:rsidRPr="00B37BBC">
        <w:rPr>
          <w:rFonts w:ascii="Calibri" w:hAnsi="Calibri" w:cs="Calibri"/>
        </w:rPr>
        <w:t xml:space="preserve">. However, despite the availability of knowledge and motivational orientations, there is often a significant gap between these elements and the manifestation of behaviour that promotes sustainability. </w:t>
      </w:r>
      <w:r w:rsidR="00B469E6" w:rsidRPr="00840A2C">
        <w:rPr>
          <w:rFonts w:ascii="Calibri" w:hAnsi="Calibri" w:cs="Calibri"/>
        </w:rPr>
        <w:t xml:space="preserve">To bridge this gap, methods from volitional psychology are recommended. </w:t>
      </w:r>
      <w:bookmarkStart w:id="10" w:name="_Hlk172624730"/>
      <w:bookmarkStart w:id="11" w:name="_Hlk171956198"/>
      <w:r w:rsidRPr="00B37BBC">
        <w:rPr>
          <w:rFonts w:ascii="Calibri" w:hAnsi="Calibri" w:cs="Calibri"/>
        </w:rPr>
        <w:t>These methods include making individuals aware of and challenging their guiding assumptions and beliefs, forming concrete action plans, encouraging self-commitment, visualising the results of actions and using reminders</w:t>
      </w:r>
      <w:r w:rsidR="00BF3D33">
        <w:rPr>
          <w:rFonts w:ascii="Calibri" w:hAnsi="Calibri" w:cs="Calibri"/>
        </w:rPr>
        <w:t xml:space="preserve"> </w:t>
      </w:r>
      <w:r w:rsidR="00BF3D33">
        <w:rPr>
          <w:rFonts w:ascii="Calibri" w:hAnsi="Calibri" w:cs="Calibri"/>
        </w:rPr>
        <w:fldChar w:fldCharType="begin"/>
      </w:r>
      <w:r w:rsidR="00BF3D33">
        <w:rPr>
          <w:rFonts w:ascii="Calibri" w:hAnsi="Calibri" w:cs="Calibri"/>
        </w:rPr>
        <w:instrText xml:space="preserve"> ADDIN ZOTERO_ITEM CSL_CITATION {"citationID":"BtrmvB3j","properties":{"formattedCitation":"(Rie\\uc0\\u223{}, 2011)","plainCitation":"(Rieß, 2011)","noteIndex":0},"citationItems":[{"id":1188,"uris":["http://zotero.org/users/6175602/items/RHB5IGSR"],"itemData":{"id":1188,"type":"book","abstract":"Im Rahmen der Bildung für nachhaltige Entwicklung (BNE) soll allen Menschen die Möglichkeit eröffnet werden, sich Wissen und Werte anzueignen sowie Verhaltensweisen und Lebensstile zu erlernen, die für eine lebenswerte Zukunft und eine positive gesellschaftliche Zukunft erforderlich sind. In den vergangenen Jahren wurden zahlreiche Vorschläge und Konzeptionen für eine BNE entwickelt. Belastbares Wissen und auf empirischen Daten beruhende Erkenntnisse darüber, wie eine schulische BNE wirksam gestaltet werden kann, liegen allerdings noch kaum oder nur in unzureichender Form vor. An dieser Stelle setzt die vorliegende Arbeit an, indem sie die beiden folgenden Fragen in den Mittelpunkt der Betrachtung stellt: 1. Welche Arten von Wissen, Einstellungen und Kompetenzen sollen Schüler/-innen im Rahmen der BNE erwerben? Sind die empfohlenen Ziele in normativer Hinsicht begründbar und aus empirischer Sicht realisierbar?2. Durch welche Methoden und Verfahren kann das Lernen im Rahmen der BNE wirksam unterstützt werden? Wie können Lernprozesse im Sinne einer BNE effektiv initiiert und gefördert werden?Die Besonderheit der vorliegenden Arbeit besteht darin, dass sie versucht, durch die Integration theoretischer Analysen und empirischer Studien Antworten auf diese Fragen zu finden. Dr. habil. Werner Rieß ist Professor für Biologie und ihre Didaktik an der Pädagogischen Hochschule Freiburg. Seine Arbeitsschwerpunkte liegen in der empirischen Unterrichtsforschung im Rahmen der Bildung für nachhaltige Entwicklung, der Umweltbildung und des Faches Biologie. Er ist aktuell Sprecher des Promotionskollegs exMNU (Experimentieren im mathematisch-naturwissenschaftlichen Unterricht) und untersucht u.a. Möglichkeiten der Förderung systemischen Denkens und experimenteller Problemlösefähigkeit im Kontext einer nachhaltigen Entwicklung.","ISBN":"978-3-8309-7311-9","language":"de","note":"Google-Books-ID: b8fHhgb5fIkC","number-of-pages":"463","publisher":"Waxmann Verlag","source":"Google Books","title":"Bildung für nachhaltige Entwicklung: Theoretische Analysen und empirische Studien","title-short":"Bildung für nachhaltige Entwicklung","author":[{"family":"Rieß","given":"Werner"}],"issued":{"date-parts":[["2011"]]}}}],"schema":"https://github.com/citation-style-language/schema/raw/master/csl-citation.json"} </w:instrText>
      </w:r>
      <w:r w:rsidR="00BF3D33">
        <w:rPr>
          <w:rFonts w:ascii="Calibri" w:hAnsi="Calibri" w:cs="Calibri"/>
        </w:rPr>
        <w:fldChar w:fldCharType="separate"/>
      </w:r>
      <w:r w:rsidR="00BF3D33" w:rsidRPr="00BF3D33">
        <w:rPr>
          <w:rFonts w:ascii="Calibri" w:hAnsi="Calibri" w:cs="Calibri"/>
        </w:rPr>
        <w:t>(</w:t>
      </w:r>
      <w:proofErr w:type="spellStart"/>
      <w:r w:rsidR="00BF3D33" w:rsidRPr="00BF3D33">
        <w:rPr>
          <w:rFonts w:ascii="Calibri" w:hAnsi="Calibri" w:cs="Calibri"/>
        </w:rPr>
        <w:t>Rieß</w:t>
      </w:r>
      <w:proofErr w:type="spellEnd"/>
      <w:r w:rsidR="00BF3D33" w:rsidRPr="00BF3D33">
        <w:rPr>
          <w:rFonts w:ascii="Calibri" w:hAnsi="Calibri" w:cs="Calibri"/>
        </w:rPr>
        <w:t>, 2011)</w:t>
      </w:r>
      <w:r w:rsidR="00BF3D33">
        <w:rPr>
          <w:rFonts w:ascii="Calibri" w:hAnsi="Calibri" w:cs="Calibri"/>
        </w:rPr>
        <w:fldChar w:fldCharType="end"/>
      </w:r>
      <w:r w:rsidRPr="00B37BBC">
        <w:rPr>
          <w:rFonts w:ascii="Calibri" w:hAnsi="Calibri" w:cs="Calibri"/>
        </w:rPr>
        <w:t>. In educational settings, teachers play a crucial role in promoting behaviour change by raising awareness of students' subjective theories and fostering efficacy, thereby enabling students to see the impact of their actions and motivating them to commit to sustainable practices</w:t>
      </w:r>
      <w:r w:rsidR="006E7E3B">
        <w:rPr>
          <w:rFonts w:ascii="Calibri" w:hAnsi="Calibri" w:cs="Calibri"/>
        </w:rPr>
        <w:t xml:space="preserve"> </w:t>
      </w:r>
      <w:r w:rsidR="006E7E3B">
        <w:rPr>
          <w:rFonts w:ascii="Calibri" w:hAnsi="Calibri" w:cs="Calibri"/>
        </w:rPr>
        <w:fldChar w:fldCharType="begin"/>
      </w:r>
      <w:r w:rsidR="006E7E3B">
        <w:rPr>
          <w:rFonts w:ascii="Calibri" w:hAnsi="Calibri" w:cs="Calibri"/>
        </w:rPr>
        <w:instrText xml:space="preserve"> ADDIN ZOTERO_ITEM CSL_CITATION {"citationID":"FtCeOHF5","properties":{"formattedCitation":"(Riess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6E7E3B">
        <w:rPr>
          <w:rFonts w:ascii="Calibri" w:hAnsi="Calibri" w:cs="Calibri"/>
        </w:rPr>
        <w:fldChar w:fldCharType="separate"/>
      </w:r>
      <w:r w:rsidR="006E7E3B" w:rsidRPr="006E7E3B">
        <w:rPr>
          <w:rFonts w:ascii="Calibri" w:hAnsi="Calibri" w:cs="Calibri"/>
        </w:rPr>
        <w:t>(Riess et al., 2022)</w:t>
      </w:r>
      <w:r w:rsidR="006E7E3B">
        <w:rPr>
          <w:rFonts w:ascii="Calibri" w:hAnsi="Calibri" w:cs="Calibri"/>
        </w:rPr>
        <w:fldChar w:fldCharType="end"/>
      </w:r>
      <w:r w:rsidRPr="00B37BBC">
        <w:rPr>
          <w:rFonts w:ascii="Calibri" w:hAnsi="Calibri" w:cs="Calibri"/>
        </w:rPr>
        <w:t xml:space="preserve">. However, the availability of empirical data is limited to certain types of ESD learning/teaching methods. The call for alternative and </w:t>
      </w:r>
      <w:r w:rsidRPr="00B37BBC">
        <w:rPr>
          <w:rFonts w:ascii="Calibri" w:hAnsi="Calibri" w:cs="Calibri"/>
        </w:rPr>
        <w:lastRenderedPageBreak/>
        <w:t>innovative methods of delivering ESD is not empirically supported</w:t>
      </w:r>
      <w:r w:rsidR="006E7E3B">
        <w:rPr>
          <w:rFonts w:ascii="Calibri" w:hAnsi="Calibri" w:cs="Calibri"/>
        </w:rPr>
        <w:t xml:space="preserve"> </w:t>
      </w:r>
      <w:r w:rsidR="006E7E3B">
        <w:rPr>
          <w:rFonts w:ascii="Calibri" w:hAnsi="Calibri" w:cs="Calibri"/>
        </w:rPr>
        <w:fldChar w:fldCharType="begin"/>
      </w:r>
      <w:r w:rsidR="006E7E3B">
        <w:rPr>
          <w:rFonts w:ascii="Calibri" w:hAnsi="Calibri" w:cs="Calibri"/>
        </w:rPr>
        <w:instrText xml:space="preserve"> ADDIN ZOTERO_ITEM CSL_CITATION {"citationID":"fBYTpOir","properties":{"formattedCitation":"(Riess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6E7E3B">
        <w:rPr>
          <w:rFonts w:ascii="Calibri" w:hAnsi="Calibri" w:cs="Calibri"/>
        </w:rPr>
        <w:fldChar w:fldCharType="separate"/>
      </w:r>
      <w:r w:rsidR="006E7E3B" w:rsidRPr="006E7E3B">
        <w:rPr>
          <w:rFonts w:ascii="Calibri" w:hAnsi="Calibri" w:cs="Calibri"/>
        </w:rPr>
        <w:t>(Riess et al., 2022)</w:t>
      </w:r>
      <w:r w:rsidR="006E7E3B">
        <w:rPr>
          <w:rFonts w:ascii="Calibri" w:hAnsi="Calibri" w:cs="Calibri"/>
        </w:rPr>
        <w:fldChar w:fldCharType="end"/>
      </w:r>
      <w:r w:rsidRPr="00B37BBC">
        <w:rPr>
          <w:rFonts w:ascii="Calibri" w:hAnsi="Calibri" w:cs="Calibri"/>
        </w:rPr>
        <w:t xml:space="preserve">. To date, innovative ESD intervention studies mostly include results in the form of self-reports, self-assessments and expert surveys </w:t>
      </w:r>
      <w:r w:rsidR="006E7E3B">
        <w:rPr>
          <w:rFonts w:ascii="Calibri" w:hAnsi="Calibri" w:cs="Calibri"/>
        </w:rPr>
        <w:fldChar w:fldCharType="begin"/>
      </w:r>
      <w:r w:rsidR="006E7E3B">
        <w:rPr>
          <w:rFonts w:ascii="Calibri" w:hAnsi="Calibri" w:cs="Calibri"/>
        </w:rPr>
        <w:instrText xml:space="preserve"> ADDIN ZOTERO_ITEM CSL_CITATION {"citationID":"z31ETTDL","properties":{"formattedCitation":"(Riess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6E7E3B">
        <w:rPr>
          <w:rFonts w:ascii="Calibri" w:hAnsi="Calibri" w:cs="Calibri"/>
        </w:rPr>
        <w:fldChar w:fldCharType="separate"/>
      </w:r>
      <w:r w:rsidR="006E7E3B" w:rsidRPr="006E7E3B">
        <w:rPr>
          <w:rFonts w:ascii="Calibri" w:hAnsi="Calibri" w:cs="Calibri"/>
        </w:rPr>
        <w:t>(Riess et al., 2022)</w:t>
      </w:r>
      <w:r w:rsidR="006E7E3B">
        <w:rPr>
          <w:rFonts w:ascii="Calibri" w:hAnsi="Calibri" w:cs="Calibri"/>
        </w:rPr>
        <w:fldChar w:fldCharType="end"/>
      </w:r>
      <w:r w:rsidRPr="00B37BBC">
        <w:rPr>
          <w:rFonts w:ascii="Calibri" w:hAnsi="Calibri" w:cs="Calibri"/>
        </w:rPr>
        <w:t xml:space="preserve">, which are non-experimental research methods. In contrast, quasi-experimental studies can be used to test hypotheses and provide evidence of the effectiveness of methods. To date, these robust scientific methods have mainly been applied to ESD intervention methods with a high degree of teacher guidance. In addition, the validity of quasi-experiments can be enhanced with experimental controls (e.g. pre-post or control group test design) </w:t>
      </w:r>
      <w:r w:rsidR="00467ED5">
        <w:rPr>
          <w:rFonts w:ascii="Calibri" w:hAnsi="Calibri" w:cs="Calibri"/>
        </w:rPr>
        <w:fldChar w:fldCharType="begin"/>
      </w:r>
      <w:r w:rsidR="00467ED5">
        <w:rPr>
          <w:rFonts w:ascii="Calibri" w:hAnsi="Calibri" w:cs="Calibri"/>
        </w:rPr>
        <w:instrText xml:space="preserve"> ADDIN ZOTERO_ITEM CSL_CITATION {"citationID":"Mm9cCG8d","properties":{"formattedCitation":"(Handley et al., 2018)","plainCitation":"(Handley et al., 2018)","noteIndex":0},"citationItems":[{"id":1251,"uris":["http://zotero.org/users/6175602/items/GZ4YY6LP"],"itemData":{"id":1251,"type":"article-journal","abstract":"Interventional researchers face many design challenges when assessing intervention implementation in real-world settings. Intervention implementation requires holding fast on internal validity needs while incorporating external validity considerations (such as uptake by diverse subpopulations, acceptability, cost, and sustainability). Quasi-experimental designs (QEDs) are increasingly employed to achieve a balance between internal and external validity. Although these designs are often referred to and summarized in terms of logistical benefits, there is still uncertainty about (a) selecting from among various QEDs and (b) developing strategies to strengthen the internal and external validity of QEDs. We focus here on commonly used QEDs (prepost designs with nonequivalent control groups, interrupted time series, and stepped-wedge designs) and discuss several variants that maximize internal and external validity at the design, execution and implementation, and analysis stages.","container-title":"Annual Review of Public Health","DOI":"10.1146/annurev-publhealth-040617-014128","ISSN":"0163-7525, 1545-2093","issue":"Volume 39, 2018","language":"en","note":"publisher: Annual Reviews","page":"5-25","source":"www.annualreviews.org","title":"Selecting and Improving Quasi-Experimental Designs in Effectiveness and Implementation Research","volume":"39","author":[{"family":"Handley","given":"Margaret A."},{"family":"Lyles","given":"Courtney R."},{"family":"McCulloch","given":"Charles"},{"family":"Cattamanchi","given":"Adithya"}],"issued":{"date-parts":[["2018",4,1]]}}}],"schema":"https://github.com/citation-style-language/schema/raw/master/csl-citation.json"} </w:instrText>
      </w:r>
      <w:r w:rsidR="00467ED5">
        <w:rPr>
          <w:rFonts w:ascii="Calibri" w:hAnsi="Calibri" w:cs="Calibri"/>
        </w:rPr>
        <w:fldChar w:fldCharType="separate"/>
      </w:r>
      <w:r w:rsidR="00467ED5" w:rsidRPr="00467ED5">
        <w:rPr>
          <w:rFonts w:ascii="Calibri" w:hAnsi="Calibri" w:cs="Calibri"/>
        </w:rPr>
        <w:t>(Handley et al., 2018)</w:t>
      </w:r>
      <w:r w:rsidR="00467ED5">
        <w:rPr>
          <w:rFonts w:ascii="Calibri" w:hAnsi="Calibri" w:cs="Calibri"/>
        </w:rPr>
        <w:fldChar w:fldCharType="end"/>
      </w:r>
      <w:r w:rsidRPr="00B37BBC">
        <w:rPr>
          <w:rFonts w:ascii="Calibri" w:hAnsi="Calibri" w:cs="Calibri"/>
        </w:rPr>
        <w:t xml:space="preserve">. Due to the lack of empirical data, it is not yet possible to make conclusive statements about the 'best' teaching/learning methods, although there are recommendations from empirical education and teaching research. Given the mismatch between evidence-based learning recommendations and the availability of </w:t>
      </w:r>
      <w:r w:rsidR="00467ED5">
        <w:rPr>
          <w:rFonts w:ascii="Calibri" w:hAnsi="Calibri" w:cs="Calibri"/>
        </w:rPr>
        <w:t>comprehensive</w:t>
      </w:r>
      <w:r w:rsidRPr="00B37BBC">
        <w:rPr>
          <w:rFonts w:ascii="Calibri" w:hAnsi="Calibri" w:cs="Calibri"/>
        </w:rPr>
        <w:t xml:space="preserve"> research</w:t>
      </w:r>
      <w:r w:rsidR="00467ED5">
        <w:rPr>
          <w:rFonts w:ascii="Calibri" w:hAnsi="Calibri" w:cs="Calibri"/>
        </w:rPr>
        <w:t xml:space="preserve"> design</w:t>
      </w:r>
      <w:r w:rsidRPr="00B37BBC">
        <w:rPr>
          <w:rFonts w:ascii="Calibri" w:hAnsi="Calibri" w:cs="Calibri"/>
        </w:rPr>
        <w:t xml:space="preserve"> methods, there is a need to measure innovative ESD methods using quasi-experimental designs.</w:t>
      </w:r>
    </w:p>
    <w:p w14:paraId="290E3264" w14:textId="1374F529" w:rsidR="00C7451B" w:rsidRDefault="00C7451B" w:rsidP="00C7451B">
      <w:pPr>
        <w:pStyle w:val="NormalWeb"/>
        <w:jc w:val="both"/>
        <w:rPr>
          <w:rFonts w:ascii="Calibri" w:hAnsi="Calibri" w:cs="Calibri"/>
        </w:rPr>
      </w:pPr>
      <w:r w:rsidRPr="00C7451B">
        <w:rPr>
          <w:rFonts w:ascii="Calibri" w:hAnsi="Calibri" w:cs="Calibri"/>
        </w:rPr>
        <w:t xml:space="preserve">The measurement of sustainability competencies requires validity criteria to ensure that the measurement tools accurately capture the achievement of the objectives - in this case, the competencies that enable learners (among others) to contribute to real-world change. Ideally, one would obtain observational data to see if actual behaviour has changed. In reality, self-reports are more commonly used as they are easier to obtain, especially in large numbers, and also allow for a broader assessment of different behaviours </w:t>
      </w:r>
      <w:r w:rsidR="00770C6A">
        <w:rPr>
          <w:rFonts w:ascii="Calibri" w:hAnsi="Calibri" w:cs="Calibri"/>
        </w:rPr>
        <w:fldChar w:fldCharType="begin"/>
      </w:r>
      <w:r w:rsidR="00770C6A">
        <w:rPr>
          <w:rFonts w:ascii="Calibri" w:hAnsi="Calibri" w:cs="Calibri"/>
        </w:rPr>
        <w:instrText xml:space="preserve"> ADDIN ZOTERO_ITEM CSL_CITATION {"citationID":"DWwo8lBD","properties":{"formattedCitation":"(Kaiser et al., 2001)","plainCitation":"(Kaiser et al., 2001)","noteIndex":0},"citationItems":[{"id":1222,"uris":["http://zotero.org/users/6175602/items/7RWGTY5R"],"itemData":{"id":1222,"type":"article-journal","abstract":"Zusammenfassung. Die Validität subjektiver Verhaltensdaten wird immer wieder angezweifelt. Ziel dieser Arbeit ist es, die Übereinstimmung zwischen selbstberichteten und beobachteten ökologischen Verhaltensweisen zu prüfen. Dazu wurden 40 Personen, die sich laut eigener Angaben besonders ökologisch bzw. besonders wenig ökologisch verhielten, von zwei Interviewerinnen zu Hause besucht. Bei dieser Gelegenheit wurden exemplarisch 14 von gesamthaft 65 Verhaltensweisen der Skala Allgemeinen Ökologischen Verhaltens (siehe Kaiser, 1998) überprüft, die bzw. deren Verhaltenskonsequenzen uns zuverlässig beobachtbar erschienen. Dies betraf z.B. den Besitz eines verbrauchsreduzierten Autos oder die Mitgliedschaft in einer Umweltschutzorganisation. Es zeigte sich, dass Selbstberichtsdaten nicht nur zeitlich stabile (rtt = .83; rtt = .96), sondern auch valide (κ = .78; M (r) = .81) Indikatoren ökologischen Verhaltens darstellen; dies besonders dann, wenn selbstberichtete Verhaltensdaten in Form dichotomer Ereignisse - tue ich oder tue ich nicht, besitze ich oder besitze ich nicht - erfragt werden.","container-title":"Diagnostica","DOI":"10.1026//0012-1924.47.2.88","ISSN":"0012-1924","issue":"2","note":"publisher: Hogrefe Verlag","page":"88-95","source":"econtent.hogrefe.com (Atypon)","title":"Zur Angemessenheit selbstberichteten Verhaltens: Eine Validitätsuntersuchung der Skala Allgemeinen Ökologischen Verhaltens","title-short":"Zur Angemessenheit selbstberichteten Verhaltens","volume":"47","author":[{"family":"Kaiser","given":"Florian G."},{"family":"Frick","given":"Jacqueline"},{"family":"Stoll-Kleemann","given":"Susanne"}],"issued":{"date-parts":[["2001",4]]}}}],"schema":"https://github.com/citation-style-language/schema/raw/master/csl-citation.json"} </w:instrText>
      </w:r>
      <w:r w:rsidR="00770C6A">
        <w:rPr>
          <w:rFonts w:ascii="Calibri" w:hAnsi="Calibri" w:cs="Calibri"/>
        </w:rPr>
        <w:fldChar w:fldCharType="separate"/>
      </w:r>
      <w:r w:rsidR="00770C6A" w:rsidRPr="00770C6A">
        <w:rPr>
          <w:rFonts w:ascii="Calibri" w:hAnsi="Calibri" w:cs="Calibri"/>
        </w:rPr>
        <w:t>(Kaiser et al., 2001)</w:t>
      </w:r>
      <w:r w:rsidR="00770C6A">
        <w:rPr>
          <w:rFonts w:ascii="Calibri" w:hAnsi="Calibri" w:cs="Calibri"/>
        </w:rPr>
        <w:fldChar w:fldCharType="end"/>
      </w:r>
      <w:r w:rsidRPr="00C7451B">
        <w:rPr>
          <w:rFonts w:ascii="Calibri" w:hAnsi="Calibri" w:cs="Calibri"/>
        </w:rPr>
        <w:t xml:space="preserve">. The challenge is that there is a gap between self-reported and objective behaviour. To overcome this, measurement indicators need to be validated with real behavioural outcomes. One reason for this gap could be the tendency of respondents to give socially desirable answers </w:t>
      </w:r>
      <w:r w:rsidR="00770C6A">
        <w:rPr>
          <w:rFonts w:ascii="Calibri" w:hAnsi="Calibri" w:cs="Calibri"/>
        </w:rPr>
        <w:fldChar w:fldCharType="begin"/>
      </w:r>
      <w:r w:rsidR="00770C6A">
        <w:rPr>
          <w:rFonts w:ascii="Calibri" w:hAnsi="Calibri" w:cs="Calibri"/>
        </w:rPr>
        <w:instrText xml:space="preserve"> ADDIN ZOTERO_ITEM CSL_CITATION {"citationID":"EQs5qKQM","properties":{"formattedCitation":"(Waltner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770C6A">
        <w:rPr>
          <w:rFonts w:ascii="Calibri" w:hAnsi="Calibri" w:cs="Calibri"/>
        </w:rPr>
        <w:fldChar w:fldCharType="separate"/>
      </w:r>
      <w:r w:rsidR="00770C6A" w:rsidRPr="00770C6A">
        <w:rPr>
          <w:rFonts w:ascii="Calibri" w:hAnsi="Calibri" w:cs="Calibri"/>
        </w:rPr>
        <w:t>(Waltner et al., 2019)</w:t>
      </w:r>
      <w:r w:rsidR="00770C6A">
        <w:rPr>
          <w:rFonts w:ascii="Calibri" w:hAnsi="Calibri" w:cs="Calibri"/>
        </w:rPr>
        <w:fldChar w:fldCharType="end"/>
      </w:r>
      <w:r w:rsidRPr="00C7451B">
        <w:rPr>
          <w:rFonts w:ascii="Calibri" w:hAnsi="Calibri" w:cs="Calibri"/>
        </w:rPr>
        <w:t>. There are several ways to carry out scale validation. One option would be to perform an ad hoc scale validation, comparing the items used in this study with well-established measures that have been tested for their predictive power of real-life behaviour. Another option would be to validate against a criterion outside of the measurement process that is considered a valid proxy for actual behaviour and is assessed using a simple dichotomous approach</w:t>
      </w:r>
      <w:r w:rsidR="00770C6A">
        <w:rPr>
          <w:rFonts w:ascii="Calibri" w:hAnsi="Calibri" w:cs="Calibri"/>
        </w:rPr>
        <w:t xml:space="preserve"> </w:t>
      </w:r>
      <w:r w:rsidR="00770C6A">
        <w:rPr>
          <w:rFonts w:ascii="Calibri" w:hAnsi="Calibri" w:cs="Calibri"/>
        </w:rPr>
        <w:fldChar w:fldCharType="begin"/>
      </w:r>
      <w:r w:rsidR="00770C6A">
        <w:rPr>
          <w:rFonts w:ascii="Calibri" w:hAnsi="Calibri" w:cs="Calibri"/>
        </w:rPr>
        <w:instrText xml:space="preserve"> ADDIN ZOTERO_ITEM CSL_CITATION {"citationID":"RoOL0fLS","properties":{"formattedCitation":"(Kaiser et al., 2003; Kormos &amp; Gifford, 2014)","plainCitation":"(Kaiser et al., 2003; Kormos &amp; Gifford, 2014)","noteIndex":0},"citationItems":[{"id":1255,"uris":["http://zotero.org/users/6175602/items/JCHNGAF6"],"itemData":{"id":1255,"type":"article-journal","abstract":"The environmental impact of individuals, namely, how much they pollute and what resources they consume, is of paramount importance. However, even environmental psychologists rarely study levels of pollution or resource and energy savings. The present paper aims to ecologically validate 52 behaviors of a well-established self-report measure of ecological conduct (i.e. the General Ecological Behavior scale; Kaiser, J. Appl. Social Phychol. 28 (1998) 395, using the items’ environmental consequences. Our objective is to contrast a behavior's environmental consequences with the comparable effect of a reasonable alternative. By means of applying data from available Life Cycle Assessment (LCA) literature and databases, two LCA experts were able to compare each of 52 performance pairs’ overall environmental impact. None of the 30 presumably ecological behaviors of the scale turned out to be less environmentally effective than its alternative, and none of the 22 unecological behaviors turned out to be more environmentally effective than its alternative. The correspondence between a behavior's environmental consequences and its scale-incorporated, presumed, impact falls between 79% and 100%, both being statistically significant.","container-title":"Journal of Environmental Psychology","DOI":"10.1016/S0272-4944(02)00075-0","ISSN":"0272-4944","issue":"1","journalAbbreviation":"Journal of Environmental Psychology","page":"11-20","source":"ScienceDirect","title":"Ecological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A"}],"issued":{"date-parts":[["2003",3,1]]}}},{"id":1257,"uris":["http://zotero.org/users/6175602/items/6AVCNNWJ"],"itemData":{"id":1257,"type":"article-journal","abstract":"Do self-reports match objective behavior? We performed a meta-analysis to quantify the association between self-reported and objective measures of proenvironmental behavior, and to evaluate the moderating influence of two socio-demographic and seven methodological moderators. Data from 6260 individuals or households, involving 19 measures of association in 15 studies, revealed a positive and nominally large (Cohen, 1988) effect size (r = .46). However, this means that 79% of the variance in the association between self-reported and objective behavior remains unexplained, which is especially troubling given the environmental context. We conclude that although this effect size is conventionally large, it is functionally small for testing theory and devising intervention campaigns, possibly leading researchers to draw misleading conclusions about the usefulness of theories that employ self-reports to predict objective behavior. These findings highlight a crucial need for research that strengthens the validity of self-reports for well-defined types of environmental behavior.","container-title":"Journal of Environmental Psychology","DOI":"10.1016/j.jenvp.2014.09.003","ISSN":"0272-4944","journalAbbreviation":"Journal of Environmental Psychology","page":"359-371","source":"ScienceDirect","title":"The validity of self-report measures of proenvironmental behavior: A meta-analytic review","title-short":"The validity of self-report measures of proenvironmental behavior","volume":"40","author":[{"family":"Kormos","given":"Christine"},{"family":"Gifford","given":"Robert"}],"issued":{"date-parts":[["2014",12,1]]}}}],"schema":"https://github.com/citation-style-language/schema/raw/master/csl-citation.json"} </w:instrText>
      </w:r>
      <w:r w:rsidR="00770C6A">
        <w:rPr>
          <w:rFonts w:ascii="Calibri" w:hAnsi="Calibri" w:cs="Calibri"/>
        </w:rPr>
        <w:fldChar w:fldCharType="separate"/>
      </w:r>
      <w:r w:rsidR="00770C6A" w:rsidRPr="00770C6A">
        <w:rPr>
          <w:rFonts w:ascii="Calibri" w:hAnsi="Calibri" w:cs="Calibri"/>
        </w:rPr>
        <w:t>(Kaiser et al., 2003; Kormos &amp; Gifford, 2014)</w:t>
      </w:r>
      <w:r w:rsidR="00770C6A">
        <w:rPr>
          <w:rFonts w:ascii="Calibri" w:hAnsi="Calibri" w:cs="Calibri"/>
        </w:rPr>
        <w:fldChar w:fldCharType="end"/>
      </w:r>
      <w:r w:rsidRPr="00C7451B">
        <w:rPr>
          <w:rFonts w:ascii="Calibri" w:hAnsi="Calibri" w:cs="Calibri"/>
        </w:rPr>
        <w:t xml:space="preserve">. The newly developed Triple A framework of efficacy beliefs complements the TPB-based scales in terms of its predictive power for behaviour and behavioural intentions </w:t>
      </w:r>
      <w:r w:rsidR="00770C6A">
        <w:rPr>
          <w:rFonts w:ascii="Calibri" w:hAnsi="Calibri" w:cs="Calibri"/>
        </w:rPr>
        <w:fldChar w:fldCharType="begin"/>
      </w:r>
      <w:r w:rsidR="007C6166">
        <w:rPr>
          <w:rFonts w:ascii="Calibri" w:hAnsi="Calibri" w:cs="Calibri"/>
        </w:rPr>
        <w:instrText xml:space="preserve"> ADDIN ZOTERO_ITEM CSL_CITATION {"citationID":"xyrVqJOP","properties":{"formattedCitation":"(Hamann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770C6A">
        <w:rPr>
          <w:rFonts w:ascii="Calibri" w:hAnsi="Calibri" w:cs="Calibri"/>
        </w:rPr>
        <w:fldChar w:fldCharType="separate"/>
      </w:r>
      <w:r w:rsidR="007C6166" w:rsidRPr="007C6166">
        <w:rPr>
          <w:rFonts w:ascii="Calibri" w:hAnsi="Calibri" w:cs="Calibri"/>
        </w:rPr>
        <w:t>(Hamann et al., 2024)</w:t>
      </w:r>
      <w:r w:rsidR="00770C6A">
        <w:rPr>
          <w:rFonts w:ascii="Calibri" w:hAnsi="Calibri" w:cs="Calibri"/>
        </w:rPr>
        <w:fldChar w:fldCharType="end"/>
      </w:r>
      <w:r w:rsidRPr="00C7451B">
        <w:rPr>
          <w:rFonts w:ascii="Calibri" w:hAnsi="Calibri" w:cs="Calibri"/>
        </w:rPr>
        <w:t xml:space="preserve">. One study found that the TPB could benefit from incorporating aspects of the Triple A framework to increase its explanatory power </w:t>
      </w:r>
      <w:r w:rsidR="0044568A">
        <w:rPr>
          <w:rFonts w:ascii="Calibri" w:hAnsi="Calibri" w:cs="Calibri"/>
        </w:rPr>
        <w:fldChar w:fldCharType="begin"/>
      </w:r>
      <w:r w:rsidR="0044568A">
        <w:rPr>
          <w:rFonts w:ascii="Calibri" w:hAnsi="Calibri" w:cs="Calibri"/>
        </w:rPr>
        <w:instrText xml:space="preserve"> ADDIN ZOTERO_ITEM CSL_CITATION {"citationID":"1UqzZ0QN","properties":{"formattedCitation":"(Bamberg &amp; Rees, 2017)","plainCitation":"(Bamberg &amp; Rees, 2017)","noteIndex":0},"citationItems":[{"id":1261,"uris":["http://zotero.org/users/6175602/items/4JYDGE57"],"itemData":{"id":1261,"type":"article-journal","abstract":"Personal travel planning (PTP) is generally regarded as an effective approach to voluntary travel behavior change in the domain of transportation research. However, this view has recently been challenged by findings from another research domain, public health research, reporting little or no effect of PTP-based interventions. We argue that these conflicting results regarding the effectiveness of PTP-based measures are due to different understandings of which research designs should be used: Transportation research tends to be based on large-scale quasi-experimental designs whereas public health research tends to favor experimental designs such as randomized control trials (RCTs). Consequently, we argue, the discrepancy may at least partly be resolved by a more nuanced position on what empirical evidence really matters when evaluating if an intervention is effective or not. In the empirical part of the paper, we meta-analytically re-analyze ten quasi-experimental PTP evaluation studies and report an experimental RCT-based study testing the effectiveness of a PTP strategy implemented in a major German city. Including all information in one meta-analytical synthesis yields a standardized effect size estimate of Cohen’s h=0.12, documenting a small but reliable effect of PTP interventions. When implementing a PTP like one of those analyzed in this paper, in other words, we can expect an average reduction of the car modal split share of about 5 percentage points. We close by discussing the implications of our results for future PTP evaluation studies and the dispute about what kind of empirical evidence really matters when evaluating the effectiveness of PTP measures.","container-title":"Transportation Research Part A: Policy and Practice","DOI":"10.1016/j.tra.2017.04.004","ISSN":"0965-8564","journalAbbreviation":"Transportation Research Part A: Policy and Practice","page":"16-26","source":"ScienceDirect","title":"The impact of voluntary travel behavior change measures – A meta-analytical comparison of quasi-experimental and experimental evidence","volume":"100","author":[{"family":"Bamberg","given":"Sebastian"},{"family":"Rees","given":"Jonas"}],"issued":{"date-parts":[["2017",6,1]]}}}],"schema":"https://github.com/citation-style-language/schema/raw/master/csl-citation.json"} </w:instrText>
      </w:r>
      <w:r w:rsidR="0044568A">
        <w:rPr>
          <w:rFonts w:ascii="Calibri" w:hAnsi="Calibri" w:cs="Calibri"/>
        </w:rPr>
        <w:fldChar w:fldCharType="separate"/>
      </w:r>
      <w:r w:rsidR="0044568A" w:rsidRPr="0044568A">
        <w:rPr>
          <w:rFonts w:ascii="Calibri" w:hAnsi="Calibri" w:cs="Calibri"/>
        </w:rPr>
        <w:t>(Bamberg &amp; Rees, 2017)</w:t>
      </w:r>
      <w:r w:rsidR="0044568A">
        <w:rPr>
          <w:rFonts w:ascii="Calibri" w:hAnsi="Calibri" w:cs="Calibri"/>
        </w:rPr>
        <w:fldChar w:fldCharType="end"/>
      </w:r>
      <w:r w:rsidRPr="00C7451B">
        <w:rPr>
          <w:rFonts w:ascii="Calibri" w:hAnsi="Calibri" w:cs="Calibri"/>
        </w:rPr>
        <w:t xml:space="preserve">. </w:t>
      </w:r>
      <w:bookmarkEnd w:id="10"/>
      <w:bookmarkEnd w:id="11"/>
      <w:r w:rsidRPr="00C7451B">
        <w:rPr>
          <w:rFonts w:ascii="Calibri" w:hAnsi="Calibri" w:cs="Calibri"/>
        </w:rPr>
        <w:t>The Triple A framework, with its high degree of differentiation, expands the possibility of assessing different behavioural outcomes</w:t>
      </w:r>
      <w:r w:rsidR="0044568A">
        <w:rPr>
          <w:rFonts w:ascii="Calibri" w:hAnsi="Calibri" w:cs="Calibri"/>
        </w:rPr>
        <w:t xml:space="preserve"> </w:t>
      </w:r>
      <w:r w:rsidR="0044568A">
        <w:rPr>
          <w:rFonts w:ascii="Calibri" w:hAnsi="Calibri" w:cs="Calibri"/>
        </w:rPr>
        <w:fldChar w:fldCharType="begin"/>
      </w:r>
      <w:r w:rsidR="0044568A">
        <w:rPr>
          <w:rFonts w:ascii="Calibri" w:hAnsi="Calibri" w:cs="Calibri"/>
        </w:rPr>
        <w:instrText xml:space="preserve"> ADDIN ZOTERO_ITEM CSL_CITATION {"citationID":"yXybLH6h","properties":{"formattedCitation":"(Hamann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44568A">
        <w:rPr>
          <w:rFonts w:ascii="Calibri" w:hAnsi="Calibri" w:cs="Calibri"/>
        </w:rPr>
        <w:fldChar w:fldCharType="separate"/>
      </w:r>
      <w:r w:rsidR="0044568A" w:rsidRPr="0044568A">
        <w:rPr>
          <w:rFonts w:ascii="Calibri" w:hAnsi="Calibri" w:cs="Calibri"/>
        </w:rPr>
        <w:t>(Hamann et al., 2024)</w:t>
      </w:r>
      <w:r w:rsidR="0044568A">
        <w:rPr>
          <w:rFonts w:ascii="Calibri" w:hAnsi="Calibri" w:cs="Calibri"/>
        </w:rPr>
        <w:fldChar w:fldCharType="end"/>
      </w:r>
      <w:r w:rsidRPr="00C7451B">
        <w:rPr>
          <w:rFonts w:ascii="Calibri" w:hAnsi="Calibri" w:cs="Calibri"/>
        </w:rPr>
        <w:t>. Therefore, an interesting option is to compare the TPB-based scale with one based on efficacy beliefs. Administering both a TPB-based scale and one based on efficacy beliefs provides an opportunity to validate each scale against the other, thus ensuring a higher quality of measurement.</w:t>
      </w:r>
    </w:p>
    <w:p w14:paraId="4BB6A231" w14:textId="74054DDA" w:rsidR="00B469E6" w:rsidRPr="00840A2C" w:rsidRDefault="00B469E6" w:rsidP="00C7451B">
      <w:pPr>
        <w:pStyle w:val="Heading3"/>
      </w:pPr>
      <w:bookmarkStart w:id="12" w:name="_Toc173164289"/>
      <w:r w:rsidRPr="00840A2C">
        <w:t xml:space="preserve">Potential role of </w:t>
      </w:r>
      <w:r w:rsidR="00C7451B">
        <w:t>e</w:t>
      </w:r>
      <w:r w:rsidRPr="00840A2C">
        <w:t xml:space="preserve">fficacy </w:t>
      </w:r>
      <w:r w:rsidR="00C7451B">
        <w:t>b</w:t>
      </w:r>
      <w:r w:rsidRPr="00840A2C">
        <w:t>eliefs in sustainability competencies</w:t>
      </w:r>
      <w:bookmarkEnd w:id="12"/>
    </w:p>
    <w:p w14:paraId="18E4AE74" w14:textId="1E8AFB26" w:rsidR="008B713B" w:rsidRDefault="008B713B" w:rsidP="00B469E6">
      <w:pPr>
        <w:jc w:val="both"/>
        <w:rPr>
          <w:rFonts w:ascii="Calibri" w:hAnsi="Calibri" w:cs="Calibri"/>
          <w:sz w:val="24"/>
          <w:szCs w:val="24"/>
        </w:rPr>
      </w:pPr>
      <w:r w:rsidRPr="008B713B">
        <w:rPr>
          <w:rFonts w:ascii="Calibri" w:hAnsi="Calibri" w:cs="Calibri"/>
          <w:sz w:val="24"/>
          <w:szCs w:val="24"/>
        </w:rPr>
        <w:t>Measuring sustainability competencies can benefit from a high degree of differentiation based on the new theoretical development of the Triple-A framework of efficacy beliefs. The Triple-A framework provides a structured approach to enhance the somewhat fragmented field of efficacy research, particularly in the context of collective social and environmental goals</w:t>
      </w:r>
      <w:r w:rsidR="006D55B7">
        <w:rPr>
          <w:rFonts w:ascii="Calibri" w:hAnsi="Calibri" w:cs="Calibri"/>
          <w:sz w:val="24"/>
          <w:szCs w:val="24"/>
        </w:rPr>
        <w:t xml:space="preserve"> </w:t>
      </w:r>
      <w:r w:rsidR="006D55B7">
        <w:rPr>
          <w:rFonts w:ascii="Calibri" w:hAnsi="Calibri" w:cs="Calibri"/>
          <w:sz w:val="24"/>
          <w:szCs w:val="24"/>
        </w:rPr>
        <w:fldChar w:fldCharType="begin"/>
      </w:r>
      <w:r w:rsidR="006D55B7">
        <w:rPr>
          <w:rFonts w:ascii="Calibri" w:hAnsi="Calibri" w:cs="Calibri"/>
          <w:sz w:val="24"/>
          <w:szCs w:val="24"/>
        </w:rPr>
        <w:instrText xml:space="preserve"> ADDIN ZOTERO_ITEM CSL_CITATION {"citationID":"UjT50vWN","properties":{"formattedCitation":"(Hamann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6D55B7">
        <w:rPr>
          <w:rFonts w:ascii="Calibri" w:hAnsi="Calibri" w:cs="Calibri"/>
          <w:sz w:val="24"/>
          <w:szCs w:val="24"/>
        </w:rPr>
        <w:fldChar w:fldCharType="separate"/>
      </w:r>
      <w:r w:rsidR="006D55B7" w:rsidRPr="006D55B7">
        <w:rPr>
          <w:rFonts w:ascii="Calibri" w:hAnsi="Calibri" w:cs="Calibri"/>
          <w:sz w:val="24"/>
        </w:rPr>
        <w:t>(Hamann et al., 2024)</w:t>
      </w:r>
      <w:r w:rsidR="006D55B7">
        <w:rPr>
          <w:rFonts w:ascii="Calibri" w:hAnsi="Calibri" w:cs="Calibri"/>
          <w:sz w:val="24"/>
          <w:szCs w:val="24"/>
        </w:rPr>
        <w:fldChar w:fldCharType="end"/>
      </w:r>
      <w:r w:rsidRPr="008B713B">
        <w:rPr>
          <w:rFonts w:ascii="Calibri" w:hAnsi="Calibri" w:cs="Calibri"/>
          <w:sz w:val="24"/>
          <w:szCs w:val="24"/>
        </w:rPr>
        <w:t>. This framework is essential for addressing social and environmental crises more effectively by understanding how individuals and collectives can experience greater efficacy. The framework builds on foundational theories of efficacy</w:t>
      </w:r>
      <w:r w:rsidR="006D55B7">
        <w:rPr>
          <w:rFonts w:ascii="Calibri" w:hAnsi="Calibri" w:cs="Calibri"/>
          <w:sz w:val="24"/>
          <w:szCs w:val="24"/>
        </w:rPr>
        <w:t xml:space="preserve"> </w:t>
      </w:r>
      <w:r w:rsidR="006D55B7">
        <w:rPr>
          <w:rFonts w:ascii="Calibri" w:hAnsi="Calibri" w:cs="Calibri"/>
          <w:sz w:val="24"/>
          <w:szCs w:val="24"/>
        </w:rPr>
        <w:fldChar w:fldCharType="begin"/>
      </w:r>
      <w:r w:rsidR="00AC2F27">
        <w:rPr>
          <w:rFonts w:ascii="Calibri" w:hAnsi="Calibri" w:cs="Calibri"/>
          <w:sz w:val="24"/>
          <w:szCs w:val="24"/>
        </w:rPr>
        <w:instrText xml:space="preserve"> ADDIN ZOTERO_ITEM CSL_CITATION {"citationID":"SosI3nkb","properties":{"formattedCitation":"(Bandura, 1978; Skinner, 1991)","plainCitation":"(Bandura, 1978; Skinner, 1991)","noteIndex":0},"citationItems":[{"id":1263,"uris":["http://zotero.org/users/6175602/items/3UGI77LY"],"itemData":{"id":1263,"type":"article-journal","abstract":"The present article presents an integrative theoretical framework to explain and to predict psychological changes achieved by different modes of treatment. This theory states that psychological procedures, whatever their form, alter the level and strength of self-efficacy. It is hypothesized that expectations of personal efficacy determine whether coping behavior will be initiated, how much effort will be expended, and how long it will be sustained in the face of obstacles and aversive experiences. Persistence in activities that are subjectively threatening but in fact relatively safe produces, through experiences of mastery, further enhancement of self-efficacy and corresponding reductions in defensive behavior. In the propose model, expectations of personal efficacy are derived from four principal sources of information: performance accomplishments, vicarious experience, verbal persuasion, and physiological states. The more dependable the experiential sources, the greater are the changes in perceive self-efficacy. A number of factors are identified as influencing the cognitive processing of efficacy information arising from enactive, vicarious, exhortative, and emotive sources. The differential power of diverse therapeutic procedures is analyzed in terms of the postulated cognitive mechanism of operation. Findings are reported from microanalyses of enactive, vicarious, and emotive modes of treatment that support the hypothesized relationship between perceived self-efficacy and behavioral changes. Possible directions for further research are discussed.","collection-title":"Perceived Self-Efficacy: Analyses of Bandura's Theory of Behavioural Change","container-title":"Advances in Behaviour Research and Therapy","DOI":"10.1016/0146-6402(78)90002-4","ISSN":"0146-6402","issue":"4","journalAbbreviation":"Advances in Behaviour Research and Therapy","page":"139-161","source":"ScienceDirect","title":"Self-efficacy: Toward a unifying theory of behavioral change","title-short":"Self-efficacy","volume":"1","author":[{"family":"Bandura","given":"Albert"}],"issued":{"date-parts":[["1978",1,1]]}}},{"id":1264,"uris":["http://zotero.org/users/6175602/items/YUHF8KAH"],"itemData":{"id":1264,"type":"chapter","abstract":"focuses on perceived control, a set of beliefs found to influence individuals' goal-directed transactions with the environment / present a model of how perceived control can influence individual development / it will be argued that the structure of control-related beliefs changes with age, resulting in \"reorganizations\" in the dynamic interrelations among the elements of the functional model  the presentation of the complete model proceeds in three sections: the conceptualization of perceived control, the model of how beliefs guide development, and a discussion of how developmental change reorganizes these relations / within each section, the same format will be followed / first, the organizing framework of that section will be explicated; second, empirical evidence for that part of the model will be summarized; and third, it will be placed within the context of existing theories and research (PsycInfo Database Record (c) 2021 APA, all rights reserved)","collection-title":"The Minnesota symposia on child psychology, Vol. 23","container-title":"Self processes and development","event-place":"Hillsdale, NJ, US","ISBN":"978-0-8058-0695-3","page":"167-216","publisher":"Lawrence Erlbaum Associates, Inc","publisher-place":"Hillsdale, NJ, US","source":"APA PsycNet","title":"Development and perceived control: A dynamic model of action in context","title-short":"Development and perceived control","author":[{"family":"Skinner","given":"Ellen A."}],"issued":{"date-parts":[["1991"]]}}}],"schema":"https://github.com/citation-style-language/schema/raw/master/csl-citation.json"} </w:instrText>
      </w:r>
      <w:r w:rsidR="006D55B7">
        <w:rPr>
          <w:rFonts w:ascii="Calibri" w:hAnsi="Calibri" w:cs="Calibri"/>
          <w:sz w:val="24"/>
          <w:szCs w:val="24"/>
        </w:rPr>
        <w:fldChar w:fldCharType="separate"/>
      </w:r>
      <w:r w:rsidR="00AC2F27" w:rsidRPr="00AC2F27">
        <w:rPr>
          <w:rFonts w:ascii="Calibri" w:hAnsi="Calibri" w:cs="Calibri"/>
          <w:sz w:val="24"/>
        </w:rPr>
        <w:t xml:space="preserve">(Bandura, 1978; </w:t>
      </w:r>
      <w:r w:rsidR="00AC2F27" w:rsidRPr="00AC2F27">
        <w:rPr>
          <w:rFonts w:ascii="Calibri" w:hAnsi="Calibri" w:cs="Calibri"/>
          <w:sz w:val="24"/>
        </w:rPr>
        <w:lastRenderedPageBreak/>
        <w:t>Skinner, 1991)</w:t>
      </w:r>
      <w:r w:rsidR="006D55B7">
        <w:rPr>
          <w:rFonts w:ascii="Calibri" w:hAnsi="Calibri" w:cs="Calibri"/>
          <w:sz w:val="24"/>
          <w:szCs w:val="24"/>
        </w:rPr>
        <w:fldChar w:fldCharType="end"/>
      </w:r>
      <w:r w:rsidRPr="008B713B">
        <w:rPr>
          <w:rFonts w:ascii="Calibri" w:hAnsi="Calibri" w:cs="Calibri"/>
          <w:sz w:val="24"/>
          <w:szCs w:val="24"/>
        </w:rPr>
        <w:t xml:space="preserve">, and is structured around three core components - agents, actions, and aims. The self-categorised agent can be an individual (personal self) or a collective group (an ingroup), where the group is part of an individual's self-concept influenced by social and emotional group membership. This distinction allows for the exploration of both personal and collective efficacy. Individuals can move flexibly from categorising themselves as individuals to members of groups </w:t>
      </w:r>
      <w:r w:rsidR="00A37622">
        <w:rPr>
          <w:rFonts w:ascii="Calibri" w:hAnsi="Calibri" w:cs="Calibri"/>
          <w:sz w:val="24"/>
          <w:szCs w:val="24"/>
        </w:rPr>
        <w:fldChar w:fldCharType="begin"/>
      </w:r>
      <w:r w:rsidR="00A37622">
        <w:rPr>
          <w:rFonts w:ascii="Calibri" w:hAnsi="Calibri" w:cs="Calibri"/>
          <w:sz w:val="24"/>
          <w:szCs w:val="24"/>
        </w:rPr>
        <w:instrText xml:space="preserve"> ADDIN ZOTERO_ITEM CSL_CITATION {"citationID":"ugZ94LKO","properties":{"formattedCitation":"(Cocking &amp; Drury, 2004)","plainCitation":"(Cocking &amp; Drury, 2004)","noteIndex":0},"citationItems":[{"id":1266,"uris":["http://zotero.org/users/6175602/items/L36IXIED"],"itemData":{"id":1266,"type":"article-journal","abstract":"A questionnaire survey (n= 90) and an interview study (n= 63) of anti-roads activities suggest links between participation and generalization. First, level of activism predicted whether others were perceived as encouraged to act environmentally. Second, participants' failure to stop construction of the road did not prevent them from developing related feelings of efficacy. Participants' perceptions of out-groups were also examined. Participants were least hostile to those they defined as sharing their interests and capable of subjective change; they were most hostile to those seen as betraying the environmental cause. Practically, these findings suggest the importance of collective participation. Theoretically, the paper argues that efficacy theory be developed to acknowledge that identity can be collective as well as individual.","container-title":"Journal of Applied Social Psychology","DOI":"10.1111/j.1559-1816.2004.tb02555.x","ISSN":"1559-1816","issue":"2","language":"en","note":"_eprint: https://onlinelibrary.wiley.com/doi/pdf/10.1111/j.1559-1816.2004.tb02555.x","page":"417-444","source":"Wiley Online Library","title":"Generalization of Efficacy as a Function of Collective Action and Intergroup Relations: Involvement in an Anti-Roads Struggle","title-short":"Generalization of Efficacy as a Function of Collective Action and Intergroup Relations","volume":"34","author":[{"family":"Cocking","given":"Christopher"},{"family":"Drury","given":"John"}],"issued":{"date-parts":[["2004"]]}}}],"schema":"https://github.com/citation-style-language/schema/raw/master/csl-citation.json"} </w:instrText>
      </w:r>
      <w:r w:rsidR="00A37622">
        <w:rPr>
          <w:rFonts w:ascii="Calibri" w:hAnsi="Calibri" w:cs="Calibri"/>
          <w:sz w:val="24"/>
          <w:szCs w:val="24"/>
        </w:rPr>
        <w:fldChar w:fldCharType="separate"/>
      </w:r>
      <w:r w:rsidR="00A37622" w:rsidRPr="00A37622">
        <w:rPr>
          <w:rFonts w:ascii="Calibri" w:hAnsi="Calibri" w:cs="Calibri"/>
          <w:sz w:val="24"/>
        </w:rPr>
        <w:t>(Cocking &amp; Drury, 2004)</w:t>
      </w:r>
      <w:r w:rsidR="00A37622">
        <w:rPr>
          <w:rFonts w:ascii="Calibri" w:hAnsi="Calibri" w:cs="Calibri"/>
          <w:sz w:val="24"/>
          <w:szCs w:val="24"/>
        </w:rPr>
        <w:fldChar w:fldCharType="end"/>
      </w:r>
      <w:r w:rsidRPr="008B713B">
        <w:rPr>
          <w:rFonts w:ascii="Calibri" w:hAnsi="Calibri" w:cs="Calibri"/>
          <w:sz w:val="24"/>
          <w:szCs w:val="24"/>
        </w:rPr>
        <w:t>, reflecting different underlying social identities. The agentic aspect signals the possibility of being able to effect change. The second aspect of the framework, intentional action, emphasises that efficacy involves deliberate, measurable actions aimed at achieving specific outcomes.</w:t>
      </w:r>
      <w:r w:rsidR="00B469E6" w:rsidRPr="00840A2C">
        <w:rPr>
          <w:rFonts w:ascii="Calibri" w:hAnsi="Calibri" w:cs="Calibri"/>
          <w:sz w:val="24"/>
          <w:szCs w:val="24"/>
        </w:rPr>
        <w:t xml:space="preserve"> </w:t>
      </w:r>
      <w:r w:rsidRPr="008B713B">
        <w:rPr>
          <w:rFonts w:ascii="Calibri" w:hAnsi="Calibri" w:cs="Calibri"/>
          <w:sz w:val="24"/>
          <w:szCs w:val="24"/>
        </w:rPr>
        <w:t>These actions are defined not only by their intentionality, but also by their self-determined nature, level of abstraction and content. This component emphasises the proactive nature of efficacy in influencing and changing environmental and social conditions</w:t>
      </w:r>
      <w:r w:rsidR="00A37622">
        <w:rPr>
          <w:rFonts w:ascii="Calibri" w:hAnsi="Calibri" w:cs="Calibri"/>
          <w:sz w:val="24"/>
          <w:szCs w:val="24"/>
        </w:rPr>
        <w:t xml:space="preserve"> </w:t>
      </w:r>
      <w:r w:rsidR="00A37622">
        <w:rPr>
          <w:rFonts w:ascii="Calibri" w:hAnsi="Calibri" w:cs="Calibri"/>
          <w:sz w:val="24"/>
          <w:szCs w:val="24"/>
        </w:rPr>
        <w:fldChar w:fldCharType="begin"/>
      </w:r>
      <w:r w:rsidR="00A37622">
        <w:rPr>
          <w:rFonts w:ascii="Calibri" w:hAnsi="Calibri" w:cs="Calibri"/>
          <w:sz w:val="24"/>
          <w:szCs w:val="24"/>
        </w:rPr>
        <w:instrText xml:space="preserve"> ADDIN ZOTERO_ITEM CSL_CITATION {"citationID":"lg8aqW5e","properties":{"formattedCitation":"(Hamann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A37622">
        <w:rPr>
          <w:rFonts w:ascii="Calibri" w:hAnsi="Calibri" w:cs="Calibri"/>
          <w:sz w:val="24"/>
          <w:szCs w:val="24"/>
        </w:rPr>
        <w:fldChar w:fldCharType="separate"/>
      </w:r>
      <w:r w:rsidR="00A37622" w:rsidRPr="00A37622">
        <w:rPr>
          <w:rFonts w:ascii="Calibri" w:hAnsi="Calibri" w:cs="Calibri"/>
          <w:sz w:val="24"/>
        </w:rPr>
        <w:t>(Hamann et al., 2024)</w:t>
      </w:r>
      <w:r w:rsidR="00A37622">
        <w:rPr>
          <w:rFonts w:ascii="Calibri" w:hAnsi="Calibri" w:cs="Calibri"/>
          <w:sz w:val="24"/>
          <w:szCs w:val="24"/>
        </w:rPr>
        <w:fldChar w:fldCharType="end"/>
      </w:r>
      <w:r w:rsidRPr="008B713B">
        <w:rPr>
          <w:rFonts w:ascii="Calibri" w:hAnsi="Calibri" w:cs="Calibri"/>
          <w:sz w:val="24"/>
          <w:szCs w:val="24"/>
        </w:rPr>
        <w:t>. Finally, the Triple-A framework focuses on aims, which are cognitive representations of desired outcomes, whether personal or collective. Aims are essential because they focus attention, motivate, and promote persistence and skill development</w:t>
      </w:r>
      <w:r w:rsidR="00A37622">
        <w:rPr>
          <w:rFonts w:ascii="Calibri" w:hAnsi="Calibri" w:cs="Calibri"/>
          <w:sz w:val="24"/>
          <w:szCs w:val="24"/>
        </w:rPr>
        <w:t xml:space="preserve"> </w:t>
      </w:r>
      <w:r w:rsidR="00A37622">
        <w:rPr>
          <w:rFonts w:ascii="Calibri" w:hAnsi="Calibri" w:cs="Calibri"/>
          <w:sz w:val="24"/>
          <w:szCs w:val="24"/>
        </w:rPr>
        <w:fldChar w:fldCharType="begin"/>
      </w:r>
      <w:r w:rsidR="00A37622">
        <w:rPr>
          <w:rFonts w:ascii="Calibri" w:hAnsi="Calibri" w:cs="Calibri"/>
          <w:sz w:val="24"/>
          <w:szCs w:val="24"/>
        </w:rPr>
        <w:instrText xml:space="preserve"> ADDIN ZOTERO_ITEM CSL_CITATION {"citationID":"flvctzIm","properties":{"formattedCitation":"(Locke &amp; Latham, 2002)","plainCitation":"(Locke &amp; Latham, 2002)","noteIndex":0},"citationItems":[{"id":1268,"uris":["http://zotero.org/users/6175602/items/N8NFBUR8"],"itemData":{"id":1268,"type":"article-journal","abstract":"The authors summarize 35 years of empirical research on goal-setting theory. They describe the core findings of the theory, the mechanisms by which goals operate, moderators of goal effects, the relation of goals and satisfaction, and the role of goals as mediators of incentives. The external validity and practical significance of goal-setting theory are explained, and new directions in goal-setting research are discussed. The relationships of goal setting to other theories are described as are the theory's limitations. (PsycInfo Database Record (c) 2020 APA, all rights reserved)","container-title":"American Psychologist","DOI":"10.1037/0003-066X.57.9.705","ISSN":"1935-990X","issue":"9","note":"publisher-place: US\npublisher: American Psychological Association","page":"705-717","source":"APA PsycNet","title":"Building a practically useful theory of goal setting and task motivation: A 35-year odyssey","title-short":"Building a practically useful theory of goal setting and task motivation","volume":"57","author":[{"family":"Locke","given":"Edwin A."},{"family":"Latham","given":"Gary P."}],"issued":{"date-parts":[["2002"]]}}}],"schema":"https://github.com/citation-style-language/schema/raw/master/csl-citation.json"} </w:instrText>
      </w:r>
      <w:r w:rsidR="00A37622">
        <w:rPr>
          <w:rFonts w:ascii="Calibri" w:hAnsi="Calibri" w:cs="Calibri"/>
          <w:sz w:val="24"/>
          <w:szCs w:val="24"/>
        </w:rPr>
        <w:fldChar w:fldCharType="separate"/>
      </w:r>
      <w:r w:rsidR="00A37622" w:rsidRPr="00A37622">
        <w:rPr>
          <w:rFonts w:ascii="Calibri" w:hAnsi="Calibri" w:cs="Calibri"/>
          <w:sz w:val="24"/>
        </w:rPr>
        <w:t>(Locke &amp; Latham, 2002)</w:t>
      </w:r>
      <w:r w:rsidR="00A37622">
        <w:rPr>
          <w:rFonts w:ascii="Calibri" w:hAnsi="Calibri" w:cs="Calibri"/>
          <w:sz w:val="24"/>
          <w:szCs w:val="24"/>
        </w:rPr>
        <w:fldChar w:fldCharType="end"/>
      </w:r>
      <w:r w:rsidRPr="008B713B">
        <w:rPr>
          <w:rFonts w:ascii="Calibri" w:hAnsi="Calibri" w:cs="Calibri"/>
          <w:sz w:val="24"/>
          <w:szCs w:val="24"/>
        </w:rPr>
        <w:t>. The framework emphasises the bidirectional influence between efficacy and aims, with perceptions of efficacy influencing the choice of aims and, conversely, the nature of those aims influencing the development and maintenance of efficacy beliefs. This also highlights the importance of aim desirability. Overall, the Triple-A framework not only clarifies the structure of efficacy beliefs, but also enriches theoretical discourse by distinguishing the three efficacy links (agent-action, agent-action-aim, agent-aim) and explicitly applying them to both personal and collective contexts</w:t>
      </w:r>
      <w:r w:rsidR="00D90CC4">
        <w:rPr>
          <w:rFonts w:ascii="Calibri" w:hAnsi="Calibri" w:cs="Calibri"/>
          <w:sz w:val="24"/>
          <w:szCs w:val="24"/>
        </w:rPr>
        <w:t xml:space="preserve"> </w:t>
      </w:r>
      <w:r w:rsidR="00D90CC4">
        <w:rPr>
          <w:rFonts w:ascii="Calibri" w:hAnsi="Calibri" w:cs="Calibri"/>
          <w:sz w:val="24"/>
          <w:szCs w:val="24"/>
        </w:rPr>
        <w:fldChar w:fldCharType="begin"/>
      </w:r>
      <w:r w:rsidR="00D90CC4">
        <w:rPr>
          <w:rFonts w:ascii="Calibri" w:hAnsi="Calibri" w:cs="Calibri"/>
          <w:sz w:val="24"/>
          <w:szCs w:val="24"/>
        </w:rPr>
        <w:instrText xml:space="preserve"> ADDIN ZOTERO_ITEM CSL_CITATION {"citationID":"0xyy17S4","properties":{"formattedCitation":"(Hamann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D90CC4">
        <w:rPr>
          <w:rFonts w:ascii="Calibri" w:hAnsi="Calibri" w:cs="Calibri"/>
          <w:sz w:val="24"/>
          <w:szCs w:val="24"/>
        </w:rPr>
        <w:fldChar w:fldCharType="separate"/>
      </w:r>
      <w:r w:rsidR="00D90CC4" w:rsidRPr="00D90CC4">
        <w:rPr>
          <w:rFonts w:ascii="Calibri" w:hAnsi="Calibri" w:cs="Calibri"/>
          <w:sz w:val="24"/>
        </w:rPr>
        <w:t>(Hamann et al., 2024)</w:t>
      </w:r>
      <w:r w:rsidR="00D90CC4">
        <w:rPr>
          <w:rFonts w:ascii="Calibri" w:hAnsi="Calibri" w:cs="Calibri"/>
          <w:sz w:val="24"/>
          <w:szCs w:val="24"/>
        </w:rPr>
        <w:fldChar w:fldCharType="end"/>
      </w:r>
      <w:r w:rsidRPr="008B713B">
        <w:rPr>
          <w:rFonts w:ascii="Calibri" w:hAnsi="Calibri" w:cs="Calibri"/>
          <w:sz w:val="24"/>
          <w:szCs w:val="24"/>
        </w:rPr>
        <w:t>. This approach promises to advance the practical application of efficacy theory in addressing broader social and environmental challenges by emphasising the interconnectedness of beliefs, actions, and aims in achieving sustainable change. Given the advantages of the efficacy framework, it represents an interesting complement to the measurement of sustainability competencies.</w:t>
      </w:r>
    </w:p>
    <w:p w14:paraId="3E7ACA59" w14:textId="18A1A484" w:rsidR="00E944F0" w:rsidRDefault="00E944F0" w:rsidP="00B469E6">
      <w:pPr>
        <w:jc w:val="both"/>
        <w:rPr>
          <w:rFonts w:ascii="Calibri" w:hAnsi="Calibri" w:cs="Calibri"/>
          <w:sz w:val="24"/>
          <w:szCs w:val="24"/>
        </w:rPr>
      </w:pPr>
      <w:r w:rsidRPr="00E944F0">
        <w:rPr>
          <w:rFonts w:ascii="Calibri" w:hAnsi="Calibri" w:cs="Calibri"/>
          <w:sz w:val="24"/>
          <w:szCs w:val="24"/>
        </w:rPr>
        <w:t>Sustainability competencies do not only depend on the individual. As early as 1997, Albert Bandura described a collective sense of powerlessness in an increasingly interdependent world and argued that in the face of multiple crises, there is a growing need for collective as well as individual action</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{"citationID":"JGPy2bTG","properties":{"formattedCitation":"(Bandura, 1997)","plainCitation":"(Bandura, 1997)","noteIndex":0},"citationItems":[{"id":1270,"uris":["http://zotero.org/users/6175602/items/96TPVUXC"],"itemData":{"id":1270,"type":"book","publisher":"Freeman &amp; Company","title":"Self-efficacy: The exercise of control.","author":[{"family":"Bandura","given":"Albert"}],"issued":{"date-parts":[["1997"]]}}}],"schema":"https://github.com/citation-style-language/schema/raw/master/csl-citation.json"}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(Bandura, 1997)</w:t>
      </w:r>
      <w:r w:rsidR="003B3F50">
        <w:rPr>
          <w:rFonts w:ascii="Calibri" w:hAnsi="Calibri" w:cs="Calibri"/>
          <w:sz w:val="24"/>
          <w:szCs w:val="24"/>
        </w:rPr>
        <w:fldChar w:fldCharType="end"/>
      </w:r>
      <w:r w:rsidRPr="00E944F0">
        <w:rPr>
          <w:rFonts w:ascii="Calibri" w:hAnsi="Calibri" w:cs="Calibri"/>
          <w:sz w:val="24"/>
          <w:szCs w:val="24"/>
        </w:rPr>
        <w:t>. Many people do not act collectively against climate change or social inequality because they feel that they or their group cannot make a difference. Understanding how people come to feel that they can make a difference (a sense of efficacy) is therefore crucial to motivating people to act together for a better world</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{"citationID":"J9WeEIPp","properties":{"formattedCitation":"(Hamann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(Hamann et al., 2024)</w:t>
      </w:r>
      <w:r w:rsidR="003B3F50">
        <w:rPr>
          <w:rFonts w:ascii="Calibri" w:hAnsi="Calibri" w:cs="Calibri"/>
          <w:sz w:val="24"/>
          <w:szCs w:val="24"/>
        </w:rPr>
        <w:fldChar w:fldCharType="end"/>
      </w:r>
      <w:r w:rsidRPr="00E944F0">
        <w:rPr>
          <w:rFonts w:ascii="Calibri" w:hAnsi="Calibri" w:cs="Calibri"/>
          <w:sz w:val="24"/>
          <w:szCs w:val="24"/>
        </w:rPr>
        <w:t xml:space="preserve">. The nature of the environmental and social crisis also requires collective action. Correlational studies have found that personal efficacy predicts individual behaviour and collective efficacy predicts activist behaviour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{"citationID":"7noKp2Wu","properties":{"formattedCitation":"(Hamann &amp; Reese, 2020)","plainCitation":"(Hamann &amp; Reese, 2020)","noteIndex":0},"citationItems":[{"id":1127,"uris":["http://zotero.org/users/6175602/items/2FZLYNNS"],"itemData":{"id":1127,"type":"article-journal","abstract":"Efficacy beliefs are important drivers of human behavior. In the sustainability domain, self-, collective, and participatory efficacy tend to predict pro-environmental behavior (PEB). Yet, few studies consider efficacy actors and goals simultaneously, and it is uncertain whether specific efficacy beliefs are more or less predictive of specific PEB types (i.e., private, public, or activist). Therefore, we implemented a 2 × 2 plus baseline design (Study 1, N = 259), presenting participants with success stories and imagination tasks that highlighted either self- or collective efficacy (I vs. we) and either a direct or indirect goal (act environmentally friendly vs. encourage others to act). Although the manipulations did not affect goal efficacy beliefs or PEB intentions, goal efficacy beliefs and positive affect predicted PEB intentions, and specific efficacy behavior patterns occurred. Study 2 (N = 1,143) replicated most of the findings from Study 1: Self-efficacy predicted private PEB, and participatory efficacy predicted activist PEB. The relationship between collective efficacy and public PEB remains unclear. Our results highlight the importance of differentiating actors and goals in efficacy research and behavior types in general.","container-title":"Journal of Social Issues","DOI":"10.1111/josi.12369","ISSN":"1540-4560","issue":"1","language":"en","license":"© 2020 The Authors. Journal of Social Issues published by Wiley Periodicals, Inc. on behalf of Society for the Psychological Study of Social Issues","note":"_eprint: https://onlinelibrary.wiley.com/doi/pdf/10.1111/josi.12369","page":"35-53","source":"Wiley Online Library","title":"My Influence on the World (of Others): Goal Efficacy Beliefs and Efficacy Affect Predict Private, Public, and Activist Pro-environmental Behavior","title-short":"My Influence on the World (of Others)","volume":"76","author":[{"family":"Hamann","given":"Karen R. S."},{"family":"Reese","given":"Gerhard"}],"issued":{"date-parts":[["2020"]]}}}],"schema":"https://github.com/citation-style-language/schema/raw/master/csl-citation.json"}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(Hamann &amp; Reese, 2020)</w:t>
      </w:r>
      <w:r w:rsidR="003B3F50">
        <w:rPr>
          <w:rFonts w:ascii="Calibri" w:hAnsi="Calibri" w:cs="Calibri"/>
          <w:sz w:val="24"/>
          <w:szCs w:val="24"/>
        </w:rPr>
        <w:fldChar w:fldCharType="end"/>
      </w:r>
      <w:r w:rsidRPr="00E944F0">
        <w:rPr>
          <w:rFonts w:ascii="Calibri" w:hAnsi="Calibri" w:cs="Calibri"/>
          <w:sz w:val="24"/>
          <w:szCs w:val="24"/>
        </w:rPr>
        <w:t>. Although the pathways and linkages between personal and collective efficacy beliefs are not yet fully understood, research can contribute to practical interventions based on this distinction. Some research suggests a pathway from collective to personal efficacy to private behaviour (</w:t>
      </w:r>
      <w:proofErr w:type="spellStart"/>
      <w:r w:rsidRPr="00E944F0">
        <w:rPr>
          <w:rFonts w:ascii="Calibri" w:hAnsi="Calibri" w:cs="Calibri"/>
          <w:sz w:val="24"/>
          <w:szCs w:val="24"/>
        </w:rPr>
        <w:t>Jugert</w:t>
      </w:r>
      <w:proofErr w:type="spellEnd"/>
      <w:r w:rsidRPr="00E944F0">
        <w:rPr>
          <w:rFonts w:ascii="Calibri" w:hAnsi="Calibri" w:cs="Calibri"/>
          <w:sz w:val="24"/>
          <w:szCs w:val="24"/>
        </w:rPr>
        <w:t xml:space="preserve"> et al., 2016), although this is not yet causally replicable. Experimental studies suggest that ingroup efficacy interventions outperform personal efficacy interventions in influencing behaviour</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{"citationID":"LrUzjozr","properties":{"formattedCitation":"(Jugert et al., 2016)","plainCitation":"(Jugert et al., 2016)","noteIndex":0},"citationItems":[{"id":1274,"uris":["http://zotero.org/users/6175602/items/EY3TXFPJ"],"itemData":{"id":1274,"type":"article-journal","abstract":"We discuss prior findings that enhancing perceptions of collective efficacy encourages pro-environmental behavior. We suggest that collective efficacy manipulations affect pro-environmental intentions through increasing both collective and self-efficacy. Four experiments conducted in Germany and Australia demonstrated that collective efficacy manipulations can increase pro-environmental intentions by increasing the perception that one's group—and, through this, the self—is capable of effecting change. We also provide evidence that collective efficacy manipulations only work when they simultaneously raise self-efficacy. Our findings contribute to the environmental literature by showing the mechanisms through which group efficacy appeals work. Our findings also support theorizing on group-based control by showing that personal control can be derived from group sources.","container-title":"Journal of Environmental Psychology","DOI":"10.1016/j.jenvp.2016.08.003","ISSN":"0272-4944","journalAbbreviation":"Journal of Environmental Psychology","page":"12-23","source":"ScienceDirect","title":"Collective efficacy increases pro-environmental intentions through increasing self-efficacy","volume":"48","author":[{"family":"Jugert","given":"Philipp"},{"family":"Greenaway","given":"Katharine H."},{"family":"Barth","given":"Markus"},{"family":"Büchner","given":"Ronja"},{"family":"Eisentraut","given":"Sarah"},{"family":"Fritsche","given":"Immo"}],"issued":{"date-parts":[["2016",12,1]]}}}],"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w:t>
      </w:r>
      <w:proofErr w:type="spellStart"/>
      <w:r w:rsidR="003B3F50" w:rsidRPr="003B3F50">
        <w:rPr>
          <w:rFonts w:ascii="Calibri" w:hAnsi="Calibri" w:cs="Calibri"/>
          <w:sz w:val="24"/>
        </w:rPr>
        <w:t>Jugert</w:t>
      </w:r>
      <w:proofErr w:type="spellEnd"/>
      <w:r w:rsidR="003B3F50" w:rsidRPr="003B3F50">
        <w:rPr>
          <w:rFonts w:ascii="Calibri" w:hAnsi="Calibri" w:cs="Calibri"/>
          <w:sz w:val="24"/>
        </w:rPr>
        <w:t xml:space="preserve"> et al., 2016)</w:t>
      </w:r>
      <w:r w:rsidR="003B3F50">
        <w:rPr>
          <w:rFonts w:ascii="Calibri" w:hAnsi="Calibri" w:cs="Calibri"/>
          <w:sz w:val="24"/>
          <w:szCs w:val="24"/>
        </w:rPr>
        <w:fldChar w:fldCharType="end"/>
      </w:r>
      <w:r w:rsidR="003B3F50">
        <w:rPr>
          <w:rFonts w:ascii="Calibri" w:hAnsi="Calibri" w:cs="Calibri"/>
          <w:sz w:val="24"/>
          <w:szCs w:val="24"/>
        </w:rPr>
        <w:t>.</w:t>
      </w:r>
      <w:r w:rsidRPr="00E944F0">
        <w:rPr>
          <w:rFonts w:ascii="Calibri" w:hAnsi="Calibri" w:cs="Calibri"/>
          <w:sz w:val="24"/>
          <w:szCs w:val="24"/>
        </w:rPr>
        <w:t xml:space="preserve"> Research could focus on which ingroup efficacy agents are more or less important in specific social and environmental crises, drawing on social identity theory</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{"citationID":"SILnren5","properties":{"formattedCitation":"(Tajfel, 1978)","plainCitation":"(Tajfel, 1978)","noteIndex":0},"citationItems":[{"id":1276,"uris":["http://zotero.org/users/6175602/items/GMMQB5NT"],"itemData":{"id":1276,"type":"book","ISBN":"978-0-12-682550-3","language":"en","note":"Google-Books-ID: Cfi2AAAAIAAJ","number-of-pages":"504","publisher":"European Association of Experimental Social Psychology by Academic Press","source":"Google Books","title":"Differentiation Between Social Groups: Studies in the Social Psychology of Intergroup Relations","title-short":"Differentiation Between Social Groups","author":[{"family":"Tajfel","given":"Henri"}],"issued":{"date-parts":[["1978"]]}}}],"schema":"https://github.com/citation-style-language/schema/raw/master/csl-citation.json"}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(Tajfel, 1978)</w:t>
      </w:r>
      <w:r w:rsidR="003B3F50">
        <w:rPr>
          <w:rFonts w:ascii="Calibri" w:hAnsi="Calibri" w:cs="Calibri"/>
          <w:sz w:val="24"/>
          <w:szCs w:val="24"/>
        </w:rPr>
        <w:fldChar w:fldCharType="end"/>
      </w:r>
      <w:r w:rsidR="003B3F50">
        <w:rPr>
          <w:rFonts w:ascii="Calibri" w:hAnsi="Calibri" w:cs="Calibri"/>
          <w:sz w:val="24"/>
          <w:szCs w:val="24"/>
        </w:rPr>
        <w:t>,</w:t>
      </w:r>
      <w:r w:rsidRPr="00E944F0">
        <w:rPr>
          <w:rFonts w:ascii="Calibri" w:hAnsi="Calibri" w:cs="Calibri"/>
          <w:sz w:val="24"/>
          <w:szCs w:val="24"/>
        </w:rPr>
        <w:t xml:space="preserve"> which characterises different ingroup efficacy agents. Collective efficacy </w:t>
      </w:r>
      <w:r w:rsidRPr="00E944F0">
        <w:rPr>
          <w:rFonts w:ascii="Calibri" w:hAnsi="Calibri" w:cs="Calibri"/>
          <w:sz w:val="24"/>
          <w:szCs w:val="24"/>
        </w:rPr>
        <w:lastRenderedPageBreak/>
        <w:t xml:space="preserve">has been found to be a better predictor of pro-environmental behaviour than </w:t>
      </w:r>
      <w:r w:rsidR="00395A6C">
        <w:rPr>
          <w:rFonts w:ascii="Calibri" w:hAnsi="Calibri" w:cs="Calibri"/>
          <w:sz w:val="24"/>
          <w:szCs w:val="24"/>
        </w:rPr>
        <w:t xml:space="preserve">personal </w:t>
      </w:r>
      <w:r w:rsidRPr="00E944F0">
        <w:rPr>
          <w:rFonts w:ascii="Calibri" w:hAnsi="Calibri" w:cs="Calibri"/>
          <w:sz w:val="24"/>
          <w:szCs w:val="24"/>
        </w:rPr>
        <w:t>efficacy</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{"citationID":"sTXLm15p","properties":{"formattedCitation":"(Chen, 2015)","plainCitation":"(Chen, 2015)","noteIndex":0},"citationItems":[{"id":1183,"uris":["http://zotero.org/users/6175602/items/AIS6F6SM"],"itemData":{"id":1183,"type":"article-journal","abstract":"This study ascertained whether self-efficacy and collective efficacy in the cognitive theory of stress model explains people's self-reported proenvironmental behavior more effectively separately or in combination. A questionnaire study was conducted among 707 Taiwanese respondents. The results of structural equation modeling analysis corroborated previous findings that the cognitive theory of stress model can be applied to environmental problems to effectively explain people's self-reported proenvironmental behavior. Moreover, compared with self-efficacy, collective efficacy is a stronger predictor of people's problem-focused coping and self-reported proenvironmental behavior for respondents in this collectivist cultures; failing to include collective efficacy in the cognitive theory of stress model can reduce the power of the model to explain such behavior. The research results regarding the external validation and internal validation of the cognitive theory of stress model were elaborated in this study to more effectively understand people's self-reported proenvironmental behavior.","container-title":"Journal of Environmental Psychology","DOI":"10.1016/j.jenvp.2015.02.002","ISSN":"0272-4944","journalAbbreviation":"Journal of Environmental Psychology","page":"66-75","source":"ScienceDirect","title":"Self-efficacy or collective efficacy within the cognitive theory of stress model: Which more effectively explains people's self-reported proenvironmental behavior?","title-short":"Self-efficacy or collective efficacy within the cognitive theory of stress model","volume":"42","author":[{"family":"Chen","given":"Mei-Fang"}],"issued":{"date-parts":[["2015",6,1]]}}}],"schema":"https://github.com/citation-style-language/schema/raw/master/csl-citation.json"}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(Chen, 2015)</w:t>
      </w:r>
      <w:r w:rsidR="003B3F50">
        <w:rPr>
          <w:rFonts w:ascii="Calibri" w:hAnsi="Calibri" w:cs="Calibri"/>
          <w:sz w:val="24"/>
          <w:szCs w:val="24"/>
        </w:rPr>
        <w:fldChar w:fldCharType="end"/>
      </w:r>
      <w:r w:rsidR="00B469E6" w:rsidRPr="00840A2C">
        <w:rPr>
          <w:rFonts w:ascii="Calibri" w:hAnsi="Calibri" w:cs="Calibri"/>
          <w:sz w:val="24"/>
          <w:szCs w:val="24"/>
        </w:rPr>
        <w:t xml:space="preserve">. </w:t>
      </w:r>
      <w:r w:rsidRPr="00E944F0">
        <w:rPr>
          <w:rFonts w:ascii="Calibri" w:hAnsi="Calibri" w:cs="Calibri"/>
          <w:sz w:val="24"/>
          <w:szCs w:val="24"/>
        </w:rPr>
        <w:t>Furthermore, specific collective and personal efficacy perceptions have been used to measure sustainable intentions, even when controlling for attitudes and social norms, suggesting that collective efficacy beliefs are particularly relevant for achieving environmental goals</w:t>
      </w:r>
      <w:r w:rsidR="003B3F50">
        <w:rPr>
          <w:rFonts w:ascii="Calibri" w:hAnsi="Calibri" w:cs="Calibri"/>
          <w:sz w:val="24"/>
          <w:szCs w:val="24"/>
        </w:rPr>
        <w:t xml:space="preserve"> </w:t>
      </w:r>
      <w:r w:rsidR="003B3F50">
        <w:rPr>
          <w:rFonts w:ascii="Calibri" w:hAnsi="Calibri" w:cs="Calibri"/>
          <w:sz w:val="24"/>
          <w:szCs w:val="24"/>
        </w:rPr>
        <w:fldChar w:fldCharType="begin"/>
      </w:r>
      <w:r w:rsidR="003B3F50">
        <w:rPr>
          <w:rFonts w:ascii="Calibri" w:hAnsi="Calibri" w:cs="Calibri"/>
          <w:sz w:val="24"/>
          <w:szCs w:val="24"/>
        </w:rPr>
        <w:instrText xml:space="preserve"> ADDIN ZOTERO_ITEM CSL_CITATION {"citationID":"MTslgyS9","properties":{"formattedCitation":"(Reese &amp; Junge, 2017)","plainCitation":"(Reese &amp; Junge, 2017)","noteIndex":0},"citationItems":[{"id":1170,"uris":["http://zotero.org/users/6175602/items/J59DLUB4"],"itemData":{"id":1170,"type":"article-journal","abstract":"Collective efficacy—the belief that one’s group is capable of affecting relevant aspects of its environment—has been highlighted as an important predictor of sustainable behavior. It increases people’s collective action tendencies, and is important for fostering environmental behavioral change beyond self-efficacy beliefs. The current study addresses two primary goals. First, we tested whether the difficulty of a task increased collective efficacy, and thereby environmental intentions. Second, we explored how collective and self-efficacy in concert predict such intentions. In a combined field-and-survey study, 165 voluntary participants took part in a plastic reduction challenge that was pretested as easy, moderate, or difficult. After being confronted with the task, participants completed an online questionnaire in which, among other variables, specific and general self-efficacy, collective efficacy, and pro-environmental intentions were measured—both general and plastic-reduction specific. Results revealed that (a) collective efficacy was significantly stronger when task difficulty was moderate rather than easy or difficult; and (b) that through specific collective and self-efficacy perceptions, sustainable intentions were gauged—even when controlling for attitudes and social norms. These findings suggest that collective efficacy beliefs are particularly relevant for attaining environmental goals that are neither too easy nor too difficult, and could thus be valuable for communication and policy strategies.","container-title":"Sustainability","DOI":"10.3390/su9020200","ISSN":"2071-1050","issue":"2","language":"en","license":"http://creativecommons.org/licenses/by/3.0/","note":"number: 2\npublisher: Multidisciplinary Digital Publishing Institute","page":"200","source":"www.mdpi.com","title":"Keep on Rockin’ in a (Plastic-)Free World: Collective Efficacy and Pro-Environmental Intentions as a Function of Task Difficulty","title-short":"Keep on Rockin’ in a (Plastic-)Free World","volume":"9","author":[{"family":"Reese","given":"Gerhard"},{"family":"Junge","given":"Eva A."}],"issued":{"date-parts":[["2017",2]]}}}],"schema":"https://github.com/citation-style-language/schema/raw/master/csl-citation.json"} </w:instrText>
      </w:r>
      <w:r w:rsidR="003B3F50">
        <w:rPr>
          <w:rFonts w:ascii="Calibri" w:hAnsi="Calibri" w:cs="Calibri"/>
          <w:sz w:val="24"/>
          <w:szCs w:val="24"/>
        </w:rPr>
        <w:fldChar w:fldCharType="separate"/>
      </w:r>
      <w:r w:rsidR="003B3F50" w:rsidRPr="003B3F50">
        <w:rPr>
          <w:rFonts w:ascii="Calibri" w:hAnsi="Calibri" w:cs="Calibri"/>
          <w:sz w:val="24"/>
        </w:rPr>
        <w:t>(Reese &amp; Junge, 2017)</w:t>
      </w:r>
      <w:r w:rsidR="003B3F50">
        <w:rPr>
          <w:rFonts w:ascii="Calibri" w:hAnsi="Calibri" w:cs="Calibri"/>
          <w:sz w:val="24"/>
          <w:szCs w:val="24"/>
        </w:rPr>
        <w:fldChar w:fldCharType="end"/>
      </w:r>
      <w:r w:rsidRPr="00E944F0">
        <w:rPr>
          <w:rFonts w:ascii="Calibri" w:hAnsi="Calibri" w:cs="Calibri"/>
          <w:sz w:val="24"/>
          <w:szCs w:val="24"/>
        </w:rPr>
        <w:t>. Measuring sustainability competenc</w:t>
      </w:r>
      <w:r w:rsidR="006315A1">
        <w:rPr>
          <w:rFonts w:ascii="Calibri" w:hAnsi="Calibri" w:cs="Calibri"/>
          <w:sz w:val="24"/>
          <w:szCs w:val="24"/>
        </w:rPr>
        <w:t>i</w:t>
      </w:r>
      <w:r w:rsidRPr="00E944F0">
        <w:rPr>
          <w:rFonts w:ascii="Calibri" w:hAnsi="Calibri" w:cs="Calibri"/>
          <w:sz w:val="24"/>
          <w:szCs w:val="24"/>
        </w:rPr>
        <w:t>e</w:t>
      </w:r>
      <w:r w:rsidR="006315A1">
        <w:rPr>
          <w:rFonts w:ascii="Calibri" w:hAnsi="Calibri" w:cs="Calibri"/>
          <w:sz w:val="24"/>
          <w:szCs w:val="24"/>
        </w:rPr>
        <w:t>s</w:t>
      </w:r>
      <w:r w:rsidRPr="00E944F0">
        <w:rPr>
          <w:rFonts w:ascii="Calibri" w:hAnsi="Calibri" w:cs="Calibri"/>
          <w:sz w:val="24"/>
          <w:szCs w:val="24"/>
        </w:rPr>
        <w:t xml:space="preserve"> may benefit from including efficacy beliefs as an outcome target at both the personal and collective levels.</w:t>
      </w:r>
    </w:p>
    <w:p w14:paraId="7A7BD845" w14:textId="5FFDD42A" w:rsidR="00B469E6" w:rsidRPr="00840A2C" w:rsidRDefault="006C0C0B" w:rsidP="00B469E6">
      <w:pPr>
        <w:jc w:val="both"/>
        <w:rPr>
          <w:rFonts w:ascii="Calibri" w:hAnsi="Calibri" w:cs="Calibri"/>
          <w:sz w:val="24"/>
          <w:szCs w:val="24"/>
        </w:rPr>
      </w:pPr>
      <w:r w:rsidRPr="006C0C0B">
        <w:rPr>
          <w:rFonts w:ascii="Calibri" w:hAnsi="Calibri" w:cs="Calibri"/>
          <w:sz w:val="24"/>
          <w:szCs w:val="24"/>
        </w:rPr>
        <w:t xml:space="preserve">Sustainability competencies are not only dependent on internal factors. The distinction between action- and aim-focused efficacy beliefs is interesting and relevant because it provides a clearer understanding of how beliefs about personal and collective capabilities translate into behaviour and goal attainment. Changes in sustainability competencies, particularly efficacy beliefs, are dependent on feedback from the environment. The Triple-A framework allows for a distinction between action and aim-focused efficacy linkages, with agent-action efficacy more closely linked to actual behavioural costs, socio-economic circumstances and impactful behaviours, whereas agent-aim efficacy is more closely linked to attitudes, goals, visions and intentional behaviours </w:t>
      </w:r>
      <w:r w:rsidR="00D64864">
        <w:rPr>
          <w:rFonts w:ascii="Calibri" w:hAnsi="Calibri" w:cs="Calibri"/>
          <w:sz w:val="24"/>
          <w:szCs w:val="24"/>
        </w:rPr>
        <w:fldChar w:fldCharType="begin"/>
      </w:r>
      <w:r w:rsidR="00D64864">
        <w:rPr>
          <w:rFonts w:ascii="Calibri" w:hAnsi="Calibri" w:cs="Calibri"/>
          <w:sz w:val="24"/>
          <w:szCs w:val="24"/>
        </w:rPr>
        <w:instrText xml:space="preserve"> ADDIN ZOTERO_ITEM CSL_CITATION {"citationID":"7NCyHqpk","properties":{"formattedCitation":"(Bain et al., 2013; Bamberg &amp; Rees, 2015)","plainCitation":"(Bain et al., 2013; Bamberg &amp; Rees, 2015)","noteIndex":0},"citationItems":[{"id":1280,"uris":["http://zotero.org/users/6175602/items/FNWURP3U"],"itemData":{"id":1280,"type":"article-journal","abstract":"We identified the active ingredients in people’s visions of society’s future (“collective futures”) that could drive political behavior in the present. In eight studies (N = 595), people imagined society in 2050 where climate change was mitigated (Study 1), abortion laws relaxed (Study 2), marijuana legalized (Study 3), or the power of different religious groups had increased (Studies 4-8). Participants rated how this future society would differ from today in terms of societal-level dysfunction and development (e.g., crime, inequality, education, technology), people’s character (warmth, competence, morality), and their values (e.g., conservation, self-transcendence). These measures were related to present-day attitudes/intentions that would promote/prevent this future (e.g., act on climate change, vote for a Muslim politician). A projection about benevolence in society (i.e., warmth/morality of people’s character) was the only dimension consistently and uniquely associated with present-day attitudes and intentions across contexts. Implications for social change theories, political communication, and policy design are discussed.","container-title":"Personality and Social Psychology Bulletin","DOI":"10.1177/0146167213478200","ISSN":"0146-1672","issue":"4","journalAbbreviation":"Pers Soc Psychol Bull","language":"en","note":"publisher: SAGE Publications Inc","page":"523-539","source":"SAGE Journals","title":"Collective Futures: How Projections About the Future of Society Are Related to Actions and Attitudes Supporting Social Change","title-short":"Collective Futures","volume":"39","author":[{"family":"Bain","given":"Paul G."},{"family":"Hornsey","given":"Matthew J."},{"family":"Bongiorno","given":"Renata"},{"family":"Kashima","given":"Yoshihisa"},{"family":"Crimston","given":"Charlie R."}],"issued":{"date-parts":[["2013",4,1]]}}},{"id":1259,"uris":["http://zotero.org/users/6175602/items/YQH7FRNR"],"itemData":{"id":1259,"type":"chapter","abstract":"The conservation of our planet's natural ecosystems and resources is one of the greatest challenges of the twenty-first century. As most environmental problems are caused by human activities, effective environmental policies depend on reliable and valid information about these behavioral patterns and their determinants. For this reason, the theoretical background, internal logic as well as (dis)advantages of two dominant strategies for assessing environmentally relevant behaviors are presented: the intent- and impact-oriented measurement approaches. We conclude by discussing the measurement of environmental concern and empirical findings regarding the environmental concern–pro-environmental behavior relation.","container-title":"International Encyclopedia of the Social &amp; Behavioral Sciences (Second Edition)","event-place":"Oxford","ISBN":"978-0-08-097087-5","note":"DOI: 10.1016/B978-0-08-097086-8.91066-3","page":"699-705","publisher":"Elsevier","publisher-place":"Oxford","source":"ScienceDirect","title":"Environmental Attitudes and Behavior: Measurement","title-short":"Environmental Attitudes and Behavior","URL":"https://www.sciencedirect.com/science/article/pii/B9780080970868910663","author":[{"family":"Bamberg","given":"Sebastian"},{"family":"Rees","given":"Jonas"}],"editor":[{"family":"Wright","given":"James D."}],"accessed":{"date-parts":[["2024",7,31]]},"issued":{"date-parts":[["2015",1,1]]}}}],"schema":"https://github.com/citation-style-language/schema/raw/master/csl-citation.json"} </w:instrText>
      </w:r>
      <w:r w:rsidR="00D64864">
        <w:rPr>
          <w:rFonts w:ascii="Calibri" w:hAnsi="Calibri" w:cs="Calibri"/>
          <w:sz w:val="24"/>
          <w:szCs w:val="24"/>
        </w:rPr>
        <w:fldChar w:fldCharType="separate"/>
      </w:r>
      <w:r w:rsidR="00D64864" w:rsidRPr="00D64864">
        <w:rPr>
          <w:rFonts w:ascii="Calibri" w:hAnsi="Calibri" w:cs="Calibri"/>
          <w:sz w:val="24"/>
        </w:rPr>
        <w:t>(Bain et al., 2013; Bamberg &amp; Rees, 2015)</w:t>
      </w:r>
      <w:r w:rsidR="00D64864">
        <w:rPr>
          <w:rFonts w:ascii="Calibri" w:hAnsi="Calibri" w:cs="Calibri"/>
          <w:sz w:val="24"/>
          <w:szCs w:val="24"/>
        </w:rPr>
        <w:fldChar w:fldCharType="end"/>
      </w:r>
      <w:r w:rsidRPr="006C0C0B">
        <w:rPr>
          <w:rFonts w:ascii="Calibri" w:hAnsi="Calibri" w:cs="Calibri"/>
          <w:sz w:val="24"/>
          <w:szCs w:val="24"/>
        </w:rPr>
        <w:t xml:space="preserve">. Perceived behavioural control in the theory of planned behaviour </w:t>
      </w:r>
      <w:r w:rsidR="00D64864">
        <w:rPr>
          <w:rFonts w:ascii="Calibri" w:hAnsi="Calibri" w:cs="Calibri"/>
          <w:sz w:val="24"/>
          <w:szCs w:val="24"/>
        </w:rPr>
        <w:fldChar w:fldCharType="begin"/>
      </w:r>
      <w:r w:rsidR="00D64864">
        <w:rPr>
          <w:rFonts w:ascii="Calibri" w:hAnsi="Calibri" w:cs="Calibri"/>
          <w:sz w:val="24"/>
          <w:szCs w:val="24"/>
        </w:rPr>
        <w:instrText xml:space="preserve"> ADDIN ZOTERO_ITEM CSL_CITATION {"citationID":"OKsdd9xV","properties":{"formattedCitation":"(Ajzen,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D64864">
        <w:rPr>
          <w:rFonts w:ascii="Calibri" w:hAnsi="Calibri" w:cs="Calibri"/>
          <w:sz w:val="24"/>
          <w:szCs w:val="24"/>
        </w:rPr>
        <w:fldChar w:fldCharType="separate"/>
      </w:r>
      <w:r w:rsidR="00D64864" w:rsidRPr="00D64864">
        <w:rPr>
          <w:rFonts w:ascii="Calibri" w:hAnsi="Calibri" w:cs="Calibri"/>
          <w:sz w:val="24"/>
        </w:rPr>
        <w:t>(Ajzen, 1991)</w:t>
      </w:r>
      <w:r w:rsidR="00D64864">
        <w:rPr>
          <w:rFonts w:ascii="Calibri" w:hAnsi="Calibri" w:cs="Calibri"/>
          <w:sz w:val="24"/>
          <w:szCs w:val="24"/>
        </w:rPr>
        <w:fldChar w:fldCharType="end"/>
      </w:r>
      <w:r w:rsidRPr="006C0C0B">
        <w:rPr>
          <w:rFonts w:ascii="Calibri" w:hAnsi="Calibri" w:cs="Calibri"/>
          <w:sz w:val="24"/>
          <w:szCs w:val="24"/>
        </w:rPr>
        <w:t xml:space="preserve"> predicts intention and moderates intention-outcome relationships, suggesting that action-focused efficacy may function similarly by capturing constraints such as time, money, or social resources that may prevent the implementation of intentions. In contrast, aim-focused efficacy is more involved in intention formation and less influenced by these constraints. The field of collective social and environmental aims is particularly prone to an aim-focused understanding of efficacy due to the complex nature of collective crises</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{"citationID":"kpSqGCGr","properties":{"formattedCitation":"(van Zomeren et al., 2019)","plainCitation":"(van Zomeren et al., 2019)","noteIndex":0},"citationItems":[{"id":1282,"uris":["http://zotero.org/users/6175602/items/VHXZJ9CE"],"itemData":{"id":1282,"type":"article-journal","abstract":"Climate change may be the most fundamental collective action problem of all time. To solve it through collective action, collective motivation is required. Yet, given the complexity and scale of the collective problem, it may be difficult for individuals to experience such motivation. Intriguingly, the experience of hope may increase collective motivation and action. We offer an integrative coping perspective on hope and collective action in the context of climate change. It explains how hope stimulates individuals’ collective motivation to act against climate change (serving a problem-focused coping function), or fails to do so (serving an emotion-focused coping function). Testing these competing hypotheses, we conducted three studies that experimentally manipulated a core antecedent of hope (i.e., the perceived possibility of change) among US participants (total N = 1020). Across the board, this manipulation increased individuals’ hope but not their collective motivation and action. Furthermore, collective motivation predicted collective action intentions across all three studies. Hoping thus seems to serve an emotion-focused coping function and hence may not increase the collective motivation required for collective action in the context of climate change.","container-title":"Global Environmental Change","DOI":"10.1016/j.gloenvcha.2019.04.003","ISSN":"0959-3780","journalAbbreviation":"Global Environmental Change","page":"101915","source":"ScienceDirect","title":"Is hope good for motivating collective action in the context of climate change? Differentiating hope’s emotion- and problem-focused coping functions","title-short":"Is hope good for motivating collective action in the context of climate change?","volume":"58","author":[{"family":"Zomeren","given":"Martijn","non-dropping-particle":"van"},{"family":"Pauls","given":"Inga L."},{"family":"Cohen-Chen","given":"Smadar"}],"issued":{"date-parts":[["2019",9,1]]}}}],"schema":"https://github.com/citation-style-language/schema/raw/master/csl-citation.json"}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 xml:space="preserve">(van </w:t>
      </w:r>
      <w:proofErr w:type="spellStart"/>
      <w:r w:rsidR="00E44BDA" w:rsidRPr="00E44BDA">
        <w:rPr>
          <w:rFonts w:ascii="Calibri" w:hAnsi="Calibri" w:cs="Calibri"/>
          <w:sz w:val="24"/>
        </w:rPr>
        <w:t>Zomeren</w:t>
      </w:r>
      <w:proofErr w:type="spellEnd"/>
      <w:r w:rsidR="00E44BDA" w:rsidRPr="00E44BDA">
        <w:rPr>
          <w:rFonts w:ascii="Calibri" w:hAnsi="Calibri" w:cs="Calibri"/>
          <w:sz w:val="24"/>
        </w:rPr>
        <w:t xml:space="preserve"> et al., 2019)</w:t>
      </w:r>
      <w:r w:rsidR="00E44BDA">
        <w:rPr>
          <w:rFonts w:ascii="Calibri" w:hAnsi="Calibri" w:cs="Calibri"/>
          <w:sz w:val="24"/>
          <w:szCs w:val="24"/>
        </w:rPr>
        <w:fldChar w:fldCharType="end"/>
      </w:r>
      <w:r w:rsidRPr="006C0C0B">
        <w:rPr>
          <w:rFonts w:ascii="Calibri" w:hAnsi="Calibri" w:cs="Calibri"/>
          <w:sz w:val="24"/>
          <w:szCs w:val="24"/>
        </w:rPr>
        <w:t>. For collective aims, the challenge is not in performing actions (e.g., going to a protest), but in achieving social change through these actions. Given that many actions to achieve an environmental or social aim are possible, but also potentially unsuccessful, acknowledging the looser action-aim contingencies highlights the importance of distinguishing between action- and aim-focused efficacy</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{"citationID":"boDyeHlo","properties":{"formattedCitation":"(Hamann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(Hamann et al., 2024)</w:t>
      </w:r>
      <w:r w:rsidR="00E44BDA">
        <w:rPr>
          <w:rFonts w:ascii="Calibri" w:hAnsi="Calibri" w:cs="Calibri"/>
          <w:sz w:val="24"/>
          <w:szCs w:val="24"/>
        </w:rPr>
        <w:fldChar w:fldCharType="end"/>
      </w:r>
      <w:r w:rsidRPr="006C0C0B">
        <w:rPr>
          <w:rFonts w:ascii="Calibri" w:hAnsi="Calibri" w:cs="Calibri"/>
          <w:sz w:val="24"/>
          <w:szCs w:val="24"/>
        </w:rPr>
        <w:t>. Individuals have limited control over collective outcomes, with many obstacles stemming from external factors and the actions of others</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{"citationID":"EPRg2R68","properties":{"formattedCitation":"(Hornsey et al., 2022)","plainCitation":"(Hornsey et al., 2022)","noteIndex":0},"citationItems":[{"id":1285,"uris":["http://zotero.org/users/6175602/items/E26X9EN2"],"itemData":{"id":1285,"type":"article-journal","abstract":"People who believe they have greater efficacy to address climate change are more likely to engage in pro-environmental behaviour. To confront the climate crisis, it will therefore be essential to understand the processes through which climate change efficacy is promoted. Some interventions in the literature assume that efficacy emerges from analytic reasoning processes: that it is deliberative, verbal, conscious, and influenced by information and education. In the current paper, we critique this notion. We review evidence showing that climate change efficacy perceptions are (a) associated with climate-related distress and threat, (b) prescribed by social norms, (c) associated with social desirability and identity-expressive concerns, (d) surprisingly difficult to change through explicit, verbal instruction, but (e) responsive to imagery. We conclude by examining applied implications of these five propositions and discuss why non-analytic processes might (ironically) be beneficial for sustaining green activism.","container-title":"Thinking &amp; Reasoning","DOI":"10.1080/13546783.2021.1893222","ISSN":"1354-6783","issue":"3","note":"publisher: Routledge\n_eprint: https://doi.org/10.1080/13546783.2021.1893222","page":"327-345","source":"Taylor and Francis+NEJM","title":"Why it is so hard to teach people they can make a difference: climate change efficacy as a non-analytic form of reasoning","title-short":"Why it is so hard to teach people they can make a difference","volume":"28","author":[{"family":"Hornsey","given":"Matthew J."},{"family":"Chapman","given":"Cassandra M."},{"family":"Oelrichs","given":"Dexter M."}],"issued":{"date-parts":[["2022",7,3]]}}}],"schema":"https://github.com/citation-style-language/schema/raw/master/csl-citation.json"}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(Hornsey et al., 2022)</w:t>
      </w:r>
      <w:r w:rsidR="00E44BDA">
        <w:rPr>
          <w:rFonts w:ascii="Calibri" w:hAnsi="Calibri" w:cs="Calibri"/>
          <w:sz w:val="24"/>
          <w:szCs w:val="24"/>
        </w:rPr>
        <w:fldChar w:fldCharType="end"/>
      </w:r>
      <w:r w:rsidRPr="006C0C0B">
        <w:rPr>
          <w:rFonts w:ascii="Calibri" w:hAnsi="Calibri" w:cs="Calibri"/>
          <w:sz w:val="24"/>
          <w:szCs w:val="24"/>
        </w:rPr>
        <w:t xml:space="preserve">. Feedback is more difficult to obtain, as aims are often distal (for example, the impact of an awareness campaign on public opinion). Hornsey et al.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{"citationID":"qmrWd0pV","properties":{"formattedCitation":"(2006)","plainCitation":"(2006)","noteIndex":0},"citationItems":[{"id":1286,"uris":["http://zotero.org/users/6175602/items/AJFFW9KA"],"itemData":{"id":1286,"type":"article-journal","abstract":"Research has shown limited support for the notion that perceived effectiveness of collective action is a predictor of intentions to engage in collective action. One reason may be that effectiveness has been in terms of whether the action will influence key decision makers. We argue that the effectiveness of collective action might be judged by other criteria, such as whether it influences third parties, builds an oppositional movement, and expresses values. Two hundred and thirty one attendees at a rally rated the effectiveness of the rally and their intentions to engage in future collective action. For those participants who were not members of an organization, intentions were linked to the perceived effectiveness of the rally in expressing values and influencing the public. For those who were members of an organization, intentions were linked only to the effectiveness of the rally in building an oppositional movement.","container-title":"Journal of Applied Social Psychology","DOI":"10.1111/j.0021-9029.2006.00077.x","ISSN":"1559-1816","issue":"7","language":"en","note":"_eprint: https://onlinelibrary.wiley.com/doi/pdf/10.1111/j.0021-9029.2006.00077.x","page":"1701-1722","source":"Wiley Online Library","title":"Why Do People Engage in Collective Action? Revisiting the Role of Perceived Effectiveness","title-short":"Why Do People Engage in Collective Action?","volume":"36","author":[{"family":"Hornsey","given":"Matthew J."},{"family":"Blackwood","given":"Leda"},{"family":"Louis","given":"Winnifred"},{"family":"Fielding","given":"Kelly"},{"family":"Mavor","given":"Ken"},{"family":"Morton","given":"Thomas"},{"family":"O'Brien","given":"Anne"},{"family":"Paasonen","given":"Karl-Erik"},{"family":"Smith","given":"Joanne"},{"family":"White","given":"Katherine M."}],"issued":{"date-parts":[["2006"]]}},"label":"page","suppress-author":true}],"schema":"https://github.com/citation-style-language/schema/raw/master/csl-citation.json"}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(2006)</w:t>
      </w:r>
      <w:r w:rsidR="00E44BDA">
        <w:rPr>
          <w:rFonts w:ascii="Calibri" w:hAnsi="Calibri" w:cs="Calibri"/>
          <w:sz w:val="24"/>
          <w:szCs w:val="24"/>
        </w:rPr>
        <w:fldChar w:fldCharType="end"/>
      </w:r>
      <w:r w:rsidRPr="006C0C0B">
        <w:rPr>
          <w:rFonts w:ascii="Calibri" w:hAnsi="Calibri" w:cs="Calibri"/>
          <w:sz w:val="24"/>
          <w:szCs w:val="24"/>
        </w:rPr>
        <w:t xml:space="preserve"> found that efficacy predicted action intentions differently for members and non-members of protest groups depending on the content of the aim. Studies that have included different aims in their efficacy measures have shown that ignoring aim content can lead to inconsistent results and obscure underlying principles</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{"citationID":"KpoqEqfw","properties":{"formattedCitation":"(Koletsou &amp; Mancy, 2011)","plainCitation":"(Koletsou &amp; Mancy, 2011)","noteIndex":0},"citationItems":[{"id":1289,"uris":["http://zotero.org/users/6175602/items/FNBQE2CF"],"itemData":{"id":1289,"type":"article-journal","abstract":"Effective management of climate change risk requires an understanding of how to encourage positive behaviour change at the collective level. The urgency of the problem and the social dilemma nature of decisions about whether to engage in pro-environmental behaviours raise particular challenges for policy makers and those involved in designing interventions. Evidence reveals that efficacy beliefs (judgements of the ease of carrying out a particular act) and outcome expectancy beliefs (judgements of the value of acts in reaching goals) function as important determinants of human motivation and action (Bandura, 1995). However, efficacy and associated constructs remain poorly theorised at the collective level, particularly in social dilemma situations where goals may exist at both individual and collective levels. We develop a framework that incorporates collective forms of efficacy and outcome expectancy for large-scale, social dilemma situations, and operationalise these constructs. We then discuss how this framework can support us in managing climate change risk by allowing us to identify the specific forms of efficacy and outcome expectancy that should be targeted in research, science communication and policy.","container-title":"Risk Management","DOI":"10.1057/rm.2011.12","ISSN":"1743-4637","issue":"4","journalAbbreviation":"Risk Manag","language":"en","page":"184-208","source":"Springer Link","title":"Which efficacy constructs for large-scale social dilemma problems? Individual and collective forms of efficacy and outcome expectancies in the context of climate change mitigation","title-short":"Which efficacy constructs for large-scale social dilemma problems?","volume":"13","author":[{"family":"Koletsou","given":"Alexia"},{"family":"Mancy","given":"Rebecca"}],"issued":{"date-parts":[["2011",10,1]]}}}],"schema":"https://github.com/citation-style-language/schema/raw/master/csl-citation.json"}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w:t>
      </w:r>
      <w:proofErr w:type="spellStart"/>
      <w:r w:rsidR="00E44BDA" w:rsidRPr="00E44BDA">
        <w:rPr>
          <w:rFonts w:ascii="Calibri" w:hAnsi="Calibri" w:cs="Calibri"/>
          <w:sz w:val="24"/>
        </w:rPr>
        <w:t>Koletsou</w:t>
      </w:r>
      <w:proofErr w:type="spellEnd"/>
      <w:r w:rsidR="00E44BDA" w:rsidRPr="00E44BDA">
        <w:rPr>
          <w:rFonts w:ascii="Calibri" w:hAnsi="Calibri" w:cs="Calibri"/>
          <w:sz w:val="24"/>
        </w:rPr>
        <w:t xml:space="preserve"> &amp; Mancy, 2011)</w:t>
      </w:r>
      <w:r w:rsidR="00E44BDA">
        <w:rPr>
          <w:rFonts w:ascii="Calibri" w:hAnsi="Calibri" w:cs="Calibri"/>
          <w:sz w:val="24"/>
          <w:szCs w:val="24"/>
        </w:rPr>
        <w:fldChar w:fldCharType="end"/>
      </w:r>
      <w:r w:rsidR="007F4FEF">
        <w:rPr>
          <w:rFonts w:ascii="Calibri" w:hAnsi="Calibri" w:cs="Calibri"/>
          <w:sz w:val="24"/>
          <w:szCs w:val="24"/>
        </w:rPr>
        <w:t xml:space="preserve">. </w:t>
      </w:r>
      <w:r w:rsidR="007F4FEF" w:rsidRPr="007F4FEF">
        <w:rPr>
          <w:rFonts w:ascii="Calibri" w:hAnsi="Calibri" w:cs="Calibri"/>
          <w:sz w:val="24"/>
          <w:szCs w:val="24"/>
        </w:rPr>
        <w:t>The desirability of a</w:t>
      </w:r>
      <w:r w:rsidR="00E44BDA">
        <w:rPr>
          <w:rFonts w:ascii="Calibri" w:hAnsi="Calibri" w:cs="Calibri"/>
          <w:sz w:val="24"/>
          <w:szCs w:val="24"/>
        </w:rPr>
        <w:t>n</w:t>
      </w:r>
      <w:r w:rsidR="007F4FEF" w:rsidRPr="007F4FEF">
        <w:rPr>
          <w:rFonts w:ascii="Calibri" w:hAnsi="Calibri" w:cs="Calibri"/>
          <w:sz w:val="24"/>
          <w:szCs w:val="24"/>
        </w:rPr>
        <w:t xml:space="preserve"> aim is crucial; if a</w:t>
      </w:r>
      <w:r w:rsidR="00E44BDA">
        <w:rPr>
          <w:rFonts w:ascii="Calibri" w:hAnsi="Calibri" w:cs="Calibri"/>
          <w:sz w:val="24"/>
          <w:szCs w:val="24"/>
        </w:rPr>
        <w:t>n</w:t>
      </w:r>
      <w:r w:rsidR="007F4FEF" w:rsidRPr="007F4FEF">
        <w:rPr>
          <w:rFonts w:ascii="Calibri" w:hAnsi="Calibri" w:cs="Calibri"/>
          <w:sz w:val="24"/>
          <w:szCs w:val="24"/>
        </w:rPr>
        <w:t xml:space="preserve"> aim is not desirable, efficacy measures may elicit defensiveness and reflect only the value of the aim</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{"citationID":"1t35yMjv","properties":{"formattedCitation":"(Castiglione, 2020)","plainCitation":"(Castiglione, 2020)","noteIndex":0},"citationItems":[{"id":1291,"uris":["http://zotero.org/users/6175602/items/XXHXWBNS"],"itemData":{"id":1291,"type":"article","abstract":"Earth is experiencing severe global heating due to anthropogenic activities, and while measures to reduce CO2 emissions need to be quickly set in place, most governments are not doing so.  Grassroot collective action plays a fundamental role in putting pressure on governments to increase emission regulations, yet few people engage in such collective action. It is important to better understand what triggers one’s decision to join collective action and why. In this review, I summarize some of the factors that have been found to correlate with engagement in environmental collective activism, drawing on the empirical psychological and sociological literature. I then propose that additional factors have been pointed out by theoretical sociology, that are relevant candidates for future empirical testing. I conclude by pointing out limitations of the current literature on climate activism, and I make suggestions for methodological improvements.","DOI":"10.31234/osf.io/7brz3","language":"en-us","publisher":"OSF","source":"OSF Preprints","title":"Climate activism: what we know and what more we need to learn. A psychological and sociological review","title-short":"Climate activism","URL":"https://osf.io/7brz3","author":[{"family":"Castiglione","given":"Anna"}],"accessed":{"date-parts":[["2024",7,31]]},"issued":{"date-parts":[["2020",11,23]]}}}],"schema":"https://github.com/citation-style-language/schema/raw/master/csl-citation.json"}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(Castiglione, 2020)</w:t>
      </w:r>
      <w:r w:rsidR="00E44BDA">
        <w:rPr>
          <w:rFonts w:ascii="Calibri" w:hAnsi="Calibri" w:cs="Calibri"/>
          <w:sz w:val="24"/>
          <w:szCs w:val="24"/>
        </w:rPr>
        <w:fldChar w:fldCharType="end"/>
      </w:r>
      <w:r w:rsidR="007F4FEF" w:rsidRPr="007F4FEF">
        <w:rPr>
          <w:rFonts w:ascii="Calibri" w:hAnsi="Calibri" w:cs="Calibri"/>
          <w:sz w:val="24"/>
          <w:szCs w:val="24"/>
        </w:rPr>
        <w:t>. The relationship between action-focused and aim-focused efficacy is complex and interdependent. Action-focused efficacy refers to beliefs in one's ability to perform specific actions, whereas aim-focused efficacy refers to beliefs in one's ability to achieve desired outcomes. These two facets are interrelated; effective action often leads to aim attainment, and belief in aim attainment can motivate individuals to take necessary action</w:t>
      </w:r>
      <w:r w:rsidR="00E44BDA">
        <w:rPr>
          <w:rFonts w:ascii="Calibri" w:hAnsi="Calibri" w:cs="Calibri"/>
          <w:sz w:val="24"/>
          <w:szCs w:val="24"/>
        </w:rPr>
        <w:t xml:space="preserve"> </w:t>
      </w:r>
      <w:r w:rsidR="00E44BDA">
        <w:rPr>
          <w:rFonts w:ascii="Calibri" w:hAnsi="Calibri" w:cs="Calibri"/>
          <w:sz w:val="24"/>
          <w:szCs w:val="24"/>
        </w:rPr>
        <w:fldChar w:fldCharType="begin"/>
      </w:r>
      <w:r w:rsidR="00E44BDA">
        <w:rPr>
          <w:rFonts w:ascii="Calibri" w:hAnsi="Calibri" w:cs="Calibri"/>
          <w:sz w:val="24"/>
          <w:szCs w:val="24"/>
        </w:rPr>
        <w:instrText xml:space="preserve"> ADDIN ZOTERO_ITEM CSL_CITATION {"citationID":"7gbjy9YS","properties":{"formattedCitation":"(Hamann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44BDA">
        <w:rPr>
          <w:rFonts w:ascii="Calibri" w:hAnsi="Calibri" w:cs="Calibri"/>
          <w:sz w:val="24"/>
          <w:szCs w:val="24"/>
        </w:rPr>
        <w:fldChar w:fldCharType="separate"/>
      </w:r>
      <w:r w:rsidR="00E44BDA" w:rsidRPr="00E44BDA">
        <w:rPr>
          <w:rFonts w:ascii="Calibri" w:hAnsi="Calibri" w:cs="Calibri"/>
          <w:sz w:val="24"/>
        </w:rPr>
        <w:t>(Hamann et al., 2024)</w:t>
      </w:r>
      <w:r w:rsidR="00E44BDA">
        <w:rPr>
          <w:rFonts w:ascii="Calibri" w:hAnsi="Calibri" w:cs="Calibri"/>
          <w:sz w:val="24"/>
          <w:szCs w:val="24"/>
        </w:rPr>
        <w:fldChar w:fldCharType="end"/>
      </w:r>
      <w:r w:rsidR="007F4FEF" w:rsidRPr="007F4FEF">
        <w:rPr>
          <w:rFonts w:ascii="Calibri" w:hAnsi="Calibri" w:cs="Calibri"/>
          <w:sz w:val="24"/>
          <w:szCs w:val="24"/>
        </w:rPr>
        <w:t xml:space="preserve">. The Triple-A framework integrates these concepts, suggesting that efficacy beliefs should consider both actions and aims to provide a comprehensive understanding of how individuals and groups approach and solve complex </w:t>
      </w:r>
      <w:r w:rsidR="007F4FEF" w:rsidRPr="007F4FEF">
        <w:rPr>
          <w:rFonts w:ascii="Calibri" w:hAnsi="Calibri" w:cs="Calibri"/>
          <w:sz w:val="24"/>
          <w:szCs w:val="24"/>
        </w:rPr>
        <w:lastRenderedPageBreak/>
        <w:t>social and environmental problems. Measuring changes in sustainability competencies at both the action and aim levels allows for a better understanding of the influence of external and structural factors on behaviour.</w:t>
      </w:r>
    </w:p>
    <w:p w14:paraId="7C24D050" w14:textId="77777777" w:rsidR="00B469E6" w:rsidRPr="00840A2C" w:rsidRDefault="00B469E6" w:rsidP="00B469E6">
      <w:pPr>
        <w:pStyle w:val="Heading2"/>
        <w:rPr>
          <w:rFonts w:ascii="Calibri" w:hAnsi="Calibri" w:cs="Calibri"/>
        </w:rPr>
      </w:pPr>
      <w:bookmarkStart w:id="13" w:name="_Toc172630911"/>
      <w:bookmarkStart w:id="14" w:name="_Toc173164290"/>
      <w:r w:rsidRPr="00840A2C">
        <w:rPr>
          <w:rFonts w:ascii="Calibri" w:hAnsi="Calibri" w:cs="Calibri"/>
        </w:rPr>
        <w:t>Objectives and research questions</w:t>
      </w:r>
      <w:bookmarkEnd w:id="13"/>
      <w:bookmarkEnd w:id="14"/>
    </w:p>
    <w:p w14:paraId="47AB2BAF" w14:textId="3C5D4732" w:rsidR="00ED4686" w:rsidRPr="00A13455" w:rsidRDefault="00ED4686" w:rsidP="00ED4686">
      <w:pPr>
        <w:jc w:val="both"/>
        <w:rPr>
          <w:rFonts w:ascii="Calibri" w:hAnsi="Calibri" w:cs="Calibri"/>
          <w:sz w:val="24"/>
          <w:szCs w:val="24"/>
        </w:rPr>
      </w:pPr>
      <w:r w:rsidRPr="00A13455">
        <w:rPr>
          <w:rFonts w:ascii="Calibri" w:hAnsi="Calibri" w:cs="Calibri"/>
          <w:sz w:val="24"/>
          <w:szCs w:val="24"/>
        </w:rPr>
        <w:t>My aim is to quantify how ESD interventions influence students' sustainability competencies. Specifically, I will focus on sustainability competencies, operationalised as sustainability attitudes and sustainability behaviours, measured by scales based on the Theory of Planned Behaviour. In addition, I will assess efficacy beliefs through scales operationalised based on the newly developed Triple A framework.  To achieve this, I will investigate the influence of an innovative ESD intervention in one school, in a quasi-experimental longitudinal study with a treatment group control group comparison, by analysing 206 self-reported surveys from three different measurement points, addressing the following research questions (RQ)</w:t>
      </w:r>
      <w:r w:rsidRPr="00A13455">
        <w:rPr>
          <w:rFonts w:ascii="Calibri" w:hAnsi="Calibri" w:cs="Calibri"/>
          <w:sz w:val="24"/>
          <w:szCs w:val="24"/>
        </w:rPr>
        <w:t>:</w:t>
      </w:r>
    </w:p>
    <w:p w14:paraId="0118E578" w14:textId="4808BE0C" w:rsidR="00B469E6" w:rsidRPr="00A13455" w:rsidRDefault="00A65005" w:rsidP="00ED4686">
      <w:pPr>
        <w:pStyle w:val="ListParagraph"/>
        <w:numPr>
          <w:ilvl w:val="0"/>
          <w:numId w:val="4"/>
        </w:numPr>
        <w:rPr>
          <w:rFonts w:ascii="Calibri" w:hAnsi="Calibri" w:cs="Calibri"/>
          <w:sz w:val="24"/>
          <w:szCs w:val="24"/>
        </w:rPr>
      </w:pPr>
      <w:r w:rsidRPr="00A13455">
        <w:rPr>
          <w:rFonts w:ascii="Calibri" w:hAnsi="Calibri" w:cs="Calibri"/>
          <w:sz w:val="24"/>
          <w:szCs w:val="24"/>
        </w:rPr>
        <w:t xml:space="preserve">How do students' sustainability attitudes and </w:t>
      </w:r>
      <w:r w:rsidRPr="00A13455">
        <w:rPr>
          <w:rFonts w:ascii="Calibri" w:hAnsi="Calibri" w:cs="Calibri"/>
          <w:sz w:val="24"/>
          <w:szCs w:val="24"/>
        </w:rPr>
        <w:t xml:space="preserve">sustainability </w:t>
      </w:r>
      <w:r w:rsidRPr="00A13455">
        <w:rPr>
          <w:rFonts w:ascii="Calibri" w:hAnsi="Calibri" w:cs="Calibri"/>
          <w:sz w:val="24"/>
          <w:szCs w:val="24"/>
        </w:rPr>
        <w:t>behaviours change over time (including one year after the end of an ESD intervention)?</w:t>
      </w:r>
      <w:r w:rsidR="00B469E6" w:rsidRPr="00A13455">
        <w:rPr>
          <w:rFonts w:ascii="Calibri" w:hAnsi="Calibri" w:cs="Calibri"/>
          <w:sz w:val="24"/>
          <w:szCs w:val="24"/>
        </w:rPr>
        <w:br/>
      </w:r>
    </w:p>
    <w:p w14:paraId="200908BB" w14:textId="15A0C142" w:rsidR="00181C4C" w:rsidRPr="00A13455" w:rsidRDefault="00A65005" w:rsidP="00B469E6">
      <w:pPr>
        <w:pStyle w:val="ListParagraph"/>
        <w:numPr>
          <w:ilvl w:val="0"/>
          <w:numId w:val="4"/>
        </w:numPr>
        <w:rPr>
          <w:rFonts w:ascii="Calibri" w:hAnsi="Calibri" w:cs="Calibri"/>
          <w:sz w:val="24"/>
          <w:szCs w:val="24"/>
        </w:rPr>
      </w:pPr>
      <w:r w:rsidRPr="00A13455">
        <w:rPr>
          <w:rFonts w:ascii="Calibri" w:hAnsi="Calibri" w:cs="Calibri"/>
          <w:sz w:val="24"/>
          <w:szCs w:val="24"/>
        </w:rPr>
        <w:t xml:space="preserve">How are sustainability attitudes and </w:t>
      </w:r>
      <w:r w:rsidRPr="00A13455">
        <w:rPr>
          <w:rFonts w:ascii="Calibri" w:hAnsi="Calibri" w:cs="Calibri"/>
          <w:sz w:val="24"/>
          <w:szCs w:val="24"/>
        </w:rPr>
        <w:t xml:space="preserve">sustainability </w:t>
      </w:r>
      <w:r w:rsidRPr="00A13455">
        <w:rPr>
          <w:rFonts w:ascii="Calibri" w:hAnsi="Calibri" w:cs="Calibri"/>
          <w:sz w:val="24"/>
          <w:szCs w:val="24"/>
        </w:rPr>
        <w:t>behaviours influenced by efficacy beliefs?</w:t>
      </w:r>
      <w:bookmarkStart w:id="15" w:name="_Toc172630912"/>
      <w:r w:rsidR="00181C4C" w:rsidRPr="00A13455">
        <w:rPr>
          <w:rFonts w:ascii="Calibri" w:hAnsi="Calibri" w:cs="Calibri"/>
          <w:sz w:val="24"/>
          <w:szCs w:val="24"/>
        </w:rPr>
        <w:br/>
      </w:r>
    </w:p>
    <w:p w14:paraId="39115FA6" w14:textId="76D77246" w:rsidR="00B469E6" w:rsidRPr="00A13455" w:rsidRDefault="00181C4C" w:rsidP="00B469E6">
      <w:pPr>
        <w:pStyle w:val="ListParagraph"/>
        <w:numPr>
          <w:ilvl w:val="0"/>
          <w:numId w:val="4"/>
        </w:numPr>
        <w:rPr>
          <w:rFonts w:ascii="Calibri" w:hAnsi="Calibri" w:cs="Calibri"/>
          <w:sz w:val="24"/>
          <w:szCs w:val="24"/>
        </w:rPr>
      </w:pPr>
      <w:r w:rsidRPr="00A13455">
        <w:rPr>
          <w:rFonts w:ascii="Calibri" w:hAnsi="Calibri" w:cs="Calibri"/>
          <w:sz w:val="24"/>
          <w:szCs w:val="24"/>
        </w:rPr>
        <w:t>How do (</w:t>
      </w:r>
      <w:r w:rsidR="00661228">
        <w:rPr>
          <w:rFonts w:ascii="Calibri" w:hAnsi="Calibri" w:cs="Calibri"/>
          <w:sz w:val="24"/>
          <w:szCs w:val="24"/>
        </w:rPr>
        <w:t>personal</w:t>
      </w:r>
      <w:r w:rsidRPr="00A13455">
        <w:rPr>
          <w:rFonts w:ascii="Calibri" w:hAnsi="Calibri" w:cs="Calibri"/>
          <w:sz w:val="24"/>
          <w:szCs w:val="24"/>
        </w:rPr>
        <w:t xml:space="preserve"> and collective) efficacy beliefs (aim- and action-focussed) respond to the level of student involvement?</w:t>
      </w:r>
    </w:p>
    <w:p w14:paraId="6A8F2E91" w14:textId="77777777" w:rsidR="00B469E6" w:rsidRPr="00840A2C" w:rsidRDefault="00B469E6" w:rsidP="00B469E6">
      <w:pPr>
        <w:pStyle w:val="Heading2"/>
        <w:rPr>
          <w:rFonts w:ascii="Calibri" w:hAnsi="Calibri" w:cs="Calibri"/>
        </w:rPr>
      </w:pPr>
      <w:bookmarkStart w:id="16" w:name="_Toc173164291"/>
      <w:r w:rsidRPr="00840A2C">
        <w:rPr>
          <w:rFonts w:ascii="Calibri" w:hAnsi="Calibri" w:cs="Calibri"/>
        </w:rPr>
        <w:t>Research hypotheses and predictions</w:t>
      </w:r>
      <w:bookmarkEnd w:id="15"/>
      <w:bookmarkEnd w:id="16"/>
    </w:p>
    <w:p w14:paraId="11FA6F4F" w14:textId="7963E9EC" w:rsidR="00B469E6" w:rsidRPr="00A13455" w:rsidRDefault="00B469E6" w:rsidP="00B469E6">
      <w:pPr>
        <w:jc w:val="both"/>
        <w:rPr>
          <w:rFonts w:ascii="Calibri" w:hAnsi="Calibri" w:cs="Calibri"/>
          <w:sz w:val="24"/>
          <w:szCs w:val="24"/>
        </w:rPr>
      </w:pPr>
      <w:r w:rsidRPr="00A13455">
        <w:rPr>
          <w:rFonts w:ascii="Calibri" w:hAnsi="Calibri" w:cs="Calibri"/>
          <w:sz w:val="24"/>
          <w:szCs w:val="24"/>
        </w:rPr>
        <w:t>I hypothesize that sustainability attitude</w:t>
      </w:r>
      <w:r w:rsidR="00DB4F6B" w:rsidRPr="00A13455">
        <w:rPr>
          <w:rFonts w:ascii="Calibri" w:hAnsi="Calibri" w:cs="Calibri"/>
          <w:sz w:val="24"/>
          <w:szCs w:val="24"/>
        </w:rPr>
        <w:t>s</w:t>
      </w:r>
      <w:r w:rsidRPr="00A13455">
        <w:rPr>
          <w:rFonts w:ascii="Calibri" w:hAnsi="Calibri" w:cs="Calibri"/>
          <w:sz w:val="24"/>
          <w:szCs w:val="24"/>
        </w:rPr>
        <w:t xml:space="preserve"> and sustainability behaviour</w:t>
      </w:r>
      <w:r w:rsidR="00DB4F6B" w:rsidRPr="00A13455">
        <w:rPr>
          <w:rFonts w:ascii="Calibri" w:hAnsi="Calibri" w:cs="Calibri"/>
          <w:sz w:val="24"/>
          <w:szCs w:val="24"/>
        </w:rPr>
        <w:t>s</w:t>
      </w:r>
      <w:r w:rsidRPr="00A13455">
        <w:rPr>
          <w:rFonts w:ascii="Calibri" w:hAnsi="Calibri" w:cs="Calibri"/>
          <w:sz w:val="24"/>
          <w:szCs w:val="24"/>
        </w:rPr>
        <w:t xml:space="preserve"> will increase over time. The magnitude of sustainability competenc</w:t>
      </w:r>
      <w:r w:rsidR="006315A1">
        <w:rPr>
          <w:rFonts w:ascii="Calibri" w:hAnsi="Calibri" w:cs="Calibri"/>
          <w:sz w:val="24"/>
          <w:szCs w:val="24"/>
        </w:rPr>
        <w:t>y</w:t>
      </w:r>
      <w:r w:rsidRPr="00A13455">
        <w:rPr>
          <w:rFonts w:ascii="Calibri" w:hAnsi="Calibri" w:cs="Calibri"/>
          <w:sz w:val="24"/>
          <w:szCs w:val="24"/>
        </w:rPr>
        <w:t xml:space="preserve"> gains increases for the involved group. When looking at the relationship between sustainability attitude</w:t>
      </w:r>
      <w:r w:rsidR="00DB4F6B" w:rsidRPr="00A13455">
        <w:rPr>
          <w:rFonts w:ascii="Calibri" w:hAnsi="Calibri" w:cs="Calibri"/>
          <w:sz w:val="24"/>
          <w:szCs w:val="24"/>
        </w:rPr>
        <w:t>s</w:t>
      </w:r>
      <w:r w:rsidRPr="00A13455">
        <w:rPr>
          <w:rFonts w:ascii="Calibri" w:hAnsi="Calibri" w:cs="Calibri"/>
          <w:sz w:val="24"/>
          <w:szCs w:val="24"/>
        </w:rPr>
        <w:t>/ sustainability behaviour</w:t>
      </w:r>
      <w:r w:rsidR="00DB4F6B" w:rsidRPr="00A13455">
        <w:rPr>
          <w:rFonts w:ascii="Calibri" w:hAnsi="Calibri" w:cs="Calibri"/>
          <w:sz w:val="24"/>
          <w:szCs w:val="24"/>
        </w:rPr>
        <w:t>s</w:t>
      </w:r>
      <w:r w:rsidRPr="00A13455">
        <w:rPr>
          <w:rFonts w:ascii="Calibri" w:hAnsi="Calibri" w:cs="Calibri"/>
          <w:sz w:val="24"/>
          <w:szCs w:val="24"/>
        </w:rPr>
        <w:t xml:space="preserve"> and efficacy beliefs, I hypothesize a strong correlation. I hypothesize that efficacy beliefs will vary within and </w:t>
      </w:r>
      <w:r w:rsidR="00DB4F6B" w:rsidRPr="00A13455">
        <w:rPr>
          <w:rFonts w:ascii="Calibri" w:hAnsi="Calibri" w:cs="Calibri"/>
          <w:sz w:val="24"/>
          <w:szCs w:val="24"/>
        </w:rPr>
        <w:t>between</w:t>
      </w:r>
      <w:r w:rsidRPr="00A13455">
        <w:rPr>
          <w:rFonts w:ascii="Calibri" w:hAnsi="Calibri" w:cs="Calibri"/>
          <w:sz w:val="24"/>
          <w:szCs w:val="24"/>
        </w:rPr>
        <w:t xml:space="preserve"> the involved and control group, </w:t>
      </w:r>
      <w:r w:rsidR="00DB4F6B" w:rsidRPr="00A13455">
        <w:rPr>
          <w:rFonts w:ascii="Calibri" w:hAnsi="Calibri" w:cs="Calibri"/>
          <w:sz w:val="24"/>
          <w:szCs w:val="24"/>
        </w:rPr>
        <w:t>in terms of</w:t>
      </w:r>
      <w:r w:rsidRPr="00A13455">
        <w:rPr>
          <w:rFonts w:ascii="Calibri" w:hAnsi="Calibri" w:cs="Calibri"/>
          <w:sz w:val="24"/>
          <w:szCs w:val="24"/>
        </w:rPr>
        <w:t xml:space="preserve"> personal and collective, and aim- and action-focussed efficacy beliefs. Th</w:t>
      </w:r>
      <w:r w:rsidR="00DB4F6B" w:rsidRPr="00A13455">
        <w:rPr>
          <w:rFonts w:ascii="Calibri" w:hAnsi="Calibri" w:cs="Calibri"/>
          <w:sz w:val="24"/>
          <w:szCs w:val="24"/>
        </w:rPr>
        <w:t>e</w:t>
      </w:r>
      <w:r w:rsidRPr="00A13455">
        <w:rPr>
          <w:rFonts w:ascii="Calibri" w:hAnsi="Calibri" w:cs="Calibri"/>
          <w:sz w:val="24"/>
          <w:szCs w:val="24"/>
        </w:rPr>
        <w:t xml:space="preserve">se hypotheses will be tested against the null hypotheses of no increase </w:t>
      </w:r>
      <w:r w:rsidR="00DB4F6B" w:rsidRPr="00A13455">
        <w:rPr>
          <w:rFonts w:ascii="Calibri" w:hAnsi="Calibri" w:cs="Calibri"/>
          <w:sz w:val="24"/>
          <w:szCs w:val="24"/>
        </w:rPr>
        <w:t>in</w:t>
      </w:r>
      <w:r w:rsidRPr="00A13455">
        <w:rPr>
          <w:rFonts w:ascii="Calibri" w:hAnsi="Calibri" w:cs="Calibri"/>
          <w:sz w:val="24"/>
          <w:szCs w:val="24"/>
        </w:rPr>
        <w:t xml:space="preserve"> SA and SB over time, no relationship between SA/SB and efficacy beliefs, and no differences </w:t>
      </w:r>
      <w:r w:rsidR="00DB4F6B" w:rsidRPr="00A13455">
        <w:rPr>
          <w:rFonts w:ascii="Calibri" w:hAnsi="Calibri" w:cs="Calibri"/>
          <w:sz w:val="24"/>
          <w:szCs w:val="24"/>
        </w:rPr>
        <w:t>in</w:t>
      </w:r>
      <w:r w:rsidRPr="00A13455">
        <w:rPr>
          <w:rFonts w:ascii="Calibri" w:hAnsi="Calibri" w:cs="Calibri"/>
          <w:sz w:val="24"/>
          <w:szCs w:val="24"/>
        </w:rPr>
        <w:t xml:space="preserve"> efficacy beliefs within and between groups. </w:t>
      </w:r>
    </w:p>
    <w:p w14:paraId="4F8CDC20" w14:textId="7DE7FBA8" w:rsidR="00B469E6" w:rsidRPr="00A13455" w:rsidRDefault="00B469E6" w:rsidP="00B469E6">
      <w:pPr>
        <w:jc w:val="both"/>
        <w:rPr>
          <w:rFonts w:ascii="Calibri" w:hAnsi="Calibri" w:cs="Calibri"/>
          <w:sz w:val="24"/>
          <w:szCs w:val="24"/>
        </w:rPr>
      </w:pPr>
      <w:r w:rsidRPr="00A13455">
        <w:rPr>
          <w:rFonts w:ascii="Calibri" w:hAnsi="Calibri" w:cs="Calibri"/>
          <w:sz w:val="24"/>
          <w:szCs w:val="24"/>
        </w:rPr>
        <w:t xml:space="preserve">I predict higher SA and SB for the involved students, as innovative learning methods seem promising to achieve SA and SB. I predict the relationship between SA/SB and efficacy beliefs to be strong, as they </w:t>
      </w:r>
      <w:r w:rsidR="00DB4F6B" w:rsidRPr="00A13455">
        <w:rPr>
          <w:rFonts w:ascii="Calibri" w:hAnsi="Calibri" w:cs="Calibri"/>
          <w:sz w:val="24"/>
          <w:szCs w:val="24"/>
        </w:rPr>
        <w:t>capture</w:t>
      </w:r>
      <w:r w:rsidRPr="00A13455">
        <w:rPr>
          <w:rFonts w:ascii="Calibri" w:hAnsi="Calibri" w:cs="Calibri"/>
          <w:sz w:val="24"/>
          <w:szCs w:val="24"/>
        </w:rPr>
        <w:t xml:space="preserve"> the same latent construct. I predict higher collective and aim-focussed efficacy beliefs for the involved group, as they differ in the master</w:t>
      </w:r>
      <w:r w:rsidR="00DB4F6B" w:rsidRPr="00A13455">
        <w:rPr>
          <w:rFonts w:ascii="Calibri" w:hAnsi="Calibri" w:cs="Calibri"/>
          <w:sz w:val="24"/>
          <w:szCs w:val="24"/>
        </w:rPr>
        <w:t>y</w:t>
      </w:r>
      <w:r w:rsidRPr="00A13455">
        <w:rPr>
          <w:rFonts w:ascii="Calibri" w:hAnsi="Calibri" w:cs="Calibri"/>
          <w:sz w:val="24"/>
          <w:szCs w:val="24"/>
        </w:rPr>
        <w:t xml:space="preserve"> experience and therefore in their learning (Figure 1). </w:t>
      </w:r>
    </w:p>
    <w:p w14:paraId="3A6462FF" w14:textId="77777777" w:rsidR="00236133" w:rsidRDefault="00B469E6" w:rsidP="00B469E6">
      <w:pPr>
        <w:jc w:val="both"/>
        <w:rPr>
          <w:rFonts w:ascii="Calibri" w:hAnsi="Calibri" w:cs="Calibri"/>
          <w:sz w:val="24"/>
          <w:szCs w:val="24"/>
        </w:rPr>
      </w:pPr>
      <w:r w:rsidRPr="00A13455">
        <w:rPr>
          <w:rFonts w:ascii="Calibri" w:hAnsi="Calibri" w:cs="Calibri"/>
          <w:sz w:val="24"/>
          <w:szCs w:val="24"/>
        </w:rPr>
        <w:t xml:space="preserve">If I find support for my null hypotheses, </w:t>
      </w:r>
      <w:r w:rsidR="00DB4F6B" w:rsidRPr="00A13455">
        <w:rPr>
          <w:rFonts w:ascii="Calibri" w:hAnsi="Calibri" w:cs="Calibri"/>
          <w:sz w:val="24"/>
          <w:szCs w:val="24"/>
        </w:rPr>
        <w:t xml:space="preserve">it </w:t>
      </w:r>
      <w:r w:rsidRPr="00A13455">
        <w:rPr>
          <w:rFonts w:ascii="Calibri" w:hAnsi="Calibri" w:cs="Calibri"/>
          <w:sz w:val="24"/>
          <w:szCs w:val="24"/>
        </w:rPr>
        <w:t xml:space="preserve">will indicate that the scales used cannot </w:t>
      </w:r>
      <w:r w:rsidR="005C25AC" w:rsidRPr="00A13455">
        <w:rPr>
          <w:rFonts w:ascii="Calibri" w:hAnsi="Calibri" w:cs="Calibri"/>
          <w:sz w:val="24"/>
          <w:szCs w:val="24"/>
        </w:rPr>
        <w:t>adequately</w:t>
      </w:r>
      <w:r w:rsidRPr="00A13455">
        <w:rPr>
          <w:rFonts w:ascii="Calibri" w:hAnsi="Calibri" w:cs="Calibri"/>
          <w:sz w:val="24"/>
          <w:szCs w:val="24"/>
        </w:rPr>
        <w:t xml:space="preserve"> capture </w:t>
      </w:r>
      <w:r w:rsidR="005C25AC" w:rsidRPr="00A13455">
        <w:rPr>
          <w:rFonts w:ascii="Calibri" w:hAnsi="Calibri" w:cs="Calibri"/>
          <w:sz w:val="24"/>
          <w:szCs w:val="24"/>
        </w:rPr>
        <w:t xml:space="preserve">the </w:t>
      </w:r>
      <w:r w:rsidRPr="00A13455">
        <w:rPr>
          <w:rFonts w:ascii="Calibri" w:hAnsi="Calibri" w:cs="Calibri"/>
          <w:sz w:val="24"/>
          <w:szCs w:val="24"/>
        </w:rPr>
        <w:t xml:space="preserve">sustainability competencies resulting from an innovative ESD intervention, but also question whether the current approaches to ESD interventions are adequate. If the results are in line with my alternative hypotheses, this will demonstrate the importance of innovative ESD interventions </w:t>
      </w:r>
      <w:r w:rsidR="005C25AC" w:rsidRPr="00A13455">
        <w:rPr>
          <w:rFonts w:ascii="Calibri" w:hAnsi="Calibri" w:cs="Calibri"/>
          <w:sz w:val="24"/>
          <w:szCs w:val="24"/>
        </w:rPr>
        <w:t>in</w:t>
      </w:r>
      <w:r w:rsidRPr="00A13455">
        <w:rPr>
          <w:rFonts w:ascii="Calibri" w:hAnsi="Calibri" w:cs="Calibri"/>
          <w:sz w:val="24"/>
          <w:szCs w:val="24"/>
        </w:rPr>
        <w:t xml:space="preserve"> fostering human agency.</w:t>
      </w:r>
    </w:p>
    <w:p w14:paraId="69E59AD4" w14:textId="5C3362DB" w:rsidR="00B469E6" w:rsidRPr="00A13455" w:rsidRDefault="00A13455" w:rsidP="00B469E6">
      <w:pPr>
        <w:jc w:val="both"/>
        <w:rPr>
          <w:rFonts w:ascii="Calibri" w:hAnsi="Calibri" w:cs="Calibri"/>
          <w:sz w:val="24"/>
          <w:szCs w:val="24"/>
        </w:rPr>
      </w:pPr>
      <w:r>
        <w:rPr>
          <w:rFonts w:ascii="Calibri" w:hAnsi="Calibri" w:cs="Calibri"/>
          <w:sz w:val="24"/>
          <w:szCs w:val="24"/>
        </w:rPr>
        <w:br/>
      </w:r>
    </w:p>
    <w:p w14:paraId="6F32120D" w14:textId="2C031449" w:rsidR="00646899" w:rsidRPr="00A169CD" w:rsidRDefault="00B469E6" w:rsidP="009E6033">
      <w:pPr>
        <w:pStyle w:val="ListParagraph"/>
        <w:numPr>
          <w:ilvl w:val="0"/>
          <w:numId w:val="5"/>
        </w:numPr>
        <w:rPr>
          <w:rFonts w:ascii="Calibri" w:hAnsi="Calibri" w:cs="Calibri"/>
        </w:rPr>
      </w:pPr>
      <w:r w:rsidRPr="00A169CD">
        <w:rPr>
          <w:rFonts w:ascii="Calibri" w:hAnsi="Calibri" w:cs="Calibri"/>
        </w:rPr>
        <w:lastRenderedPageBreak/>
        <w:t>Predictions</w:t>
      </w:r>
    </w:p>
    <w:p w14:paraId="2BDBAAF9" w14:textId="4336CDB8" w:rsidR="009455E0" w:rsidRPr="009455E0" w:rsidRDefault="00646899" w:rsidP="009455E0">
      <w:pPr>
        <w:rPr>
          <w:rFonts w:ascii="Calibri" w:hAnsi="Calibri" w:cs="Calibri"/>
        </w:rPr>
      </w:pPr>
      <w:r w:rsidRPr="00646899">
        <w:rPr>
          <w:rFonts w:ascii="Calibri" w:hAnsi="Calibri" w:cs="Calibri"/>
        </w:rPr>
        <w:drawing>
          <wp:inline distT="0" distB="0" distL="0" distR="0" wp14:anchorId="372C5EEE" wp14:editId="2514ACC2">
            <wp:extent cx="6554911" cy="1810693"/>
            <wp:effectExtent l="0" t="0" r="0" b="0"/>
            <wp:docPr id="1385369494" name="Picture 1" descr="A graph with a yellow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69494" name="Picture 1" descr="A graph with a yellow arrow&#10;&#10;Description automatically generated"/>
                    <pic:cNvPicPr/>
                  </pic:nvPicPr>
                  <pic:blipFill>
                    <a:blip r:embed="rId10"/>
                    <a:stretch>
                      <a:fillRect/>
                    </a:stretch>
                  </pic:blipFill>
                  <pic:spPr>
                    <a:xfrm>
                      <a:off x="0" y="0"/>
                      <a:ext cx="6569955" cy="1814849"/>
                    </a:xfrm>
                    <a:prstGeom prst="rect">
                      <a:avLst/>
                    </a:prstGeom>
                  </pic:spPr>
                </pic:pic>
              </a:graphicData>
            </a:graphic>
          </wp:inline>
        </w:drawing>
      </w:r>
    </w:p>
    <w:p w14:paraId="6D87AF7A" w14:textId="3A3DDFF7" w:rsidR="00B469E6" w:rsidRPr="005A01EA" w:rsidRDefault="00B469E6" w:rsidP="00A0056B">
      <w:pPr>
        <w:pStyle w:val="ListParagraph"/>
        <w:numPr>
          <w:ilvl w:val="0"/>
          <w:numId w:val="5"/>
        </w:numPr>
        <w:rPr>
          <w:rFonts w:ascii="Calibri" w:hAnsi="Calibri" w:cs="Calibri"/>
        </w:rPr>
      </w:pPr>
      <w:r w:rsidRPr="005A01EA">
        <w:rPr>
          <w:rFonts w:ascii="Calibri" w:hAnsi="Calibri" w:cs="Calibri"/>
        </w:rPr>
        <w:t>Workflow</w:t>
      </w:r>
    </w:p>
    <w:p w14:paraId="12BE33AE" w14:textId="6F211DF3" w:rsidR="005A01EA" w:rsidRPr="00840A2C" w:rsidRDefault="005A01EA" w:rsidP="00B469E6">
      <w:pPr>
        <w:rPr>
          <w:rFonts w:ascii="Calibri" w:hAnsi="Calibri" w:cs="Calibri"/>
        </w:rPr>
      </w:pPr>
      <w:r w:rsidRPr="005A01EA">
        <w:rPr>
          <w:rFonts w:ascii="Calibri" w:hAnsi="Calibri" w:cs="Calibri"/>
        </w:rPr>
        <w:drawing>
          <wp:inline distT="0" distB="0" distL="0" distR="0" wp14:anchorId="6486D668" wp14:editId="3C2DC4F7">
            <wp:extent cx="6254152" cy="3141553"/>
            <wp:effectExtent l="0" t="0" r="0" b="1905"/>
            <wp:docPr id="8255806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0610" name="Picture 1" descr="A diagram of a diagram&#10;&#10;Description automatically generated"/>
                    <pic:cNvPicPr/>
                  </pic:nvPicPr>
                  <pic:blipFill>
                    <a:blip r:embed="rId11"/>
                    <a:stretch>
                      <a:fillRect/>
                    </a:stretch>
                  </pic:blipFill>
                  <pic:spPr>
                    <a:xfrm>
                      <a:off x="0" y="0"/>
                      <a:ext cx="6259169" cy="3144073"/>
                    </a:xfrm>
                    <a:prstGeom prst="rect">
                      <a:avLst/>
                    </a:prstGeom>
                  </pic:spPr>
                </pic:pic>
              </a:graphicData>
            </a:graphic>
          </wp:inline>
        </w:drawing>
      </w:r>
    </w:p>
    <w:p w14:paraId="0963C02D" w14:textId="78F275DF" w:rsidR="00B469E6" w:rsidRPr="00840A2C" w:rsidRDefault="00B469E6" w:rsidP="00B469E6">
      <w:pPr>
        <w:rPr>
          <w:rFonts w:ascii="Calibri" w:hAnsi="Calibri" w:cs="Calibri"/>
        </w:rPr>
      </w:pPr>
      <w:r w:rsidRPr="00840A2C">
        <w:rPr>
          <w:rFonts w:ascii="Calibri" w:hAnsi="Calibri" w:cs="Calibri"/>
        </w:rPr>
        <w:t xml:space="preserve">Figure 1: </w:t>
      </w:r>
      <w:r w:rsidRPr="00840A2C">
        <w:rPr>
          <w:rFonts w:ascii="Calibri" w:hAnsi="Calibri" w:cs="Calibri"/>
          <w:b/>
          <w:bCs/>
        </w:rPr>
        <w:t xml:space="preserve">Influence of an innovative ESD intervention on </w:t>
      </w:r>
      <w:r w:rsidR="005A01EA">
        <w:rPr>
          <w:rFonts w:ascii="Calibri" w:hAnsi="Calibri" w:cs="Calibri"/>
          <w:b/>
          <w:bCs/>
        </w:rPr>
        <w:t xml:space="preserve">long-term </w:t>
      </w:r>
      <w:r w:rsidRPr="00840A2C">
        <w:rPr>
          <w:rFonts w:ascii="Calibri" w:hAnsi="Calibri" w:cs="Calibri"/>
          <w:b/>
          <w:bCs/>
        </w:rPr>
        <w:t xml:space="preserve">changes in sustainability competencies. </w:t>
      </w:r>
      <w:r w:rsidRPr="00840A2C">
        <w:rPr>
          <w:rFonts w:ascii="Calibri" w:hAnsi="Calibri" w:cs="Calibri"/>
        </w:rPr>
        <w:t>I analysed how an innovative ESD intervention can influence the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of high school students at three different </w:t>
      </w:r>
      <w:r w:rsidR="005A01EA">
        <w:rPr>
          <w:rFonts w:ascii="Calibri" w:hAnsi="Calibri" w:cs="Calibri"/>
        </w:rPr>
        <w:t>measurement</w:t>
      </w:r>
      <w:r w:rsidRPr="00840A2C">
        <w:rPr>
          <w:rFonts w:ascii="Calibri" w:hAnsi="Calibri" w:cs="Calibri"/>
        </w:rPr>
        <w:t xml:space="preserve"> points</w:t>
      </w:r>
      <w:r w:rsidR="005A01EA">
        <w:rPr>
          <w:rFonts w:ascii="Calibri" w:hAnsi="Calibri" w:cs="Calibri"/>
        </w:rPr>
        <w:t xml:space="preserve"> (MPs)</w:t>
      </w:r>
      <w:r w:rsidRPr="00840A2C">
        <w:rPr>
          <w:rFonts w:ascii="Calibri" w:hAnsi="Calibri" w:cs="Calibri"/>
        </w:rPr>
        <w:t xml:space="preserve"> of the intervention: </w:t>
      </w:r>
      <w:r w:rsidR="00EB4453" w:rsidRPr="00EB4453">
        <w:rPr>
          <w:rFonts w:ascii="Calibri" w:hAnsi="Calibri" w:cs="Calibri"/>
        </w:rPr>
        <w:t>pre-intervention</w:t>
      </w:r>
      <w:r w:rsidR="00EB4453">
        <w:rPr>
          <w:rFonts w:ascii="Calibri" w:hAnsi="Calibri" w:cs="Calibri"/>
        </w:rPr>
        <w:t xml:space="preserve"> (</w:t>
      </w:r>
      <w:r w:rsidR="005A01EA">
        <w:rPr>
          <w:rFonts w:ascii="Calibri" w:hAnsi="Calibri" w:cs="Calibri"/>
        </w:rPr>
        <w:t>MP1</w:t>
      </w:r>
      <w:r w:rsidR="00EB4453">
        <w:rPr>
          <w:rFonts w:ascii="Calibri" w:hAnsi="Calibri" w:cs="Calibri"/>
        </w:rPr>
        <w:t>)</w:t>
      </w:r>
      <w:r w:rsidR="00EB4453" w:rsidRPr="00EB4453">
        <w:rPr>
          <w:rFonts w:ascii="Calibri" w:hAnsi="Calibri" w:cs="Calibri"/>
        </w:rPr>
        <w:t>, immediately post-intervention</w:t>
      </w:r>
      <w:r w:rsidR="00EB4453">
        <w:rPr>
          <w:rFonts w:ascii="Calibri" w:hAnsi="Calibri" w:cs="Calibri"/>
        </w:rPr>
        <w:t xml:space="preserve"> (</w:t>
      </w:r>
      <w:r w:rsidR="005A01EA">
        <w:rPr>
          <w:rFonts w:ascii="Calibri" w:hAnsi="Calibri" w:cs="Calibri"/>
        </w:rPr>
        <w:t>MP2</w:t>
      </w:r>
      <w:r w:rsidR="00EB4453">
        <w:rPr>
          <w:rFonts w:ascii="Calibri" w:hAnsi="Calibri" w:cs="Calibri"/>
        </w:rPr>
        <w:t>)</w:t>
      </w:r>
      <w:r w:rsidR="00EB4453" w:rsidRPr="00EB4453">
        <w:rPr>
          <w:rFonts w:ascii="Calibri" w:hAnsi="Calibri" w:cs="Calibri"/>
        </w:rPr>
        <w:t xml:space="preserve"> and one year post-intervention</w:t>
      </w:r>
      <w:r w:rsidR="00EB4453">
        <w:rPr>
          <w:rFonts w:ascii="Calibri" w:hAnsi="Calibri" w:cs="Calibri"/>
        </w:rPr>
        <w:t xml:space="preserve"> (</w:t>
      </w:r>
      <w:r w:rsidR="005A01EA">
        <w:rPr>
          <w:rFonts w:ascii="Calibri" w:hAnsi="Calibri" w:cs="Calibri"/>
        </w:rPr>
        <w:t>MP3</w:t>
      </w:r>
      <w:r w:rsidRPr="00840A2C">
        <w:rPr>
          <w:rFonts w:ascii="Calibri" w:hAnsi="Calibri" w:cs="Calibri"/>
        </w:rPr>
        <w:t xml:space="preserve">), comparing an involved group </w:t>
      </w:r>
      <w:r w:rsidR="005C25AC">
        <w:rPr>
          <w:rFonts w:ascii="Calibri" w:hAnsi="Calibri" w:cs="Calibri"/>
        </w:rPr>
        <w:t>with</w:t>
      </w:r>
      <w:r w:rsidRPr="00840A2C">
        <w:rPr>
          <w:rFonts w:ascii="Calibri" w:hAnsi="Calibri" w:cs="Calibri"/>
        </w:rPr>
        <w:t xml:space="preserve"> a control group. </w:t>
      </w:r>
      <w:r w:rsidRPr="00840A2C">
        <w:rPr>
          <w:rFonts w:ascii="Calibri" w:hAnsi="Calibri" w:cs="Calibri"/>
          <w:b/>
          <w:bCs/>
        </w:rPr>
        <w:t xml:space="preserve">A </w:t>
      </w:r>
      <w:r w:rsidRPr="00840A2C">
        <w:rPr>
          <w:rFonts w:ascii="Calibri" w:hAnsi="Calibri" w:cs="Calibri"/>
        </w:rPr>
        <w:t xml:space="preserve">Conceptual diagram of my predictions, outlined </w:t>
      </w:r>
      <w:r w:rsidR="005C25AC">
        <w:rPr>
          <w:rFonts w:ascii="Calibri" w:hAnsi="Calibri" w:cs="Calibri"/>
        </w:rPr>
        <w:t>in terms of</w:t>
      </w:r>
      <w:r w:rsidRPr="00840A2C">
        <w:rPr>
          <w:rFonts w:ascii="Calibri" w:hAnsi="Calibri" w:cs="Calibri"/>
        </w:rPr>
        <w:t xml:space="preserv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w:t>
      </w:r>
      <w:r w:rsidRPr="00840A2C">
        <w:rPr>
          <w:rFonts w:ascii="Calibri" w:hAnsi="Calibri" w:cs="Calibri"/>
          <w:b/>
          <w:bCs/>
        </w:rPr>
        <w:t xml:space="preserve">B </w:t>
      </w:r>
      <w:r w:rsidRPr="00840A2C">
        <w:rPr>
          <w:rFonts w:ascii="Calibri" w:hAnsi="Calibri" w:cs="Calibri"/>
        </w:rPr>
        <w:t xml:space="preserve">Analytical workflow. </w:t>
      </w:r>
    </w:p>
    <w:p w14:paraId="05B511FF" w14:textId="0E801192" w:rsidR="00285C0A" w:rsidRPr="00840A2C" w:rsidRDefault="00285C0A">
      <w:pPr>
        <w:rPr>
          <w:rFonts w:ascii="Calibri" w:hAnsi="Calibri" w:cs="Calibri"/>
        </w:rPr>
      </w:pPr>
      <w:r w:rsidRPr="00840A2C">
        <w:rPr>
          <w:rFonts w:ascii="Calibri" w:hAnsi="Calibri" w:cs="Calibri"/>
        </w:rPr>
        <w:br w:type="page"/>
      </w:r>
    </w:p>
    <w:p w14:paraId="38BF7FBC" w14:textId="77777777" w:rsidR="00285C0A" w:rsidRPr="00840A2C" w:rsidRDefault="00285C0A" w:rsidP="00285C0A">
      <w:pPr>
        <w:pStyle w:val="Heading1"/>
        <w:rPr>
          <w:rFonts w:ascii="Calibri" w:hAnsi="Calibri" w:cs="Calibri"/>
        </w:rPr>
      </w:pPr>
      <w:bookmarkStart w:id="17" w:name="_Toc172745436"/>
      <w:bookmarkStart w:id="18" w:name="_Toc173164292"/>
      <w:r w:rsidRPr="00840A2C">
        <w:rPr>
          <w:rFonts w:ascii="Calibri" w:hAnsi="Calibri" w:cs="Calibri"/>
        </w:rPr>
        <w:lastRenderedPageBreak/>
        <w:t>Methods</w:t>
      </w:r>
      <w:bookmarkEnd w:id="17"/>
      <w:bookmarkEnd w:id="18"/>
      <w:r w:rsidRPr="00840A2C">
        <w:rPr>
          <w:rFonts w:ascii="Calibri" w:hAnsi="Calibri" w:cs="Calibri"/>
        </w:rPr>
        <w:t xml:space="preserve"> </w:t>
      </w:r>
    </w:p>
    <w:p w14:paraId="1B689196" w14:textId="45A20BB2" w:rsidR="00EB4453" w:rsidRPr="001867AD" w:rsidRDefault="00EB4453" w:rsidP="001867AD">
      <w:pPr>
        <w:jc w:val="both"/>
        <w:rPr>
          <w:sz w:val="24"/>
          <w:szCs w:val="24"/>
        </w:rPr>
      </w:pPr>
      <w:bookmarkStart w:id="19" w:name="_Toc172745437"/>
      <w:r w:rsidRPr="001867AD">
        <w:rPr>
          <w:sz w:val="24"/>
          <w:szCs w:val="24"/>
        </w:rPr>
        <w:t>In this study, I analysed how an innovative ESD intervention influenced students' sustainability attitudes, sustainability behaviours and efficacy beliefs as components of sustainability competenc</w:t>
      </w:r>
      <w:r w:rsidR="006315A1">
        <w:rPr>
          <w:sz w:val="24"/>
          <w:szCs w:val="24"/>
        </w:rPr>
        <w:t>ies</w:t>
      </w:r>
      <w:r w:rsidRPr="001867AD">
        <w:rPr>
          <w:sz w:val="24"/>
          <w:szCs w:val="24"/>
        </w:rPr>
        <w:t xml:space="preserve"> over time. To quantitatively test the effect of the ESD intervention, I assessed long-term effects by measuring data at three different </w:t>
      </w:r>
      <w:r w:rsidR="00341E32">
        <w:rPr>
          <w:sz w:val="24"/>
          <w:szCs w:val="24"/>
        </w:rPr>
        <w:t>measurement</w:t>
      </w:r>
      <w:r w:rsidRPr="001867AD">
        <w:rPr>
          <w:sz w:val="24"/>
          <w:szCs w:val="24"/>
        </w:rPr>
        <w:t xml:space="preserve"> points (pre-intervention, immediately post-intervention and one year post-intervention) using the same self-reported survey on sustainability behaviours and sustainability attitudes. I also complemented the data collection with a survey on efficacy beliefs at the third measurement point. I used the data collected by Pauli (2023) for measurement points one and two. In total, I analysed 206 self-reported surveys.</w:t>
      </w:r>
    </w:p>
    <w:p w14:paraId="3FD59711" w14:textId="6A5008A5" w:rsidR="00285C0A" w:rsidRPr="00EB4453" w:rsidRDefault="00285C0A" w:rsidP="00EB4453">
      <w:pPr>
        <w:pStyle w:val="Heading2"/>
      </w:pPr>
      <w:bookmarkStart w:id="20" w:name="_Toc173164293"/>
      <w:r w:rsidRPr="00EB4453">
        <w:t xml:space="preserve">Project description </w:t>
      </w:r>
      <w:proofErr w:type="spellStart"/>
      <w:r w:rsidRPr="00EB4453">
        <w:t>KlimaRatSchule</w:t>
      </w:r>
      <w:bookmarkEnd w:id="19"/>
      <w:bookmarkEnd w:id="20"/>
      <w:proofErr w:type="spellEnd"/>
    </w:p>
    <w:p w14:paraId="31862D22" w14:textId="77777777" w:rsidR="00EB4453" w:rsidRPr="001867AD" w:rsidRDefault="00EB4453" w:rsidP="001867AD">
      <w:pPr>
        <w:jc w:val="both"/>
        <w:rPr>
          <w:sz w:val="24"/>
          <w:szCs w:val="24"/>
        </w:rPr>
      </w:pPr>
      <w:r w:rsidRPr="001867AD">
        <w:rPr>
          <w:sz w:val="24"/>
          <w:szCs w:val="24"/>
        </w:rPr>
        <w:t xml:space="preserve">To analyse the changes in sustainability competencies over time, I chose the ESD intervention </w:t>
      </w:r>
      <w:proofErr w:type="spellStart"/>
      <w:r w:rsidRPr="001867AD">
        <w:rPr>
          <w:sz w:val="24"/>
          <w:szCs w:val="24"/>
        </w:rPr>
        <w:t>KlimaRatSchule</w:t>
      </w:r>
      <w:proofErr w:type="spellEnd"/>
      <w:r w:rsidRPr="001867AD">
        <w:rPr>
          <w:sz w:val="24"/>
          <w:szCs w:val="24"/>
        </w:rPr>
        <w:t xml:space="preserve"> (KRS). The KRS project aims to promote and establish an active climate protection culture in schools through democratic participation processes. Students investigate the carbon footprint of their own school and carry out a democratic participation process, the results of which are used to develop the school's own climate protection concept (KRS project description, 2024). The project was piloted in two schools in Freiburg in January 2023. The project was designed by Solare Zukunft </w:t>
      </w:r>
      <w:proofErr w:type="spellStart"/>
      <w:r w:rsidRPr="001867AD">
        <w:rPr>
          <w:sz w:val="24"/>
          <w:szCs w:val="24"/>
        </w:rPr>
        <w:t>e.V.</w:t>
      </w:r>
      <w:proofErr w:type="spellEnd"/>
      <w:r w:rsidRPr="001867AD">
        <w:rPr>
          <w:sz w:val="24"/>
          <w:szCs w:val="24"/>
        </w:rPr>
        <w:t xml:space="preserve">, IZT, </w:t>
      </w:r>
      <w:proofErr w:type="spellStart"/>
      <w:r w:rsidRPr="001867AD">
        <w:rPr>
          <w:sz w:val="24"/>
          <w:szCs w:val="24"/>
        </w:rPr>
        <w:t>Energie</w:t>
      </w:r>
      <w:proofErr w:type="spellEnd"/>
      <w:r w:rsidRPr="001867AD">
        <w:rPr>
          <w:sz w:val="24"/>
          <w:szCs w:val="24"/>
        </w:rPr>
        <w:t xml:space="preserve">- und </w:t>
      </w:r>
      <w:proofErr w:type="spellStart"/>
      <w:r w:rsidRPr="001867AD">
        <w:rPr>
          <w:sz w:val="24"/>
          <w:szCs w:val="24"/>
        </w:rPr>
        <w:t>Umweltzentrum</w:t>
      </w:r>
      <w:proofErr w:type="spellEnd"/>
      <w:r w:rsidRPr="001867AD">
        <w:rPr>
          <w:sz w:val="24"/>
          <w:szCs w:val="24"/>
        </w:rPr>
        <w:t xml:space="preserve"> am Deister </w:t>
      </w:r>
      <w:proofErr w:type="spellStart"/>
      <w:r w:rsidRPr="001867AD">
        <w:rPr>
          <w:sz w:val="24"/>
          <w:szCs w:val="24"/>
        </w:rPr>
        <w:t>e.V.</w:t>
      </w:r>
      <w:proofErr w:type="spellEnd"/>
      <w:r w:rsidRPr="001867AD">
        <w:rPr>
          <w:sz w:val="24"/>
          <w:szCs w:val="24"/>
        </w:rPr>
        <w:t xml:space="preserve"> and Green City </w:t>
      </w:r>
      <w:proofErr w:type="spellStart"/>
      <w:proofErr w:type="gramStart"/>
      <w:r w:rsidRPr="001867AD">
        <w:rPr>
          <w:sz w:val="24"/>
          <w:szCs w:val="24"/>
        </w:rPr>
        <w:t>e.V.</w:t>
      </w:r>
      <w:proofErr w:type="spellEnd"/>
      <w:r w:rsidRPr="001867AD">
        <w:rPr>
          <w:sz w:val="24"/>
          <w:szCs w:val="24"/>
        </w:rPr>
        <w:t>.</w:t>
      </w:r>
      <w:proofErr w:type="gramEnd"/>
      <w:r w:rsidRPr="001867AD">
        <w:rPr>
          <w:sz w:val="24"/>
          <w:szCs w:val="24"/>
        </w:rPr>
        <w:t xml:space="preserve"> The project can be divided into 3 phases: in the first phase, a group of volunteers (involved group) was formed and collected data on the school's emissions. In the second phase, a micro-citizen report for schools was conducted with randomly selected students from the school, and in the third phase, the project partners developed a roadmap with concrete goals and steps for the school to reduce its carbon footprint based on the students' work in phases one and two.  Although the project included the very interesting aspect of participation, unfortunately, due to severe data limitations, the group that was part of the micro-citizen report had to be excluded from the analysis and therefore the analysis of the participatory aspect of the project also had to be excluded. The ESD intervention aimed to achieve a real impact in terms of CO</w:t>
      </w:r>
      <w:r w:rsidRPr="001867AD">
        <w:rPr>
          <w:sz w:val="24"/>
          <w:szCs w:val="24"/>
          <w:vertAlign w:val="subscript"/>
        </w:rPr>
        <w:t>2</w:t>
      </w:r>
      <w:r w:rsidRPr="001867AD">
        <w:rPr>
          <w:sz w:val="24"/>
          <w:szCs w:val="24"/>
        </w:rPr>
        <w:t xml:space="preserve"> emission reduction, while at the same time achieving climate and democratic education.</w:t>
      </w:r>
    </w:p>
    <w:p w14:paraId="51DDD09B" w14:textId="2B6B26E4" w:rsidR="00EB4453" w:rsidRPr="001867AD" w:rsidRDefault="00EB4453" w:rsidP="001867AD">
      <w:pPr>
        <w:jc w:val="both"/>
        <w:rPr>
          <w:sz w:val="24"/>
          <w:szCs w:val="24"/>
        </w:rPr>
      </w:pPr>
      <w:bookmarkStart w:id="21" w:name="_Toc172745438"/>
      <w:r w:rsidRPr="001867AD">
        <w:rPr>
          <w:sz w:val="24"/>
          <w:szCs w:val="24"/>
        </w:rPr>
        <w:t>The ESD intervention can be classified as follows in terms of learning and teaching methods and procedures. The involved group, which was voluntarily participating, assessed different dimensions of the school's CO</w:t>
      </w:r>
      <w:r w:rsidRPr="001867AD">
        <w:rPr>
          <w:sz w:val="24"/>
          <w:szCs w:val="24"/>
          <w:vertAlign w:val="subscript"/>
        </w:rPr>
        <w:t>2</w:t>
      </w:r>
      <w:r w:rsidRPr="001867AD">
        <w:rPr>
          <w:sz w:val="24"/>
          <w:szCs w:val="24"/>
        </w:rPr>
        <w:t xml:space="preserve"> emissions in a self-regulated and self-directed manner. They applied their knowledge and problem-solving skills in a real-world, group-based, solution-oriented environment (REF KRS). Considering all these learning methods and procedures, this ESD intervention can be considered as an innovative ESD intervention (as opposed to more traditional teaching-learning formats) (REF MONI). </w:t>
      </w:r>
    </w:p>
    <w:p w14:paraId="128C097B" w14:textId="62FC06C9" w:rsidR="00285C0A" w:rsidRPr="00EB4453" w:rsidRDefault="00285C0A" w:rsidP="00EB4453">
      <w:pPr>
        <w:pStyle w:val="Heading2"/>
      </w:pPr>
      <w:bookmarkStart w:id="22" w:name="_Toc173164294"/>
      <w:r w:rsidRPr="00EB4453">
        <w:t>Study design and data collection</w:t>
      </w:r>
      <w:bookmarkEnd w:id="21"/>
      <w:bookmarkEnd w:id="22"/>
    </w:p>
    <w:p w14:paraId="3E555B25" w14:textId="04319444" w:rsidR="00EB4453" w:rsidRPr="001867AD" w:rsidRDefault="00EB4453" w:rsidP="001867AD">
      <w:pPr>
        <w:jc w:val="both"/>
        <w:rPr>
          <w:sz w:val="24"/>
          <w:szCs w:val="24"/>
        </w:rPr>
      </w:pPr>
      <w:r w:rsidRPr="001867AD">
        <w:rPr>
          <w:sz w:val="24"/>
          <w:szCs w:val="24"/>
        </w:rPr>
        <w:t xml:space="preserve">The research was designed as an empirical, long-term, quasi-experimental study. To collect the data, a digital survey was created that mapped the constructs of the Theory of Planned Behaviour, which was the same as that used by Pauli (2023) for the first two measurement points. Accordingly, attitudes, subjective norms, perceived behavioural control, intentions and behaviours with regard to climate protection were measured. In addition, the survey was </w:t>
      </w:r>
      <w:r w:rsidRPr="001867AD">
        <w:rPr>
          <w:sz w:val="24"/>
          <w:szCs w:val="24"/>
        </w:rPr>
        <w:lastRenderedPageBreak/>
        <w:t xml:space="preserve">complemented by a </w:t>
      </w:r>
      <w:r w:rsidRPr="001867AD">
        <w:rPr>
          <w:sz w:val="24"/>
          <w:szCs w:val="24"/>
        </w:rPr>
        <w:t>scale measuring efficacy construct</w:t>
      </w:r>
      <w:r w:rsidRPr="001867AD">
        <w:rPr>
          <w:sz w:val="24"/>
          <w:szCs w:val="24"/>
        </w:rPr>
        <w:t xml:space="preserve"> based on the Triple A framework. Accordingly, personal and collective efficacy beliefs as well as action and aim-focused efficacy beliefs were assessed.</w:t>
      </w:r>
    </w:p>
    <w:p w14:paraId="786DE03A" w14:textId="77777777" w:rsidR="00DB14F4" w:rsidRPr="001867AD" w:rsidRDefault="00DB14F4" w:rsidP="001867AD">
      <w:pPr>
        <w:jc w:val="both"/>
        <w:rPr>
          <w:sz w:val="24"/>
          <w:szCs w:val="24"/>
        </w:rPr>
      </w:pPr>
      <w:r w:rsidRPr="001867AD">
        <w:rPr>
          <w:sz w:val="24"/>
          <w:szCs w:val="24"/>
        </w:rPr>
        <w:t xml:space="preserve">The survey was conducted at a secondary school in the Freiburg area, the ANGELL school, a Montessori centre in the city, which is state-recognised and run as an independent non-profit organisation. Following a quasi-experimental design, two comparison groups were formed for the study. The involved group was part of the voluntary KRS expert group that carried out the CO2 measurements in the school, and the control group did not participate at all. They were classified into one of the groups by being asked in the survey whether they participated in the KRS school group. Both groups were surveyed at three different measurement points related to the progress of the intervention, see Table XX. At all three data collection points, the same self-report survey was administered, with the idea of interviewing the same students at three different points in time. This combination of a longitudinal study and a treatment group-control group comparison promises to be particularly informative about the relationship between project participation and impact (N. Döring &amp; Bortz, 2016, p. 1023; </w:t>
      </w:r>
      <w:proofErr w:type="spellStart"/>
      <w:r w:rsidRPr="001867AD">
        <w:rPr>
          <w:sz w:val="24"/>
          <w:szCs w:val="24"/>
        </w:rPr>
        <w:t>Ssossé</w:t>
      </w:r>
      <w:proofErr w:type="spellEnd"/>
      <w:r w:rsidRPr="001867AD">
        <w:rPr>
          <w:sz w:val="24"/>
          <w:szCs w:val="24"/>
        </w:rPr>
        <w:t xml:space="preserve"> et al., 2021, p. 9). (It was not possible to include the potential third group, which was part of the micro-citizen report, because the sample size of that group was too small for data collection. I have therefore excluded this group from all analyses).</w:t>
      </w:r>
    </w:p>
    <w:p w14:paraId="51F485DE" w14:textId="3A12D42A" w:rsidR="00DB14F4" w:rsidRPr="001867AD" w:rsidRDefault="00DB14F4" w:rsidP="001867AD">
      <w:pPr>
        <w:jc w:val="both"/>
        <w:rPr>
          <w:sz w:val="24"/>
          <w:szCs w:val="24"/>
        </w:rPr>
      </w:pPr>
      <w:r w:rsidRPr="001867AD">
        <w:rPr>
          <w:sz w:val="24"/>
          <w:szCs w:val="24"/>
        </w:rPr>
        <w:t>There were some limitations in collecting data at the third measurement point. Due to government regulations, the survey could only be conducted in one of the schools participating in the KRS project. Conducting the survey in more than one school outside the same school authority area would have required permission from the school supervisory authority (REF VERBINF FDB), which was not possible due to time constraints. In the school where the survey was carried out, it was important to minimise disruption to the students. Given the challenge of trying to capture the same students as for the previous two data points, it was decided to survey students in grades 10 and 11. At the first two measurement points, at least 85% of the students were in Years 9 and 10 (REF PAULI), thus maximising the likelihood of interviewing the same students a year later</w:t>
      </w:r>
      <w:r w:rsidRPr="001867AD">
        <w:rPr>
          <w:sz w:val="24"/>
          <w:szCs w:val="24"/>
        </w:rPr>
        <w:t>, see Table XX for overview of data collection</w:t>
      </w:r>
      <w:r w:rsidRPr="001867AD">
        <w:rPr>
          <w:sz w:val="24"/>
          <w:szCs w:val="24"/>
        </w:rPr>
        <w:t xml:space="preserve">. </w:t>
      </w:r>
    </w:p>
    <w:p w14:paraId="38A284F8" w14:textId="1B98DA1F" w:rsidR="00285C0A" w:rsidRPr="00840A2C" w:rsidRDefault="00285C0A" w:rsidP="00285C0A">
      <w:pPr>
        <w:rPr>
          <w:rFonts w:ascii="Calibri" w:hAnsi="Calibri" w:cs="Calibri"/>
        </w:rPr>
      </w:pPr>
      <w:r w:rsidRPr="00840A2C">
        <w:rPr>
          <w:rFonts w:ascii="Calibri" w:hAnsi="Calibri" w:cs="Calibri"/>
        </w:rPr>
        <w:t>Table XX: Overview data collection at the school at three different measurement points.</w:t>
      </w:r>
    </w:p>
    <w:tbl>
      <w:tblPr>
        <w:tblStyle w:val="TableGrid"/>
        <w:tblW w:w="5000" w:type="pct"/>
        <w:tblLayout w:type="fixed"/>
        <w:tblLook w:val="04A0" w:firstRow="1" w:lastRow="0" w:firstColumn="1" w:lastColumn="0" w:noHBand="0" w:noVBand="1"/>
      </w:tblPr>
      <w:tblGrid>
        <w:gridCol w:w="1562"/>
        <w:gridCol w:w="1405"/>
        <w:gridCol w:w="1202"/>
        <w:gridCol w:w="1100"/>
        <w:gridCol w:w="1138"/>
        <w:gridCol w:w="997"/>
        <w:gridCol w:w="1658"/>
      </w:tblGrid>
      <w:tr w:rsidR="00285C0A" w:rsidRPr="00840A2C" w14:paraId="38D1D27A" w14:textId="77777777" w:rsidTr="000D0F0C">
        <w:trPr>
          <w:trHeight w:val="912"/>
        </w:trPr>
        <w:tc>
          <w:tcPr>
            <w:tcW w:w="862" w:type="pct"/>
          </w:tcPr>
          <w:p w14:paraId="4DD3EDBE" w14:textId="77777777" w:rsidR="00285C0A" w:rsidRPr="00840A2C" w:rsidRDefault="00285C0A" w:rsidP="000D0F0C">
            <w:pPr>
              <w:rPr>
                <w:rFonts w:ascii="Calibri" w:hAnsi="Calibri" w:cs="Calibri"/>
                <w:b/>
                <w:bCs/>
              </w:rPr>
            </w:pPr>
            <w:r w:rsidRPr="00840A2C">
              <w:rPr>
                <w:rFonts w:ascii="Calibri" w:hAnsi="Calibri" w:cs="Calibri"/>
                <w:b/>
                <w:bCs/>
              </w:rPr>
              <w:t># Measurement points</w:t>
            </w:r>
          </w:p>
        </w:tc>
        <w:tc>
          <w:tcPr>
            <w:tcW w:w="775" w:type="pct"/>
          </w:tcPr>
          <w:p w14:paraId="56546F15" w14:textId="77777777" w:rsidR="00285C0A" w:rsidRPr="00840A2C" w:rsidRDefault="00285C0A" w:rsidP="000D0F0C">
            <w:pPr>
              <w:rPr>
                <w:rFonts w:ascii="Calibri" w:hAnsi="Calibri" w:cs="Calibri"/>
                <w:b/>
                <w:bCs/>
              </w:rPr>
            </w:pPr>
            <w:r w:rsidRPr="00840A2C">
              <w:rPr>
                <w:rFonts w:ascii="Calibri" w:hAnsi="Calibri" w:cs="Calibri"/>
                <w:b/>
                <w:bCs/>
              </w:rPr>
              <w:t>Intervention phase</w:t>
            </w:r>
          </w:p>
        </w:tc>
        <w:tc>
          <w:tcPr>
            <w:tcW w:w="663" w:type="pct"/>
          </w:tcPr>
          <w:p w14:paraId="00366966" w14:textId="77777777" w:rsidR="00285C0A" w:rsidRPr="00840A2C" w:rsidRDefault="00285C0A" w:rsidP="000D0F0C">
            <w:pPr>
              <w:rPr>
                <w:rFonts w:ascii="Calibri" w:hAnsi="Calibri" w:cs="Calibri"/>
                <w:b/>
                <w:bCs/>
              </w:rPr>
            </w:pPr>
            <w:r w:rsidRPr="00840A2C">
              <w:rPr>
                <w:rFonts w:ascii="Calibri" w:hAnsi="Calibri" w:cs="Calibri"/>
                <w:b/>
                <w:bCs/>
              </w:rPr>
              <w:t>Data of data collection</w:t>
            </w:r>
          </w:p>
        </w:tc>
        <w:tc>
          <w:tcPr>
            <w:tcW w:w="607" w:type="pct"/>
          </w:tcPr>
          <w:p w14:paraId="42762FB1" w14:textId="77777777" w:rsidR="00285C0A" w:rsidRPr="00840A2C" w:rsidRDefault="00285C0A" w:rsidP="000D0F0C">
            <w:pPr>
              <w:rPr>
                <w:rFonts w:ascii="Calibri" w:hAnsi="Calibri" w:cs="Calibri"/>
                <w:b/>
                <w:bCs/>
              </w:rPr>
            </w:pPr>
            <w:r w:rsidRPr="00840A2C">
              <w:rPr>
                <w:rFonts w:ascii="Calibri" w:hAnsi="Calibri" w:cs="Calibri"/>
                <w:b/>
                <w:bCs/>
              </w:rPr>
              <w:t>Classes surveyed</w:t>
            </w:r>
          </w:p>
        </w:tc>
        <w:tc>
          <w:tcPr>
            <w:tcW w:w="628" w:type="pct"/>
          </w:tcPr>
          <w:p w14:paraId="4B1077A3" w14:textId="77777777" w:rsidR="00285C0A" w:rsidRPr="00840A2C" w:rsidRDefault="00285C0A" w:rsidP="000D0F0C">
            <w:pPr>
              <w:rPr>
                <w:rFonts w:ascii="Calibri" w:hAnsi="Calibri" w:cs="Calibri"/>
                <w:b/>
                <w:bCs/>
              </w:rPr>
            </w:pPr>
            <w:r w:rsidRPr="00840A2C">
              <w:rPr>
                <w:rFonts w:ascii="Calibri" w:hAnsi="Calibri" w:cs="Calibri"/>
                <w:b/>
                <w:bCs/>
              </w:rPr>
              <w:t>Data collector</w:t>
            </w:r>
          </w:p>
        </w:tc>
        <w:tc>
          <w:tcPr>
            <w:tcW w:w="550" w:type="pct"/>
          </w:tcPr>
          <w:p w14:paraId="51CA8460" w14:textId="77777777" w:rsidR="00285C0A" w:rsidRPr="00840A2C" w:rsidRDefault="00285C0A" w:rsidP="000D0F0C">
            <w:pPr>
              <w:rPr>
                <w:rFonts w:ascii="Calibri" w:hAnsi="Calibri" w:cs="Calibri"/>
                <w:b/>
                <w:bCs/>
              </w:rPr>
            </w:pPr>
            <w:r w:rsidRPr="00840A2C">
              <w:rPr>
                <w:rFonts w:ascii="Calibri" w:hAnsi="Calibri" w:cs="Calibri"/>
                <w:b/>
                <w:bCs/>
              </w:rPr>
              <w:t>Presence of investigator</w:t>
            </w:r>
          </w:p>
        </w:tc>
        <w:tc>
          <w:tcPr>
            <w:tcW w:w="915" w:type="pct"/>
          </w:tcPr>
          <w:p w14:paraId="614540BF" w14:textId="77777777" w:rsidR="00285C0A" w:rsidRPr="00840A2C" w:rsidRDefault="00285C0A" w:rsidP="000D0F0C">
            <w:pPr>
              <w:rPr>
                <w:rFonts w:ascii="Calibri" w:hAnsi="Calibri" w:cs="Calibri"/>
                <w:b/>
                <w:bCs/>
              </w:rPr>
            </w:pPr>
            <w:r w:rsidRPr="00840A2C">
              <w:rPr>
                <w:rFonts w:ascii="Calibri" w:hAnsi="Calibri" w:cs="Calibri"/>
                <w:b/>
                <w:bCs/>
              </w:rPr>
              <w:t>N data collected (control group/involved group)</w:t>
            </w:r>
          </w:p>
        </w:tc>
      </w:tr>
      <w:tr w:rsidR="00285C0A" w:rsidRPr="00840A2C" w14:paraId="1BADB3C6" w14:textId="77777777" w:rsidTr="000D0F0C">
        <w:trPr>
          <w:trHeight w:val="1074"/>
        </w:trPr>
        <w:tc>
          <w:tcPr>
            <w:tcW w:w="862" w:type="pct"/>
          </w:tcPr>
          <w:p w14:paraId="64846C28" w14:textId="47F48B98" w:rsidR="00285C0A" w:rsidRPr="00840A2C" w:rsidRDefault="0056190C" w:rsidP="000D0F0C">
            <w:pPr>
              <w:rPr>
                <w:rFonts w:ascii="Calibri" w:hAnsi="Calibri" w:cs="Calibri"/>
              </w:rPr>
            </w:pPr>
            <w:r>
              <w:rPr>
                <w:rFonts w:ascii="Calibri" w:hAnsi="Calibri" w:cs="Calibri"/>
              </w:rPr>
              <w:t xml:space="preserve">Measurement </w:t>
            </w:r>
            <w:r w:rsidR="00A9454A">
              <w:rPr>
                <w:rFonts w:ascii="Calibri" w:hAnsi="Calibri" w:cs="Calibri"/>
              </w:rPr>
              <w:t>P</w:t>
            </w:r>
            <w:r>
              <w:rPr>
                <w:rFonts w:ascii="Calibri" w:hAnsi="Calibri" w:cs="Calibri"/>
              </w:rPr>
              <w:t>oint 1</w:t>
            </w:r>
            <w:r w:rsidR="001D7024">
              <w:rPr>
                <w:rFonts w:ascii="Calibri" w:hAnsi="Calibri" w:cs="Calibri"/>
              </w:rPr>
              <w:t xml:space="preserve"> (MP1)</w:t>
            </w:r>
          </w:p>
        </w:tc>
        <w:tc>
          <w:tcPr>
            <w:tcW w:w="775" w:type="pct"/>
          </w:tcPr>
          <w:p w14:paraId="47363291" w14:textId="6CD8569F" w:rsidR="00285C0A" w:rsidRPr="00840A2C" w:rsidRDefault="0096539E" w:rsidP="000D0F0C">
            <w:pPr>
              <w:rPr>
                <w:rFonts w:ascii="Calibri" w:hAnsi="Calibri" w:cs="Calibri"/>
              </w:rPr>
            </w:pPr>
            <w:r>
              <w:rPr>
                <w:rFonts w:ascii="Calibri" w:hAnsi="Calibri" w:cs="Calibri"/>
              </w:rPr>
              <w:t>Pre-intervention (</w:t>
            </w:r>
            <w:r w:rsidR="00285C0A" w:rsidRPr="00840A2C">
              <w:rPr>
                <w:rFonts w:ascii="Calibri" w:hAnsi="Calibri" w:cs="Calibri"/>
              </w:rPr>
              <w:t>Project start</w:t>
            </w:r>
            <w:r>
              <w:rPr>
                <w:rFonts w:ascii="Calibri" w:hAnsi="Calibri" w:cs="Calibri"/>
              </w:rPr>
              <w:t>)</w:t>
            </w:r>
          </w:p>
        </w:tc>
        <w:tc>
          <w:tcPr>
            <w:tcW w:w="663" w:type="pct"/>
          </w:tcPr>
          <w:p w14:paraId="053EBE12" w14:textId="77777777" w:rsidR="00285C0A" w:rsidRPr="00840A2C" w:rsidRDefault="00285C0A" w:rsidP="000D0F0C">
            <w:pPr>
              <w:rPr>
                <w:rFonts w:ascii="Calibri" w:hAnsi="Calibri" w:cs="Calibri"/>
              </w:rPr>
            </w:pPr>
            <w:r w:rsidRPr="00840A2C">
              <w:rPr>
                <w:rFonts w:ascii="Calibri" w:hAnsi="Calibri" w:cs="Calibri"/>
              </w:rPr>
              <w:t>09.02.2023</w:t>
            </w:r>
          </w:p>
        </w:tc>
        <w:tc>
          <w:tcPr>
            <w:tcW w:w="607" w:type="pct"/>
          </w:tcPr>
          <w:p w14:paraId="530E6066" w14:textId="77777777" w:rsidR="00285C0A" w:rsidRPr="00840A2C" w:rsidRDefault="00285C0A" w:rsidP="000D0F0C">
            <w:pPr>
              <w:rPr>
                <w:rFonts w:ascii="Calibri" w:hAnsi="Calibri" w:cs="Calibri"/>
              </w:rPr>
            </w:pPr>
            <w:r w:rsidRPr="00840A2C">
              <w:rPr>
                <w:rFonts w:ascii="Calibri" w:hAnsi="Calibri" w:cs="Calibri"/>
              </w:rPr>
              <w:t xml:space="preserve">7-11 </w:t>
            </w:r>
          </w:p>
        </w:tc>
        <w:tc>
          <w:tcPr>
            <w:tcW w:w="628" w:type="pct"/>
          </w:tcPr>
          <w:p w14:paraId="69951B2B"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184032F7"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71EFE83F" w14:textId="77777777" w:rsidR="00285C0A" w:rsidRPr="00840A2C" w:rsidRDefault="00285C0A" w:rsidP="000D0F0C">
            <w:pPr>
              <w:rPr>
                <w:rFonts w:ascii="Calibri" w:hAnsi="Calibri" w:cs="Calibri"/>
              </w:rPr>
            </w:pPr>
            <w:r w:rsidRPr="00840A2C">
              <w:rPr>
                <w:rFonts w:ascii="Calibri" w:hAnsi="Calibri" w:cs="Calibri"/>
              </w:rPr>
              <w:t>76 (56/20)</w:t>
            </w:r>
          </w:p>
        </w:tc>
      </w:tr>
      <w:tr w:rsidR="00285C0A" w:rsidRPr="00840A2C" w14:paraId="5B7F5E0E" w14:textId="77777777" w:rsidTr="000D0F0C">
        <w:trPr>
          <w:trHeight w:val="1074"/>
        </w:trPr>
        <w:tc>
          <w:tcPr>
            <w:tcW w:w="862" w:type="pct"/>
          </w:tcPr>
          <w:p w14:paraId="71D66235" w14:textId="7F24F584" w:rsidR="00285C0A" w:rsidRPr="00840A2C" w:rsidRDefault="0056190C" w:rsidP="000D0F0C">
            <w:pPr>
              <w:rPr>
                <w:rFonts w:ascii="Calibri" w:hAnsi="Calibri" w:cs="Calibri"/>
              </w:rPr>
            </w:pPr>
            <w:r>
              <w:rPr>
                <w:rFonts w:ascii="Calibri" w:hAnsi="Calibri" w:cs="Calibri"/>
              </w:rPr>
              <w:t xml:space="preserve">Measurement </w:t>
            </w:r>
            <w:r w:rsidR="00A9454A">
              <w:rPr>
                <w:rFonts w:ascii="Calibri" w:hAnsi="Calibri" w:cs="Calibri"/>
              </w:rPr>
              <w:t>P</w:t>
            </w:r>
            <w:r>
              <w:rPr>
                <w:rFonts w:ascii="Calibri" w:hAnsi="Calibri" w:cs="Calibri"/>
              </w:rPr>
              <w:t>oint 2</w:t>
            </w:r>
            <w:r w:rsidR="003C45AA">
              <w:rPr>
                <w:rFonts w:ascii="Calibri" w:hAnsi="Calibri" w:cs="Calibri"/>
              </w:rPr>
              <w:t xml:space="preserve"> (MP2)</w:t>
            </w:r>
          </w:p>
        </w:tc>
        <w:tc>
          <w:tcPr>
            <w:tcW w:w="775" w:type="pct"/>
          </w:tcPr>
          <w:p w14:paraId="48827CB2" w14:textId="1291DB66" w:rsidR="00285C0A" w:rsidRPr="00840A2C" w:rsidRDefault="0096539E" w:rsidP="000D0F0C">
            <w:pPr>
              <w:rPr>
                <w:rFonts w:ascii="Calibri" w:hAnsi="Calibri" w:cs="Calibri"/>
              </w:rPr>
            </w:pPr>
            <w:r>
              <w:rPr>
                <w:rFonts w:ascii="Calibri" w:hAnsi="Calibri" w:cs="Calibri"/>
              </w:rPr>
              <w:t>Immediately post-intervention (</w:t>
            </w:r>
            <w:r w:rsidR="00F573E2">
              <w:rPr>
                <w:rFonts w:ascii="Calibri" w:hAnsi="Calibri" w:cs="Calibri"/>
              </w:rPr>
              <w:t>e</w:t>
            </w:r>
            <w:r w:rsidR="00285C0A" w:rsidRPr="00840A2C">
              <w:rPr>
                <w:rFonts w:ascii="Calibri" w:hAnsi="Calibri" w:cs="Calibri"/>
              </w:rPr>
              <w:t>nd of active phase of project</w:t>
            </w:r>
            <w:r>
              <w:rPr>
                <w:rFonts w:ascii="Calibri" w:hAnsi="Calibri" w:cs="Calibri"/>
              </w:rPr>
              <w:t>)</w:t>
            </w:r>
          </w:p>
        </w:tc>
        <w:tc>
          <w:tcPr>
            <w:tcW w:w="663" w:type="pct"/>
          </w:tcPr>
          <w:p w14:paraId="50F692CD" w14:textId="77777777" w:rsidR="00285C0A" w:rsidRPr="00840A2C" w:rsidRDefault="00285C0A" w:rsidP="000D0F0C">
            <w:pPr>
              <w:rPr>
                <w:rFonts w:ascii="Calibri" w:hAnsi="Calibri" w:cs="Calibri"/>
              </w:rPr>
            </w:pPr>
            <w:r w:rsidRPr="00840A2C">
              <w:rPr>
                <w:rFonts w:ascii="Calibri" w:hAnsi="Calibri" w:cs="Calibri"/>
              </w:rPr>
              <w:t>10.05.2023</w:t>
            </w:r>
          </w:p>
        </w:tc>
        <w:tc>
          <w:tcPr>
            <w:tcW w:w="607" w:type="pct"/>
          </w:tcPr>
          <w:p w14:paraId="1E6AB005" w14:textId="77777777" w:rsidR="00285C0A" w:rsidRPr="00840A2C" w:rsidRDefault="00285C0A" w:rsidP="000D0F0C">
            <w:pPr>
              <w:rPr>
                <w:rFonts w:ascii="Calibri" w:hAnsi="Calibri" w:cs="Calibri"/>
              </w:rPr>
            </w:pPr>
            <w:r w:rsidRPr="00840A2C">
              <w:rPr>
                <w:rFonts w:ascii="Calibri" w:hAnsi="Calibri" w:cs="Calibri"/>
              </w:rPr>
              <w:t>7-11</w:t>
            </w:r>
          </w:p>
        </w:tc>
        <w:tc>
          <w:tcPr>
            <w:tcW w:w="628" w:type="pct"/>
          </w:tcPr>
          <w:p w14:paraId="7DEF78B8"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66F720EE"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31B72E7E" w14:textId="77777777" w:rsidR="00285C0A" w:rsidRPr="00840A2C" w:rsidRDefault="00285C0A" w:rsidP="000D0F0C">
            <w:pPr>
              <w:rPr>
                <w:rFonts w:ascii="Calibri" w:hAnsi="Calibri" w:cs="Calibri"/>
              </w:rPr>
            </w:pPr>
            <w:r w:rsidRPr="00840A2C">
              <w:rPr>
                <w:rFonts w:ascii="Calibri" w:hAnsi="Calibri" w:cs="Calibri"/>
              </w:rPr>
              <w:t>81 (63/18)</w:t>
            </w:r>
          </w:p>
        </w:tc>
      </w:tr>
      <w:tr w:rsidR="00285C0A" w:rsidRPr="00840A2C" w14:paraId="2CEC66EE" w14:textId="77777777" w:rsidTr="000D0F0C">
        <w:trPr>
          <w:trHeight w:val="1074"/>
        </w:trPr>
        <w:tc>
          <w:tcPr>
            <w:tcW w:w="862" w:type="pct"/>
          </w:tcPr>
          <w:p w14:paraId="40482776" w14:textId="397FED13" w:rsidR="00285C0A" w:rsidRPr="00840A2C" w:rsidRDefault="0056190C" w:rsidP="000D0F0C">
            <w:pPr>
              <w:rPr>
                <w:rFonts w:ascii="Calibri" w:hAnsi="Calibri" w:cs="Calibri"/>
              </w:rPr>
            </w:pPr>
            <w:r>
              <w:rPr>
                <w:rFonts w:ascii="Calibri" w:hAnsi="Calibri" w:cs="Calibri"/>
              </w:rPr>
              <w:lastRenderedPageBreak/>
              <w:t xml:space="preserve">Measurement </w:t>
            </w:r>
            <w:r w:rsidR="00A9454A">
              <w:rPr>
                <w:rFonts w:ascii="Calibri" w:hAnsi="Calibri" w:cs="Calibri"/>
              </w:rPr>
              <w:t>P</w:t>
            </w:r>
            <w:r>
              <w:rPr>
                <w:rFonts w:ascii="Calibri" w:hAnsi="Calibri" w:cs="Calibri"/>
              </w:rPr>
              <w:t>oint 3</w:t>
            </w:r>
            <w:r w:rsidR="003C45AA">
              <w:rPr>
                <w:rFonts w:ascii="Calibri" w:hAnsi="Calibri" w:cs="Calibri"/>
              </w:rPr>
              <w:t xml:space="preserve"> (MP3)</w:t>
            </w:r>
          </w:p>
        </w:tc>
        <w:tc>
          <w:tcPr>
            <w:tcW w:w="775" w:type="pct"/>
          </w:tcPr>
          <w:p w14:paraId="2B1EB4AF" w14:textId="65018795" w:rsidR="00285C0A" w:rsidRPr="00840A2C" w:rsidRDefault="0096539E" w:rsidP="000D0F0C">
            <w:pPr>
              <w:rPr>
                <w:rFonts w:ascii="Calibri" w:hAnsi="Calibri" w:cs="Calibri"/>
              </w:rPr>
            </w:pPr>
            <w:r>
              <w:rPr>
                <w:rFonts w:ascii="Calibri" w:hAnsi="Calibri" w:cs="Calibri"/>
              </w:rPr>
              <w:t>One year post-intervention</w:t>
            </w:r>
          </w:p>
        </w:tc>
        <w:tc>
          <w:tcPr>
            <w:tcW w:w="663" w:type="pct"/>
          </w:tcPr>
          <w:p w14:paraId="540656BE" w14:textId="77777777" w:rsidR="00285C0A" w:rsidRPr="00840A2C" w:rsidRDefault="00285C0A" w:rsidP="000D0F0C">
            <w:pPr>
              <w:rPr>
                <w:rFonts w:ascii="Calibri" w:hAnsi="Calibri" w:cs="Calibri"/>
              </w:rPr>
            </w:pPr>
            <w:r w:rsidRPr="00840A2C">
              <w:rPr>
                <w:rFonts w:ascii="Calibri" w:hAnsi="Calibri" w:cs="Calibri"/>
              </w:rPr>
              <w:t>13.05.2024 – 06.06.2024</w:t>
            </w:r>
          </w:p>
        </w:tc>
        <w:tc>
          <w:tcPr>
            <w:tcW w:w="607" w:type="pct"/>
          </w:tcPr>
          <w:p w14:paraId="123AA792" w14:textId="77777777" w:rsidR="00285C0A" w:rsidRPr="00840A2C" w:rsidRDefault="00285C0A" w:rsidP="000D0F0C">
            <w:pPr>
              <w:rPr>
                <w:rFonts w:ascii="Calibri" w:hAnsi="Calibri" w:cs="Calibri"/>
              </w:rPr>
            </w:pPr>
            <w:r w:rsidRPr="00840A2C">
              <w:rPr>
                <w:rFonts w:ascii="Calibri" w:hAnsi="Calibri" w:cs="Calibri"/>
              </w:rPr>
              <w:t>10-11</w:t>
            </w:r>
          </w:p>
        </w:tc>
        <w:tc>
          <w:tcPr>
            <w:tcW w:w="628" w:type="pct"/>
          </w:tcPr>
          <w:p w14:paraId="6F3B38C5" w14:textId="77777777" w:rsidR="00285C0A" w:rsidRPr="00840A2C" w:rsidRDefault="00285C0A" w:rsidP="000D0F0C">
            <w:pPr>
              <w:rPr>
                <w:rFonts w:ascii="Calibri" w:hAnsi="Calibri" w:cs="Calibri"/>
              </w:rPr>
            </w:pPr>
            <w:r w:rsidRPr="00840A2C">
              <w:rPr>
                <w:rFonts w:ascii="Calibri" w:hAnsi="Calibri" w:cs="Calibri"/>
              </w:rPr>
              <w:t>Data collected by Gargya</w:t>
            </w:r>
          </w:p>
        </w:tc>
        <w:tc>
          <w:tcPr>
            <w:tcW w:w="550" w:type="pct"/>
          </w:tcPr>
          <w:p w14:paraId="4DFDC844" w14:textId="77777777" w:rsidR="00285C0A" w:rsidRPr="00840A2C" w:rsidRDefault="00285C0A" w:rsidP="000D0F0C">
            <w:pPr>
              <w:rPr>
                <w:rFonts w:ascii="Calibri" w:hAnsi="Calibri" w:cs="Calibri"/>
              </w:rPr>
            </w:pPr>
            <w:r w:rsidRPr="00840A2C">
              <w:rPr>
                <w:rFonts w:ascii="Calibri" w:hAnsi="Calibri" w:cs="Calibri"/>
              </w:rPr>
              <w:t>No</w:t>
            </w:r>
          </w:p>
        </w:tc>
        <w:tc>
          <w:tcPr>
            <w:tcW w:w="915" w:type="pct"/>
          </w:tcPr>
          <w:p w14:paraId="1BF8A55B" w14:textId="77777777" w:rsidR="00285C0A" w:rsidRPr="00840A2C" w:rsidRDefault="00285C0A" w:rsidP="000D0F0C">
            <w:pPr>
              <w:rPr>
                <w:rFonts w:ascii="Calibri" w:hAnsi="Calibri" w:cs="Calibri"/>
              </w:rPr>
            </w:pPr>
            <w:r w:rsidRPr="00840A2C">
              <w:rPr>
                <w:rFonts w:ascii="Calibri" w:hAnsi="Calibri" w:cs="Calibri"/>
              </w:rPr>
              <w:t>49 (42/7)</w:t>
            </w:r>
          </w:p>
        </w:tc>
      </w:tr>
    </w:tbl>
    <w:p w14:paraId="159F2CA2" w14:textId="77777777" w:rsidR="00285C0A" w:rsidRPr="00840A2C" w:rsidRDefault="00285C0A" w:rsidP="00285C0A">
      <w:pPr>
        <w:jc w:val="both"/>
        <w:rPr>
          <w:rFonts w:ascii="Calibri" w:hAnsi="Calibri" w:cs="Calibri"/>
        </w:rPr>
      </w:pPr>
    </w:p>
    <w:p w14:paraId="167FEE3D" w14:textId="77777777" w:rsidR="00285C0A" w:rsidRPr="00DB14F4" w:rsidRDefault="00285C0A" w:rsidP="00DB14F4">
      <w:pPr>
        <w:pStyle w:val="Heading3"/>
      </w:pPr>
      <w:bookmarkStart w:id="23" w:name="_Toc172745440"/>
      <w:bookmarkStart w:id="24" w:name="_Toc173164295"/>
      <w:r w:rsidRPr="00DB14F4">
        <w:t>Survey tools</w:t>
      </w:r>
      <w:bookmarkEnd w:id="23"/>
      <w:bookmarkEnd w:id="24"/>
    </w:p>
    <w:p w14:paraId="523CF2DA" w14:textId="1E698CC3" w:rsidR="00F47D9B" w:rsidRPr="001867AD" w:rsidRDefault="00F47D9B" w:rsidP="001867AD">
      <w:pPr>
        <w:jc w:val="both"/>
        <w:rPr>
          <w:i/>
          <w:iCs/>
          <w:sz w:val="24"/>
          <w:szCs w:val="24"/>
        </w:rPr>
      </w:pPr>
      <w:bookmarkStart w:id="25" w:name="_Toc172745441"/>
      <w:r w:rsidRPr="001867AD">
        <w:rPr>
          <w:sz w:val="24"/>
          <w:szCs w:val="24"/>
        </w:rPr>
        <w:t xml:space="preserve">All information below refers to the </w:t>
      </w:r>
      <w:r w:rsidR="007261A6">
        <w:rPr>
          <w:sz w:val="24"/>
          <w:szCs w:val="24"/>
        </w:rPr>
        <w:t>Measurement Point 3</w:t>
      </w:r>
      <w:r w:rsidRPr="001867AD">
        <w:rPr>
          <w:sz w:val="24"/>
          <w:szCs w:val="24"/>
        </w:rPr>
        <w:t xml:space="preserve">. The survey was conducted in German, see the German questions used in Appendix XX. The items of a scale were asked together in one block. The items were all in the form of statements to be answered on a 4-point Likert scale (0 = strongly disagree, 1 = somewhat disagree, 2 = somewhat agree, 3 = strongly agree). An 'I don't know/No response' option was provided for each item. The completed survey was entered into the </w:t>
      </w:r>
      <w:proofErr w:type="spellStart"/>
      <w:r w:rsidRPr="001867AD">
        <w:rPr>
          <w:sz w:val="24"/>
          <w:szCs w:val="24"/>
        </w:rPr>
        <w:t>Sco</w:t>
      </w:r>
      <w:proofErr w:type="spellEnd"/>
      <w:r w:rsidRPr="001867AD">
        <w:rPr>
          <w:sz w:val="24"/>
          <w:szCs w:val="24"/>
        </w:rPr>
        <w:t>-Scie online survey application and completed online by the students. The suggested test time was 10-15 minutes. In accordance with the state's educational research and data policies, parental and school principal consent was obtained prior to the assessment (see Appendix XX). Participation was voluntary, i.e. students received no credit or financial reward. Participants were assured of complete confidentiality and anonymity. Unfortunately, the researcher could not be present at the third measurement point. Therefore, a slide was prepared with the essential information (see Appendix XX).</w:t>
      </w:r>
    </w:p>
    <w:p w14:paraId="60204CA2" w14:textId="0DFB2188" w:rsidR="00285C0A" w:rsidRPr="00840A2C" w:rsidRDefault="00285C0A" w:rsidP="00285C0A">
      <w:pPr>
        <w:pStyle w:val="Heading4"/>
        <w:rPr>
          <w:rFonts w:ascii="Calibri" w:hAnsi="Calibri" w:cs="Calibri"/>
        </w:rPr>
      </w:pPr>
      <w:r w:rsidRPr="00840A2C">
        <w:rPr>
          <w:rFonts w:ascii="Calibri" w:hAnsi="Calibri" w:cs="Calibri"/>
        </w:rPr>
        <w:t>Sustainability attitude</w:t>
      </w:r>
      <w:r w:rsidR="00F47D9B">
        <w:rPr>
          <w:rFonts w:ascii="Calibri" w:hAnsi="Calibri" w:cs="Calibri"/>
        </w:rPr>
        <w:t>s</w:t>
      </w:r>
      <w:r w:rsidRPr="00840A2C">
        <w:rPr>
          <w:rFonts w:ascii="Calibri" w:hAnsi="Calibri" w:cs="Calibri"/>
        </w:rPr>
        <w:t xml:space="preserve"> and sustainability behaviour</w:t>
      </w:r>
      <w:bookmarkEnd w:id="25"/>
      <w:r w:rsidR="00F47D9B">
        <w:rPr>
          <w:rFonts w:ascii="Calibri" w:hAnsi="Calibri" w:cs="Calibri"/>
        </w:rPr>
        <w:t>s</w:t>
      </w:r>
    </w:p>
    <w:p w14:paraId="1448BD62" w14:textId="77777777" w:rsidR="00905D8D" w:rsidRPr="001867AD" w:rsidRDefault="00905D8D" w:rsidP="001867AD">
      <w:pPr>
        <w:jc w:val="both"/>
        <w:rPr>
          <w:sz w:val="24"/>
          <w:szCs w:val="24"/>
        </w:rPr>
      </w:pPr>
      <w:r w:rsidRPr="001867AD">
        <w:rPr>
          <w:sz w:val="24"/>
          <w:szCs w:val="24"/>
        </w:rPr>
        <w:t>In order to ensure the comparability of the data with the first two measurement points and to allow for long-term assessment, the exact same questions were used at the third measurement point, based on Pauli (2023). The scale was designed on the basis of the Theory of Planned Behaviour and included elements of attitudes, subjective norms, perceived behavioural control, intentions and behaviour, see Table XX. Pauli (2023) collected the questions from various literature sources and partly adapted them to a high school context.</w:t>
      </w:r>
    </w:p>
    <w:p w14:paraId="038D596E" w14:textId="79D056F5" w:rsidR="00285C0A" w:rsidRPr="00840A2C" w:rsidRDefault="00285C0A" w:rsidP="00285C0A">
      <w:pPr>
        <w:jc w:val="both"/>
        <w:rPr>
          <w:rFonts w:ascii="Calibri" w:hAnsi="Calibri" w:cs="Calibri"/>
        </w:rPr>
      </w:pPr>
      <w:r w:rsidRPr="00840A2C">
        <w:rPr>
          <w:rFonts w:ascii="Calibri" w:hAnsi="Calibri" w:cs="Calibri"/>
        </w:rPr>
        <w:t xml:space="preserve">Table XX: </w:t>
      </w:r>
      <w:r w:rsidR="00905D8D" w:rsidRPr="00905D8D">
        <w:rPr>
          <w:rFonts w:ascii="Calibri" w:hAnsi="Calibri" w:cs="Calibri"/>
        </w:rPr>
        <w:t>The scales used to measure sustainability attitudes and sustainability behaviours based on the Theory of Planned Behaviour. Attitudes, subjective norms, perceived behavioural control and intentions were combined to form sustainability attitudes, and self-reported behaviours were taken as sustainability behaviours. The scales have been copied one to one from Pauli (2023)</w:t>
      </w:r>
      <w:r w:rsidR="00323F1C">
        <w:rPr>
          <w:rFonts w:ascii="Calibri" w:hAnsi="Calibri" w:cs="Calibri"/>
        </w:rPr>
        <w:t xml:space="preserve"> (and only translated back to English here for consistency).</w:t>
      </w:r>
    </w:p>
    <w:tbl>
      <w:tblPr>
        <w:tblStyle w:val="TableGrid"/>
        <w:tblW w:w="5000" w:type="pct"/>
        <w:tblLook w:val="04A0" w:firstRow="1" w:lastRow="0" w:firstColumn="1" w:lastColumn="0" w:noHBand="0" w:noVBand="1"/>
      </w:tblPr>
      <w:tblGrid>
        <w:gridCol w:w="440"/>
        <w:gridCol w:w="1272"/>
        <w:gridCol w:w="679"/>
        <w:gridCol w:w="1405"/>
        <w:gridCol w:w="4439"/>
        <w:gridCol w:w="827"/>
      </w:tblGrid>
      <w:tr w:rsidR="00285C0A" w:rsidRPr="00840A2C" w14:paraId="50CB1B3A" w14:textId="77777777" w:rsidTr="000D0F0C">
        <w:tc>
          <w:tcPr>
            <w:tcW w:w="157" w:type="pct"/>
          </w:tcPr>
          <w:p w14:paraId="60AC76DF" w14:textId="77777777" w:rsidR="00285C0A" w:rsidRPr="00840A2C" w:rsidRDefault="00285C0A" w:rsidP="000D0F0C">
            <w:pPr>
              <w:jc w:val="both"/>
              <w:rPr>
                <w:rFonts w:ascii="Calibri" w:hAnsi="Calibri" w:cs="Calibri"/>
              </w:rPr>
            </w:pPr>
            <w:r w:rsidRPr="00840A2C">
              <w:rPr>
                <w:rFonts w:ascii="Calibri" w:hAnsi="Calibri" w:cs="Calibri"/>
              </w:rPr>
              <w:t>#</w:t>
            </w:r>
          </w:p>
        </w:tc>
        <w:tc>
          <w:tcPr>
            <w:tcW w:w="518" w:type="pct"/>
          </w:tcPr>
          <w:p w14:paraId="535945C4" w14:textId="77777777" w:rsidR="00285C0A" w:rsidRPr="00840A2C" w:rsidRDefault="00285C0A" w:rsidP="000D0F0C">
            <w:pPr>
              <w:jc w:val="both"/>
              <w:rPr>
                <w:rFonts w:ascii="Calibri" w:hAnsi="Calibri" w:cs="Calibri"/>
              </w:rPr>
            </w:pPr>
            <w:r w:rsidRPr="00840A2C">
              <w:rPr>
                <w:rFonts w:ascii="Calibri" w:hAnsi="Calibri" w:cs="Calibri"/>
              </w:rPr>
              <w:t>Scale</w:t>
            </w:r>
          </w:p>
        </w:tc>
        <w:tc>
          <w:tcPr>
            <w:tcW w:w="287" w:type="pct"/>
          </w:tcPr>
          <w:p w14:paraId="22D65A9A" w14:textId="77777777" w:rsidR="00285C0A" w:rsidRPr="00840A2C" w:rsidRDefault="00285C0A" w:rsidP="000D0F0C">
            <w:pPr>
              <w:jc w:val="both"/>
              <w:rPr>
                <w:rFonts w:ascii="Calibri" w:hAnsi="Calibri" w:cs="Calibri"/>
              </w:rPr>
            </w:pPr>
            <w:r w:rsidRPr="00840A2C">
              <w:rPr>
                <w:rFonts w:ascii="Calibri" w:hAnsi="Calibri" w:cs="Calibri"/>
              </w:rPr>
              <w:t>Item</w:t>
            </w:r>
          </w:p>
        </w:tc>
        <w:tc>
          <w:tcPr>
            <w:tcW w:w="558" w:type="pct"/>
          </w:tcPr>
          <w:p w14:paraId="145E9D17" w14:textId="77777777" w:rsidR="00285C0A" w:rsidRPr="00840A2C" w:rsidRDefault="00285C0A" w:rsidP="000D0F0C">
            <w:pPr>
              <w:jc w:val="both"/>
              <w:rPr>
                <w:rFonts w:ascii="Calibri" w:hAnsi="Calibri" w:cs="Calibri"/>
              </w:rPr>
            </w:pPr>
            <w:r w:rsidRPr="00840A2C">
              <w:rPr>
                <w:rFonts w:ascii="Calibri" w:hAnsi="Calibri" w:cs="Calibri"/>
              </w:rPr>
              <w:t>Theoretical classification</w:t>
            </w:r>
          </w:p>
        </w:tc>
        <w:tc>
          <w:tcPr>
            <w:tcW w:w="2992" w:type="pct"/>
          </w:tcPr>
          <w:p w14:paraId="0CBD385A" w14:textId="77777777" w:rsidR="00285C0A" w:rsidRPr="00840A2C" w:rsidRDefault="00285C0A" w:rsidP="000D0F0C">
            <w:pPr>
              <w:jc w:val="both"/>
              <w:rPr>
                <w:rFonts w:ascii="Calibri" w:hAnsi="Calibri" w:cs="Calibri"/>
              </w:rPr>
            </w:pPr>
            <w:r w:rsidRPr="00840A2C">
              <w:rPr>
                <w:rFonts w:ascii="Calibri" w:hAnsi="Calibri" w:cs="Calibri"/>
              </w:rPr>
              <w:t>Question (drawn from original sources in English)</w:t>
            </w:r>
          </w:p>
        </w:tc>
        <w:tc>
          <w:tcPr>
            <w:tcW w:w="489" w:type="pct"/>
          </w:tcPr>
          <w:p w14:paraId="522782A0" w14:textId="77777777" w:rsidR="00285C0A" w:rsidRPr="00840A2C" w:rsidRDefault="00285C0A" w:rsidP="000D0F0C">
            <w:pPr>
              <w:jc w:val="both"/>
              <w:rPr>
                <w:rFonts w:ascii="Calibri" w:hAnsi="Calibri" w:cs="Calibri"/>
              </w:rPr>
            </w:pPr>
            <w:r w:rsidRPr="00840A2C">
              <w:rPr>
                <w:rFonts w:ascii="Calibri" w:hAnsi="Calibri" w:cs="Calibri"/>
              </w:rPr>
              <w:t>Source</w:t>
            </w:r>
          </w:p>
        </w:tc>
      </w:tr>
      <w:tr w:rsidR="00285C0A" w:rsidRPr="00840A2C" w14:paraId="2DA0D6FB" w14:textId="77777777" w:rsidTr="000D0F0C">
        <w:tc>
          <w:tcPr>
            <w:tcW w:w="157" w:type="pct"/>
          </w:tcPr>
          <w:p w14:paraId="1AE05784" w14:textId="77777777" w:rsidR="00285C0A" w:rsidRPr="00840A2C" w:rsidRDefault="00285C0A" w:rsidP="000D0F0C">
            <w:pPr>
              <w:jc w:val="both"/>
              <w:rPr>
                <w:rFonts w:ascii="Calibri" w:hAnsi="Calibri" w:cs="Calibri"/>
              </w:rPr>
            </w:pPr>
            <w:r w:rsidRPr="00840A2C">
              <w:rPr>
                <w:rFonts w:ascii="Calibri" w:hAnsi="Calibri" w:cs="Calibri"/>
              </w:rPr>
              <w:t>1</w:t>
            </w:r>
          </w:p>
        </w:tc>
        <w:tc>
          <w:tcPr>
            <w:tcW w:w="518" w:type="pct"/>
            <w:vMerge w:val="restart"/>
          </w:tcPr>
          <w:p w14:paraId="2B8A1575" w14:textId="77777777" w:rsidR="00285C0A" w:rsidRPr="00840A2C" w:rsidRDefault="00285C0A" w:rsidP="000D0F0C">
            <w:pPr>
              <w:jc w:val="both"/>
              <w:rPr>
                <w:rFonts w:ascii="Calibri" w:hAnsi="Calibri" w:cs="Calibri"/>
              </w:rPr>
            </w:pPr>
            <w:r w:rsidRPr="00840A2C">
              <w:rPr>
                <w:rFonts w:ascii="Calibri" w:hAnsi="Calibri" w:cs="Calibri"/>
                <w:kern w:val="0"/>
              </w:rPr>
              <w:t>Attitudes towards climate-protecting behaviour</w:t>
            </w:r>
          </w:p>
        </w:tc>
        <w:tc>
          <w:tcPr>
            <w:tcW w:w="287" w:type="pct"/>
          </w:tcPr>
          <w:p w14:paraId="6B65ED50" w14:textId="77777777" w:rsidR="00285C0A" w:rsidRPr="00840A2C" w:rsidRDefault="00285C0A" w:rsidP="000D0F0C">
            <w:pPr>
              <w:jc w:val="both"/>
              <w:rPr>
                <w:rFonts w:ascii="Calibri" w:hAnsi="Calibri" w:cs="Calibri"/>
              </w:rPr>
            </w:pPr>
            <w:r w:rsidRPr="00840A2C">
              <w:rPr>
                <w:rFonts w:ascii="Calibri" w:hAnsi="Calibri" w:cs="Calibri"/>
              </w:rPr>
              <w:t>AT1</w:t>
            </w:r>
          </w:p>
        </w:tc>
        <w:tc>
          <w:tcPr>
            <w:tcW w:w="558" w:type="pct"/>
            <w:vMerge w:val="restart"/>
          </w:tcPr>
          <w:p w14:paraId="404DFEAA" w14:textId="77777777" w:rsidR="00285C0A" w:rsidRPr="00840A2C" w:rsidRDefault="00285C0A" w:rsidP="000D0F0C">
            <w:pPr>
              <w:pStyle w:val="Default"/>
              <w:jc w:val="both"/>
              <w:rPr>
                <w:sz w:val="22"/>
                <w:szCs w:val="22"/>
              </w:rPr>
            </w:pPr>
            <w:r w:rsidRPr="00840A2C">
              <w:rPr>
                <w:sz w:val="22"/>
                <w:szCs w:val="22"/>
              </w:rPr>
              <w:t>Sustainability attitude</w:t>
            </w:r>
          </w:p>
        </w:tc>
        <w:tc>
          <w:tcPr>
            <w:tcW w:w="2992" w:type="pct"/>
          </w:tcPr>
          <w:p w14:paraId="0B2F891E" w14:textId="77777777" w:rsidR="00285C0A" w:rsidRPr="00840A2C" w:rsidRDefault="00285C0A" w:rsidP="000D0F0C">
            <w:pPr>
              <w:pStyle w:val="Default"/>
              <w:jc w:val="both"/>
            </w:pPr>
            <w:r w:rsidRPr="00840A2C">
              <w:rPr>
                <w:sz w:val="22"/>
                <w:szCs w:val="22"/>
              </w:rPr>
              <w:t>The environment in Germany is in danger because of global climate change.</w:t>
            </w:r>
          </w:p>
        </w:tc>
        <w:tc>
          <w:tcPr>
            <w:tcW w:w="489" w:type="pct"/>
            <w:vMerge w:val="restart"/>
          </w:tcPr>
          <w:p w14:paraId="39ABF0B5" w14:textId="77777777" w:rsidR="00285C0A" w:rsidRPr="00840A2C" w:rsidRDefault="00285C0A" w:rsidP="000D0F0C">
            <w:pPr>
              <w:pStyle w:val="Default"/>
              <w:jc w:val="both"/>
            </w:pPr>
            <w:r w:rsidRPr="00840A2C">
              <w:rPr>
                <w:sz w:val="22"/>
                <w:szCs w:val="22"/>
              </w:rPr>
              <w:t xml:space="preserve">Masud et al. 2016 </w:t>
            </w:r>
          </w:p>
          <w:p w14:paraId="143E1B0F" w14:textId="77777777" w:rsidR="00285C0A" w:rsidRPr="00840A2C" w:rsidRDefault="00285C0A" w:rsidP="000D0F0C">
            <w:pPr>
              <w:jc w:val="both"/>
              <w:rPr>
                <w:rFonts w:ascii="Calibri" w:hAnsi="Calibri" w:cs="Calibri"/>
              </w:rPr>
            </w:pPr>
          </w:p>
        </w:tc>
      </w:tr>
      <w:tr w:rsidR="00285C0A" w:rsidRPr="00840A2C" w14:paraId="03AD083E" w14:textId="77777777" w:rsidTr="000D0F0C">
        <w:tc>
          <w:tcPr>
            <w:tcW w:w="157" w:type="pct"/>
          </w:tcPr>
          <w:p w14:paraId="0E642E6F" w14:textId="77777777" w:rsidR="00285C0A" w:rsidRPr="00840A2C" w:rsidRDefault="00285C0A" w:rsidP="000D0F0C">
            <w:pPr>
              <w:jc w:val="both"/>
              <w:rPr>
                <w:rFonts w:ascii="Calibri" w:hAnsi="Calibri" w:cs="Calibri"/>
              </w:rPr>
            </w:pPr>
            <w:r w:rsidRPr="00840A2C">
              <w:rPr>
                <w:rFonts w:ascii="Calibri" w:hAnsi="Calibri" w:cs="Calibri"/>
              </w:rPr>
              <w:t>2</w:t>
            </w:r>
          </w:p>
        </w:tc>
        <w:tc>
          <w:tcPr>
            <w:tcW w:w="518" w:type="pct"/>
            <w:vMerge/>
          </w:tcPr>
          <w:p w14:paraId="3456043C" w14:textId="77777777" w:rsidR="00285C0A" w:rsidRPr="00840A2C" w:rsidRDefault="00285C0A" w:rsidP="000D0F0C">
            <w:pPr>
              <w:jc w:val="both"/>
              <w:rPr>
                <w:rFonts w:ascii="Calibri" w:hAnsi="Calibri" w:cs="Calibri"/>
              </w:rPr>
            </w:pPr>
          </w:p>
        </w:tc>
        <w:tc>
          <w:tcPr>
            <w:tcW w:w="287" w:type="pct"/>
          </w:tcPr>
          <w:p w14:paraId="62ED3634" w14:textId="77777777" w:rsidR="00285C0A" w:rsidRPr="00840A2C" w:rsidRDefault="00285C0A" w:rsidP="000D0F0C">
            <w:pPr>
              <w:jc w:val="both"/>
              <w:rPr>
                <w:rFonts w:ascii="Calibri" w:hAnsi="Calibri" w:cs="Calibri"/>
              </w:rPr>
            </w:pPr>
            <w:r w:rsidRPr="00840A2C">
              <w:rPr>
                <w:rFonts w:ascii="Calibri" w:hAnsi="Calibri" w:cs="Calibri"/>
              </w:rPr>
              <w:t>AT2</w:t>
            </w:r>
          </w:p>
        </w:tc>
        <w:tc>
          <w:tcPr>
            <w:tcW w:w="558" w:type="pct"/>
            <w:vMerge/>
          </w:tcPr>
          <w:p w14:paraId="414562E0" w14:textId="77777777" w:rsidR="00285C0A" w:rsidRPr="00840A2C" w:rsidRDefault="00285C0A" w:rsidP="000D0F0C">
            <w:pPr>
              <w:pStyle w:val="Default"/>
              <w:jc w:val="both"/>
              <w:rPr>
                <w:sz w:val="22"/>
                <w:szCs w:val="22"/>
              </w:rPr>
            </w:pPr>
          </w:p>
        </w:tc>
        <w:tc>
          <w:tcPr>
            <w:tcW w:w="2992" w:type="pct"/>
            <w:shd w:val="clear" w:color="auto" w:fill="auto"/>
          </w:tcPr>
          <w:p w14:paraId="1DEEFA21" w14:textId="77777777" w:rsidR="00285C0A" w:rsidRPr="00840A2C" w:rsidRDefault="00285C0A" w:rsidP="000D0F0C">
            <w:pPr>
              <w:pStyle w:val="Default"/>
              <w:jc w:val="both"/>
            </w:pPr>
            <w:r w:rsidRPr="00840A2C">
              <w:rPr>
                <w:sz w:val="22"/>
                <w:szCs w:val="22"/>
              </w:rPr>
              <w:t>Current global warming is a natural not manmade phenomenon.</w:t>
            </w:r>
          </w:p>
        </w:tc>
        <w:tc>
          <w:tcPr>
            <w:tcW w:w="489" w:type="pct"/>
            <w:vMerge/>
          </w:tcPr>
          <w:p w14:paraId="73FE73CA" w14:textId="77777777" w:rsidR="00285C0A" w:rsidRPr="00840A2C" w:rsidRDefault="00285C0A" w:rsidP="000D0F0C">
            <w:pPr>
              <w:jc w:val="both"/>
              <w:rPr>
                <w:rFonts w:ascii="Calibri" w:hAnsi="Calibri" w:cs="Calibri"/>
              </w:rPr>
            </w:pPr>
          </w:p>
        </w:tc>
      </w:tr>
      <w:tr w:rsidR="00285C0A" w:rsidRPr="00840A2C" w14:paraId="588C1253" w14:textId="77777777" w:rsidTr="000D0F0C">
        <w:tc>
          <w:tcPr>
            <w:tcW w:w="157" w:type="pct"/>
          </w:tcPr>
          <w:p w14:paraId="2021EFBE" w14:textId="77777777" w:rsidR="00285C0A" w:rsidRPr="00840A2C" w:rsidRDefault="00285C0A" w:rsidP="000D0F0C">
            <w:pPr>
              <w:jc w:val="both"/>
              <w:rPr>
                <w:rFonts w:ascii="Calibri" w:hAnsi="Calibri" w:cs="Calibri"/>
              </w:rPr>
            </w:pPr>
            <w:r w:rsidRPr="00840A2C">
              <w:rPr>
                <w:rFonts w:ascii="Calibri" w:hAnsi="Calibri" w:cs="Calibri"/>
              </w:rPr>
              <w:t>3</w:t>
            </w:r>
          </w:p>
        </w:tc>
        <w:tc>
          <w:tcPr>
            <w:tcW w:w="518" w:type="pct"/>
            <w:vMerge/>
          </w:tcPr>
          <w:p w14:paraId="50F70EDC" w14:textId="77777777" w:rsidR="00285C0A" w:rsidRPr="00840A2C" w:rsidRDefault="00285C0A" w:rsidP="000D0F0C">
            <w:pPr>
              <w:jc w:val="both"/>
              <w:rPr>
                <w:rFonts w:ascii="Calibri" w:hAnsi="Calibri" w:cs="Calibri"/>
              </w:rPr>
            </w:pPr>
          </w:p>
        </w:tc>
        <w:tc>
          <w:tcPr>
            <w:tcW w:w="287" w:type="pct"/>
          </w:tcPr>
          <w:p w14:paraId="3101E8A9" w14:textId="77777777" w:rsidR="00285C0A" w:rsidRPr="00840A2C" w:rsidRDefault="00285C0A" w:rsidP="000D0F0C">
            <w:pPr>
              <w:jc w:val="both"/>
              <w:rPr>
                <w:rFonts w:ascii="Calibri" w:hAnsi="Calibri" w:cs="Calibri"/>
              </w:rPr>
            </w:pPr>
            <w:r w:rsidRPr="00840A2C">
              <w:rPr>
                <w:rFonts w:ascii="Calibri" w:hAnsi="Calibri" w:cs="Calibri"/>
              </w:rPr>
              <w:t>AT3</w:t>
            </w:r>
          </w:p>
        </w:tc>
        <w:tc>
          <w:tcPr>
            <w:tcW w:w="558" w:type="pct"/>
            <w:vMerge/>
          </w:tcPr>
          <w:p w14:paraId="314773F6" w14:textId="77777777" w:rsidR="00285C0A" w:rsidRPr="00840A2C" w:rsidRDefault="00285C0A" w:rsidP="000D0F0C">
            <w:pPr>
              <w:pStyle w:val="Default"/>
              <w:jc w:val="both"/>
              <w:rPr>
                <w:sz w:val="22"/>
                <w:szCs w:val="22"/>
              </w:rPr>
            </w:pPr>
          </w:p>
        </w:tc>
        <w:tc>
          <w:tcPr>
            <w:tcW w:w="2992" w:type="pct"/>
          </w:tcPr>
          <w:p w14:paraId="1D3872AB" w14:textId="77777777" w:rsidR="00285C0A" w:rsidRPr="00840A2C" w:rsidRDefault="00285C0A" w:rsidP="000D0F0C">
            <w:pPr>
              <w:pStyle w:val="Default"/>
              <w:jc w:val="both"/>
            </w:pPr>
            <w:r w:rsidRPr="00840A2C">
              <w:rPr>
                <w:sz w:val="22"/>
                <w:szCs w:val="22"/>
              </w:rPr>
              <w:t>Climate change damages the natural environment and wildlife in Germany.</w:t>
            </w:r>
          </w:p>
        </w:tc>
        <w:tc>
          <w:tcPr>
            <w:tcW w:w="489" w:type="pct"/>
            <w:vMerge/>
          </w:tcPr>
          <w:p w14:paraId="1993DCD8" w14:textId="77777777" w:rsidR="00285C0A" w:rsidRPr="00840A2C" w:rsidRDefault="00285C0A" w:rsidP="000D0F0C">
            <w:pPr>
              <w:jc w:val="both"/>
              <w:rPr>
                <w:rFonts w:ascii="Calibri" w:hAnsi="Calibri" w:cs="Calibri"/>
              </w:rPr>
            </w:pPr>
          </w:p>
        </w:tc>
      </w:tr>
      <w:tr w:rsidR="00285C0A" w:rsidRPr="00840A2C" w14:paraId="4C716B57" w14:textId="77777777" w:rsidTr="000D0F0C">
        <w:tc>
          <w:tcPr>
            <w:tcW w:w="157" w:type="pct"/>
          </w:tcPr>
          <w:p w14:paraId="10A7DB6A" w14:textId="77777777" w:rsidR="00285C0A" w:rsidRPr="00840A2C" w:rsidRDefault="00285C0A" w:rsidP="000D0F0C">
            <w:pPr>
              <w:jc w:val="both"/>
              <w:rPr>
                <w:rFonts w:ascii="Calibri" w:hAnsi="Calibri" w:cs="Calibri"/>
              </w:rPr>
            </w:pPr>
            <w:r w:rsidRPr="00840A2C">
              <w:rPr>
                <w:rFonts w:ascii="Calibri" w:hAnsi="Calibri" w:cs="Calibri"/>
              </w:rPr>
              <w:t>4</w:t>
            </w:r>
          </w:p>
        </w:tc>
        <w:tc>
          <w:tcPr>
            <w:tcW w:w="518" w:type="pct"/>
            <w:vMerge/>
          </w:tcPr>
          <w:p w14:paraId="12991C25" w14:textId="77777777" w:rsidR="00285C0A" w:rsidRPr="00840A2C" w:rsidRDefault="00285C0A" w:rsidP="000D0F0C">
            <w:pPr>
              <w:jc w:val="both"/>
              <w:rPr>
                <w:rFonts w:ascii="Calibri" w:hAnsi="Calibri" w:cs="Calibri"/>
              </w:rPr>
            </w:pPr>
          </w:p>
        </w:tc>
        <w:tc>
          <w:tcPr>
            <w:tcW w:w="287" w:type="pct"/>
          </w:tcPr>
          <w:p w14:paraId="16D9787B" w14:textId="77777777" w:rsidR="00285C0A" w:rsidRPr="00840A2C" w:rsidRDefault="00285C0A" w:rsidP="000D0F0C">
            <w:pPr>
              <w:jc w:val="both"/>
              <w:rPr>
                <w:rFonts w:ascii="Calibri" w:hAnsi="Calibri" w:cs="Calibri"/>
              </w:rPr>
            </w:pPr>
            <w:r w:rsidRPr="00840A2C">
              <w:rPr>
                <w:rFonts w:ascii="Calibri" w:hAnsi="Calibri" w:cs="Calibri"/>
              </w:rPr>
              <w:t>AT4</w:t>
            </w:r>
          </w:p>
        </w:tc>
        <w:tc>
          <w:tcPr>
            <w:tcW w:w="558" w:type="pct"/>
            <w:vMerge/>
          </w:tcPr>
          <w:p w14:paraId="2FEFD3A3" w14:textId="77777777" w:rsidR="00285C0A" w:rsidRPr="00840A2C" w:rsidRDefault="00285C0A" w:rsidP="000D0F0C">
            <w:pPr>
              <w:pStyle w:val="Default"/>
              <w:jc w:val="both"/>
              <w:rPr>
                <w:sz w:val="22"/>
                <w:szCs w:val="22"/>
              </w:rPr>
            </w:pPr>
          </w:p>
        </w:tc>
        <w:tc>
          <w:tcPr>
            <w:tcW w:w="2992" w:type="pct"/>
          </w:tcPr>
          <w:p w14:paraId="1E96DC99" w14:textId="77777777" w:rsidR="00285C0A" w:rsidRPr="00840A2C" w:rsidRDefault="00285C0A" w:rsidP="000D0F0C">
            <w:pPr>
              <w:pStyle w:val="Default"/>
              <w:jc w:val="both"/>
            </w:pPr>
            <w:r w:rsidRPr="00840A2C">
              <w:rPr>
                <w:sz w:val="22"/>
                <w:szCs w:val="22"/>
              </w:rPr>
              <w:t>I'm willing to pay a certain amount to reduce the im-pact of climate change.</w:t>
            </w:r>
          </w:p>
        </w:tc>
        <w:tc>
          <w:tcPr>
            <w:tcW w:w="489" w:type="pct"/>
            <w:vMerge/>
          </w:tcPr>
          <w:p w14:paraId="1C999EE5" w14:textId="77777777" w:rsidR="00285C0A" w:rsidRPr="00840A2C" w:rsidRDefault="00285C0A" w:rsidP="000D0F0C">
            <w:pPr>
              <w:jc w:val="both"/>
              <w:rPr>
                <w:rFonts w:ascii="Calibri" w:hAnsi="Calibri" w:cs="Calibri"/>
              </w:rPr>
            </w:pPr>
          </w:p>
        </w:tc>
      </w:tr>
      <w:tr w:rsidR="00285C0A" w:rsidRPr="00840A2C" w14:paraId="44282273" w14:textId="77777777" w:rsidTr="000D0F0C">
        <w:tc>
          <w:tcPr>
            <w:tcW w:w="157" w:type="pct"/>
          </w:tcPr>
          <w:p w14:paraId="362FD2A1" w14:textId="77777777" w:rsidR="00285C0A" w:rsidRPr="00840A2C" w:rsidRDefault="00285C0A" w:rsidP="000D0F0C">
            <w:pPr>
              <w:jc w:val="both"/>
              <w:rPr>
                <w:rFonts w:ascii="Calibri" w:hAnsi="Calibri" w:cs="Calibri"/>
              </w:rPr>
            </w:pPr>
            <w:r w:rsidRPr="00840A2C">
              <w:rPr>
                <w:rFonts w:ascii="Calibri" w:hAnsi="Calibri" w:cs="Calibri"/>
              </w:rPr>
              <w:t>5</w:t>
            </w:r>
          </w:p>
        </w:tc>
        <w:tc>
          <w:tcPr>
            <w:tcW w:w="518" w:type="pct"/>
            <w:vMerge w:val="restart"/>
          </w:tcPr>
          <w:p w14:paraId="63B04526" w14:textId="77777777" w:rsidR="00285C0A" w:rsidRPr="00840A2C" w:rsidRDefault="00285C0A" w:rsidP="000D0F0C">
            <w:pPr>
              <w:pStyle w:val="Default"/>
              <w:jc w:val="both"/>
            </w:pPr>
            <w:r w:rsidRPr="00840A2C">
              <w:rPr>
                <w:sz w:val="22"/>
                <w:szCs w:val="22"/>
              </w:rPr>
              <w:t>Subjective Norms</w:t>
            </w:r>
          </w:p>
          <w:p w14:paraId="7C59BAC3" w14:textId="77777777" w:rsidR="00285C0A" w:rsidRPr="00840A2C" w:rsidRDefault="00285C0A" w:rsidP="000D0F0C">
            <w:pPr>
              <w:jc w:val="both"/>
              <w:rPr>
                <w:rFonts w:ascii="Calibri" w:hAnsi="Calibri" w:cs="Calibri"/>
              </w:rPr>
            </w:pPr>
          </w:p>
        </w:tc>
        <w:tc>
          <w:tcPr>
            <w:tcW w:w="287" w:type="pct"/>
          </w:tcPr>
          <w:p w14:paraId="195EC3A0" w14:textId="77777777" w:rsidR="00285C0A" w:rsidRPr="00840A2C" w:rsidRDefault="00285C0A" w:rsidP="000D0F0C">
            <w:pPr>
              <w:jc w:val="both"/>
              <w:rPr>
                <w:rFonts w:ascii="Calibri" w:hAnsi="Calibri" w:cs="Calibri"/>
              </w:rPr>
            </w:pPr>
            <w:r w:rsidRPr="00840A2C">
              <w:rPr>
                <w:rFonts w:ascii="Calibri" w:hAnsi="Calibri" w:cs="Calibri"/>
              </w:rPr>
              <w:t>SN1</w:t>
            </w:r>
          </w:p>
        </w:tc>
        <w:tc>
          <w:tcPr>
            <w:tcW w:w="558" w:type="pct"/>
            <w:vMerge/>
          </w:tcPr>
          <w:p w14:paraId="6383A378" w14:textId="77777777" w:rsidR="00285C0A" w:rsidRPr="00840A2C" w:rsidRDefault="00285C0A" w:rsidP="000D0F0C">
            <w:pPr>
              <w:pStyle w:val="Default"/>
              <w:jc w:val="both"/>
              <w:rPr>
                <w:sz w:val="22"/>
                <w:szCs w:val="22"/>
              </w:rPr>
            </w:pPr>
          </w:p>
        </w:tc>
        <w:tc>
          <w:tcPr>
            <w:tcW w:w="2992" w:type="pct"/>
            <w:shd w:val="clear" w:color="auto" w:fill="auto"/>
          </w:tcPr>
          <w:p w14:paraId="4C232456" w14:textId="77777777" w:rsidR="00285C0A" w:rsidRPr="00840A2C" w:rsidRDefault="00285C0A" w:rsidP="000D0F0C">
            <w:pPr>
              <w:pStyle w:val="Default"/>
              <w:jc w:val="both"/>
            </w:pPr>
            <w:r w:rsidRPr="00840A2C">
              <w:rPr>
                <w:sz w:val="22"/>
                <w:szCs w:val="22"/>
              </w:rPr>
              <w:t xml:space="preserve">My family often discusses climate change or global warming. </w:t>
            </w:r>
          </w:p>
        </w:tc>
        <w:tc>
          <w:tcPr>
            <w:tcW w:w="489" w:type="pct"/>
            <w:vMerge w:val="restart"/>
          </w:tcPr>
          <w:p w14:paraId="7B35C6BD" w14:textId="77777777" w:rsidR="00285C0A" w:rsidRPr="00840A2C" w:rsidRDefault="00285C0A" w:rsidP="000D0F0C">
            <w:pPr>
              <w:pStyle w:val="Default"/>
              <w:jc w:val="both"/>
            </w:pPr>
            <w:r w:rsidRPr="00840A2C">
              <w:rPr>
                <w:sz w:val="22"/>
                <w:szCs w:val="22"/>
              </w:rPr>
              <w:t xml:space="preserve">Lin 2013 </w:t>
            </w:r>
          </w:p>
          <w:p w14:paraId="59163626" w14:textId="77777777" w:rsidR="00285C0A" w:rsidRPr="00840A2C" w:rsidRDefault="00285C0A" w:rsidP="000D0F0C">
            <w:pPr>
              <w:jc w:val="both"/>
              <w:rPr>
                <w:rFonts w:ascii="Calibri" w:hAnsi="Calibri" w:cs="Calibri"/>
              </w:rPr>
            </w:pPr>
          </w:p>
        </w:tc>
      </w:tr>
      <w:tr w:rsidR="00285C0A" w:rsidRPr="00840A2C" w14:paraId="6FBA6A10" w14:textId="77777777" w:rsidTr="000D0F0C">
        <w:tc>
          <w:tcPr>
            <w:tcW w:w="157" w:type="pct"/>
          </w:tcPr>
          <w:p w14:paraId="52BE7D07" w14:textId="77777777" w:rsidR="00285C0A" w:rsidRPr="00840A2C" w:rsidRDefault="00285C0A" w:rsidP="000D0F0C">
            <w:pPr>
              <w:jc w:val="both"/>
              <w:rPr>
                <w:rFonts w:ascii="Calibri" w:hAnsi="Calibri" w:cs="Calibri"/>
              </w:rPr>
            </w:pPr>
            <w:r w:rsidRPr="00840A2C">
              <w:rPr>
                <w:rFonts w:ascii="Calibri" w:hAnsi="Calibri" w:cs="Calibri"/>
              </w:rPr>
              <w:t>6</w:t>
            </w:r>
          </w:p>
        </w:tc>
        <w:tc>
          <w:tcPr>
            <w:tcW w:w="518" w:type="pct"/>
            <w:vMerge/>
          </w:tcPr>
          <w:p w14:paraId="70CF5AEB" w14:textId="77777777" w:rsidR="00285C0A" w:rsidRPr="00840A2C" w:rsidRDefault="00285C0A" w:rsidP="000D0F0C">
            <w:pPr>
              <w:jc w:val="both"/>
              <w:rPr>
                <w:rFonts w:ascii="Calibri" w:hAnsi="Calibri" w:cs="Calibri"/>
              </w:rPr>
            </w:pPr>
          </w:p>
        </w:tc>
        <w:tc>
          <w:tcPr>
            <w:tcW w:w="287" w:type="pct"/>
          </w:tcPr>
          <w:p w14:paraId="5DDFE05B" w14:textId="77777777" w:rsidR="00285C0A" w:rsidRPr="00840A2C" w:rsidRDefault="00285C0A" w:rsidP="000D0F0C">
            <w:pPr>
              <w:jc w:val="both"/>
              <w:rPr>
                <w:rFonts w:ascii="Calibri" w:hAnsi="Calibri" w:cs="Calibri"/>
              </w:rPr>
            </w:pPr>
            <w:r w:rsidRPr="00840A2C">
              <w:rPr>
                <w:rFonts w:ascii="Calibri" w:hAnsi="Calibri" w:cs="Calibri"/>
              </w:rPr>
              <w:t>SN2</w:t>
            </w:r>
          </w:p>
        </w:tc>
        <w:tc>
          <w:tcPr>
            <w:tcW w:w="558" w:type="pct"/>
            <w:vMerge/>
          </w:tcPr>
          <w:p w14:paraId="70AEEDFB" w14:textId="77777777" w:rsidR="00285C0A" w:rsidRPr="00840A2C" w:rsidRDefault="00285C0A" w:rsidP="000D0F0C">
            <w:pPr>
              <w:pStyle w:val="Default"/>
              <w:jc w:val="both"/>
              <w:rPr>
                <w:sz w:val="22"/>
                <w:szCs w:val="22"/>
              </w:rPr>
            </w:pPr>
          </w:p>
        </w:tc>
        <w:tc>
          <w:tcPr>
            <w:tcW w:w="2992" w:type="pct"/>
          </w:tcPr>
          <w:p w14:paraId="01EC97BF" w14:textId="77777777" w:rsidR="00285C0A" w:rsidRPr="00840A2C" w:rsidRDefault="00285C0A" w:rsidP="000D0F0C">
            <w:pPr>
              <w:pStyle w:val="Default"/>
              <w:jc w:val="both"/>
            </w:pPr>
            <w:r w:rsidRPr="00840A2C">
              <w:rPr>
                <w:sz w:val="22"/>
                <w:szCs w:val="22"/>
              </w:rPr>
              <w:t xml:space="preserve">My peers often discuss climate change or global warming. </w:t>
            </w:r>
          </w:p>
        </w:tc>
        <w:tc>
          <w:tcPr>
            <w:tcW w:w="489" w:type="pct"/>
            <w:vMerge/>
          </w:tcPr>
          <w:p w14:paraId="6C861AAE" w14:textId="77777777" w:rsidR="00285C0A" w:rsidRPr="00840A2C" w:rsidRDefault="00285C0A" w:rsidP="000D0F0C">
            <w:pPr>
              <w:jc w:val="both"/>
              <w:rPr>
                <w:rFonts w:ascii="Calibri" w:hAnsi="Calibri" w:cs="Calibri"/>
              </w:rPr>
            </w:pPr>
          </w:p>
        </w:tc>
      </w:tr>
      <w:tr w:rsidR="00285C0A" w:rsidRPr="00840A2C" w14:paraId="1A6CBAA6" w14:textId="77777777" w:rsidTr="000D0F0C">
        <w:tc>
          <w:tcPr>
            <w:tcW w:w="157" w:type="pct"/>
          </w:tcPr>
          <w:p w14:paraId="5D83EB76" w14:textId="77777777" w:rsidR="00285C0A" w:rsidRPr="00840A2C" w:rsidRDefault="00285C0A" w:rsidP="000D0F0C">
            <w:pPr>
              <w:jc w:val="both"/>
              <w:rPr>
                <w:rFonts w:ascii="Calibri" w:hAnsi="Calibri" w:cs="Calibri"/>
              </w:rPr>
            </w:pPr>
            <w:r w:rsidRPr="00840A2C">
              <w:rPr>
                <w:rFonts w:ascii="Calibri" w:hAnsi="Calibri" w:cs="Calibri"/>
              </w:rPr>
              <w:lastRenderedPageBreak/>
              <w:t>7</w:t>
            </w:r>
          </w:p>
        </w:tc>
        <w:tc>
          <w:tcPr>
            <w:tcW w:w="518" w:type="pct"/>
            <w:vMerge/>
          </w:tcPr>
          <w:p w14:paraId="28ECED41" w14:textId="77777777" w:rsidR="00285C0A" w:rsidRPr="00840A2C" w:rsidRDefault="00285C0A" w:rsidP="000D0F0C">
            <w:pPr>
              <w:jc w:val="both"/>
              <w:rPr>
                <w:rFonts w:ascii="Calibri" w:hAnsi="Calibri" w:cs="Calibri"/>
              </w:rPr>
            </w:pPr>
          </w:p>
        </w:tc>
        <w:tc>
          <w:tcPr>
            <w:tcW w:w="287" w:type="pct"/>
          </w:tcPr>
          <w:p w14:paraId="245692DC" w14:textId="77777777" w:rsidR="00285C0A" w:rsidRPr="00840A2C" w:rsidRDefault="00285C0A" w:rsidP="000D0F0C">
            <w:pPr>
              <w:jc w:val="both"/>
              <w:rPr>
                <w:rFonts w:ascii="Calibri" w:hAnsi="Calibri" w:cs="Calibri"/>
              </w:rPr>
            </w:pPr>
            <w:r w:rsidRPr="00840A2C">
              <w:rPr>
                <w:rFonts w:ascii="Calibri" w:hAnsi="Calibri" w:cs="Calibri"/>
              </w:rPr>
              <w:t>SN3</w:t>
            </w:r>
          </w:p>
        </w:tc>
        <w:tc>
          <w:tcPr>
            <w:tcW w:w="558" w:type="pct"/>
            <w:vMerge/>
          </w:tcPr>
          <w:p w14:paraId="284CB6E6" w14:textId="77777777" w:rsidR="00285C0A" w:rsidRPr="00840A2C" w:rsidRDefault="00285C0A" w:rsidP="000D0F0C">
            <w:pPr>
              <w:pStyle w:val="Default"/>
              <w:jc w:val="both"/>
              <w:rPr>
                <w:sz w:val="22"/>
                <w:szCs w:val="22"/>
              </w:rPr>
            </w:pPr>
          </w:p>
        </w:tc>
        <w:tc>
          <w:tcPr>
            <w:tcW w:w="2992" w:type="pct"/>
          </w:tcPr>
          <w:p w14:paraId="22115924" w14:textId="77777777" w:rsidR="00285C0A" w:rsidRPr="00840A2C" w:rsidRDefault="00285C0A" w:rsidP="000D0F0C">
            <w:pPr>
              <w:pStyle w:val="Default"/>
              <w:jc w:val="both"/>
            </w:pPr>
            <w:r w:rsidRPr="00840A2C">
              <w:rPr>
                <w:sz w:val="22"/>
                <w:szCs w:val="22"/>
              </w:rPr>
              <w:t xml:space="preserve">My classmates might criticize me if I don't take action to protect the climate. </w:t>
            </w:r>
          </w:p>
        </w:tc>
        <w:tc>
          <w:tcPr>
            <w:tcW w:w="489" w:type="pct"/>
            <w:vMerge/>
          </w:tcPr>
          <w:p w14:paraId="0E958DC7" w14:textId="77777777" w:rsidR="00285C0A" w:rsidRPr="00840A2C" w:rsidRDefault="00285C0A" w:rsidP="000D0F0C">
            <w:pPr>
              <w:jc w:val="both"/>
              <w:rPr>
                <w:rFonts w:ascii="Calibri" w:hAnsi="Calibri" w:cs="Calibri"/>
              </w:rPr>
            </w:pPr>
          </w:p>
        </w:tc>
      </w:tr>
      <w:tr w:rsidR="00285C0A" w:rsidRPr="00840A2C" w14:paraId="157A84B9" w14:textId="77777777" w:rsidTr="000D0F0C">
        <w:tc>
          <w:tcPr>
            <w:tcW w:w="157" w:type="pct"/>
          </w:tcPr>
          <w:p w14:paraId="5841445A" w14:textId="77777777" w:rsidR="00285C0A" w:rsidRPr="00840A2C" w:rsidRDefault="00285C0A" w:rsidP="000D0F0C">
            <w:pPr>
              <w:jc w:val="both"/>
              <w:rPr>
                <w:rFonts w:ascii="Calibri" w:hAnsi="Calibri" w:cs="Calibri"/>
              </w:rPr>
            </w:pPr>
            <w:r w:rsidRPr="00840A2C">
              <w:rPr>
                <w:rFonts w:ascii="Calibri" w:hAnsi="Calibri" w:cs="Calibri"/>
              </w:rPr>
              <w:t>8</w:t>
            </w:r>
          </w:p>
        </w:tc>
        <w:tc>
          <w:tcPr>
            <w:tcW w:w="518" w:type="pct"/>
            <w:vMerge w:val="restart"/>
          </w:tcPr>
          <w:p w14:paraId="5AE80690" w14:textId="77777777" w:rsidR="00285C0A" w:rsidRPr="00840A2C" w:rsidRDefault="00285C0A" w:rsidP="000D0F0C">
            <w:pPr>
              <w:pStyle w:val="Default"/>
              <w:jc w:val="both"/>
            </w:pPr>
            <w:r w:rsidRPr="00840A2C">
              <w:rPr>
                <w:sz w:val="22"/>
                <w:szCs w:val="22"/>
              </w:rPr>
              <w:t xml:space="preserve">Perceived Behavioural Control </w:t>
            </w:r>
          </w:p>
          <w:p w14:paraId="1250A24C" w14:textId="77777777" w:rsidR="00285C0A" w:rsidRPr="00840A2C" w:rsidRDefault="00285C0A" w:rsidP="000D0F0C">
            <w:pPr>
              <w:jc w:val="both"/>
              <w:rPr>
                <w:rFonts w:ascii="Calibri" w:hAnsi="Calibri" w:cs="Calibri"/>
              </w:rPr>
            </w:pPr>
          </w:p>
        </w:tc>
        <w:tc>
          <w:tcPr>
            <w:tcW w:w="287" w:type="pct"/>
          </w:tcPr>
          <w:p w14:paraId="3A6F0B3C" w14:textId="77777777" w:rsidR="00285C0A" w:rsidRPr="00840A2C" w:rsidRDefault="00285C0A" w:rsidP="000D0F0C">
            <w:pPr>
              <w:jc w:val="both"/>
              <w:rPr>
                <w:rFonts w:ascii="Calibri" w:hAnsi="Calibri" w:cs="Calibri"/>
              </w:rPr>
            </w:pPr>
            <w:r w:rsidRPr="00840A2C">
              <w:rPr>
                <w:rFonts w:ascii="Calibri" w:hAnsi="Calibri" w:cs="Calibri"/>
              </w:rPr>
              <w:t>PBC1</w:t>
            </w:r>
          </w:p>
        </w:tc>
        <w:tc>
          <w:tcPr>
            <w:tcW w:w="558" w:type="pct"/>
            <w:vMerge/>
          </w:tcPr>
          <w:p w14:paraId="510EDD87" w14:textId="77777777" w:rsidR="00285C0A" w:rsidRPr="00840A2C" w:rsidRDefault="00285C0A" w:rsidP="000D0F0C">
            <w:pPr>
              <w:pStyle w:val="Default"/>
              <w:jc w:val="both"/>
              <w:rPr>
                <w:sz w:val="22"/>
                <w:szCs w:val="22"/>
              </w:rPr>
            </w:pPr>
          </w:p>
        </w:tc>
        <w:tc>
          <w:tcPr>
            <w:tcW w:w="2992" w:type="pct"/>
          </w:tcPr>
          <w:p w14:paraId="425570FD" w14:textId="77777777" w:rsidR="00285C0A" w:rsidRPr="00840A2C" w:rsidRDefault="00285C0A" w:rsidP="000D0F0C">
            <w:pPr>
              <w:pStyle w:val="Default"/>
              <w:jc w:val="both"/>
            </w:pPr>
            <w:r w:rsidRPr="00840A2C">
              <w:rPr>
                <w:sz w:val="22"/>
                <w:szCs w:val="22"/>
              </w:rPr>
              <w:t xml:space="preserve">I believe I can contribute to mitigating the effects of climate change. </w:t>
            </w:r>
          </w:p>
        </w:tc>
        <w:tc>
          <w:tcPr>
            <w:tcW w:w="489" w:type="pct"/>
            <w:vMerge w:val="restart"/>
          </w:tcPr>
          <w:p w14:paraId="62DC77CB" w14:textId="77777777" w:rsidR="00285C0A" w:rsidRPr="00840A2C" w:rsidRDefault="00285C0A" w:rsidP="000D0F0C">
            <w:pPr>
              <w:pStyle w:val="Default"/>
              <w:jc w:val="both"/>
            </w:pPr>
            <w:r w:rsidRPr="00840A2C">
              <w:rPr>
                <w:sz w:val="22"/>
                <w:szCs w:val="22"/>
              </w:rPr>
              <w:t xml:space="preserve">Pouya und Niyaz 2022 </w:t>
            </w:r>
          </w:p>
          <w:p w14:paraId="3EEC9770" w14:textId="77777777" w:rsidR="00285C0A" w:rsidRPr="00840A2C" w:rsidRDefault="00285C0A" w:rsidP="000D0F0C">
            <w:pPr>
              <w:jc w:val="both"/>
              <w:rPr>
                <w:rFonts w:ascii="Calibri" w:hAnsi="Calibri" w:cs="Calibri"/>
              </w:rPr>
            </w:pPr>
          </w:p>
        </w:tc>
      </w:tr>
      <w:tr w:rsidR="00285C0A" w:rsidRPr="00840A2C" w14:paraId="60606523" w14:textId="77777777" w:rsidTr="000D0F0C">
        <w:tc>
          <w:tcPr>
            <w:tcW w:w="157" w:type="pct"/>
          </w:tcPr>
          <w:p w14:paraId="1842694D" w14:textId="77777777" w:rsidR="00285C0A" w:rsidRPr="00840A2C" w:rsidRDefault="00285C0A" w:rsidP="000D0F0C">
            <w:pPr>
              <w:jc w:val="both"/>
              <w:rPr>
                <w:rFonts w:ascii="Calibri" w:hAnsi="Calibri" w:cs="Calibri"/>
              </w:rPr>
            </w:pPr>
            <w:r w:rsidRPr="00840A2C">
              <w:rPr>
                <w:rFonts w:ascii="Calibri" w:hAnsi="Calibri" w:cs="Calibri"/>
              </w:rPr>
              <w:t>9</w:t>
            </w:r>
          </w:p>
        </w:tc>
        <w:tc>
          <w:tcPr>
            <w:tcW w:w="518" w:type="pct"/>
            <w:vMerge/>
          </w:tcPr>
          <w:p w14:paraId="46CE7C60" w14:textId="77777777" w:rsidR="00285C0A" w:rsidRPr="00840A2C" w:rsidRDefault="00285C0A" w:rsidP="000D0F0C">
            <w:pPr>
              <w:jc w:val="both"/>
              <w:rPr>
                <w:rFonts w:ascii="Calibri" w:hAnsi="Calibri" w:cs="Calibri"/>
              </w:rPr>
            </w:pPr>
          </w:p>
        </w:tc>
        <w:tc>
          <w:tcPr>
            <w:tcW w:w="287" w:type="pct"/>
          </w:tcPr>
          <w:p w14:paraId="7A863AB3" w14:textId="77777777" w:rsidR="00285C0A" w:rsidRPr="00840A2C" w:rsidRDefault="00285C0A" w:rsidP="000D0F0C">
            <w:pPr>
              <w:jc w:val="both"/>
              <w:rPr>
                <w:rFonts w:ascii="Calibri" w:hAnsi="Calibri" w:cs="Calibri"/>
              </w:rPr>
            </w:pPr>
            <w:r w:rsidRPr="00840A2C">
              <w:rPr>
                <w:rFonts w:ascii="Calibri" w:hAnsi="Calibri" w:cs="Calibri"/>
              </w:rPr>
              <w:t>PBC2</w:t>
            </w:r>
          </w:p>
        </w:tc>
        <w:tc>
          <w:tcPr>
            <w:tcW w:w="558" w:type="pct"/>
            <w:vMerge/>
          </w:tcPr>
          <w:p w14:paraId="0A86DE57" w14:textId="77777777" w:rsidR="00285C0A" w:rsidRPr="00840A2C" w:rsidRDefault="00285C0A" w:rsidP="000D0F0C">
            <w:pPr>
              <w:pStyle w:val="Default"/>
              <w:jc w:val="both"/>
              <w:rPr>
                <w:sz w:val="22"/>
                <w:szCs w:val="22"/>
              </w:rPr>
            </w:pPr>
          </w:p>
        </w:tc>
        <w:tc>
          <w:tcPr>
            <w:tcW w:w="2992" w:type="pct"/>
          </w:tcPr>
          <w:p w14:paraId="730C6613" w14:textId="77777777" w:rsidR="00285C0A" w:rsidRPr="00840A2C" w:rsidRDefault="00285C0A" w:rsidP="000D0F0C">
            <w:pPr>
              <w:pStyle w:val="Default"/>
              <w:jc w:val="both"/>
            </w:pPr>
            <w:r w:rsidRPr="00840A2C">
              <w:rPr>
                <w:sz w:val="22"/>
                <w:szCs w:val="22"/>
              </w:rPr>
              <w:t>I can help reduce carbon emissions through the actions I take in my daily life.</w:t>
            </w:r>
          </w:p>
        </w:tc>
        <w:tc>
          <w:tcPr>
            <w:tcW w:w="489" w:type="pct"/>
            <w:vMerge/>
          </w:tcPr>
          <w:p w14:paraId="3DB4E921" w14:textId="77777777" w:rsidR="00285C0A" w:rsidRPr="00840A2C" w:rsidRDefault="00285C0A" w:rsidP="000D0F0C">
            <w:pPr>
              <w:jc w:val="both"/>
              <w:rPr>
                <w:rFonts w:ascii="Calibri" w:hAnsi="Calibri" w:cs="Calibri"/>
              </w:rPr>
            </w:pPr>
          </w:p>
        </w:tc>
      </w:tr>
      <w:tr w:rsidR="00285C0A" w:rsidRPr="00840A2C" w14:paraId="50BFD963" w14:textId="77777777" w:rsidTr="000D0F0C">
        <w:tc>
          <w:tcPr>
            <w:tcW w:w="157" w:type="pct"/>
          </w:tcPr>
          <w:p w14:paraId="6D14DADC" w14:textId="77777777" w:rsidR="00285C0A" w:rsidRPr="00840A2C" w:rsidRDefault="00285C0A" w:rsidP="000D0F0C">
            <w:pPr>
              <w:jc w:val="both"/>
              <w:rPr>
                <w:rFonts w:ascii="Calibri" w:hAnsi="Calibri" w:cs="Calibri"/>
              </w:rPr>
            </w:pPr>
            <w:r w:rsidRPr="00840A2C">
              <w:rPr>
                <w:rFonts w:ascii="Calibri" w:hAnsi="Calibri" w:cs="Calibri"/>
              </w:rPr>
              <w:t>10</w:t>
            </w:r>
          </w:p>
        </w:tc>
        <w:tc>
          <w:tcPr>
            <w:tcW w:w="518" w:type="pct"/>
            <w:vMerge w:val="restart"/>
          </w:tcPr>
          <w:p w14:paraId="541D2062" w14:textId="77777777" w:rsidR="00285C0A" w:rsidRPr="00840A2C" w:rsidRDefault="00285C0A" w:rsidP="000D0F0C">
            <w:pPr>
              <w:pStyle w:val="Default"/>
              <w:jc w:val="both"/>
            </w:pPr>
            <w:r w:rsidRPr="00840A2C">
              <w:rPr>
                <w:sz w:val="22"/>
                <w:szCs w:val="22"/>
              </w:rPr>
              <w:t>Intentions</w:t>
            </w:r>
          </w:p>
          <w:p w14:paraId="7C70302E" w14:textId="77777777" w:rsidR="00285C0A" w:rsidRPr="00840A2C" w:rsidRDefault="00285C0A" w:rsidP="000D0F0C">
            <w:pPr>
              <w:jc w:val="both"/>
              <w:rPr>
                <w:rFonts w:ascii="Calibri" w:hAnsi="Calibri" w:cs="Calibri"/>
              </w:rPr>
            </w:pPr>
          </w:p>
        </w:tc>
        <w:tc>
          <w:tcPr>
            <w:tcW w:w="287" w:type="pct"/>
          </w:tcPr>
          <w:p w14:paraId="76F55A15" w14:textId="77777777" w:rsidR="00285C0A" w:rsidRPr="00840A2C" w:rsidRDefault="00285C0A" w:rsidP="000D0F0C">
            <w:pPr>
              <w:jc w:val="both"/>
              <w:rPr>
                <w:rFonts w:ascii="Calibri" w:hAnsi="Calibri" w:cs="Calibri"/>
              </w:rPr>
            </w:pPr>
            <w:r w:rsidRPr="00840A2C">
              <w:rPr>
                <w:rFonts w:ascii="Calibri" w:hAnsi="Calibri" w:cs="Calibri"/>
              </w:rPr>
              <w:t>IN1</w:t>
            </w:r>
          </w:p>
        </w:tc>
        <w:tc>
          <w:tcPr>
            <w:tcW w:w="558" w:type="pct"/>
            <w:vMerge/>
          </w:tcPr>
          <w:p w14:paraId="3D8DBDC2" w14:textId="77777777" w:rsidR="00285C0A" w:rsidRPr="00840A2C" w:rsidRDefault="00285C0A" w:rsidP="000D0F0C">
            <w:pPr>
              <w:pStyle w:val="Default"/>
              <w:jc w:val="both"/>
              <w:rPr>
                <w:sz w:val="22"/>
                <w:szCs w:val="22"/>
              </w:rPr>
            </w:pPr>
          </w:p>
        </w:tc>
        <w:tc>
          <w:tcPr>
            <w:tcW w:w="2992" w:type="pct"/>
          </w:tcPr>
          <w:p w14:paraId="01B58523" w14:textId="77777777" w:rsidR="00285C0A" w:rsidRPr="00840A2C" w:rsidRDefault="00285C0A" w:rsidP="000D0F0C">
            <w:pPr>
              <w:pStyle w:val="Default"/>
              <w:jc w:val="both"/>
            </w:pPr>
            <w:r w:rsidRPr="00840A2C">
              <w:rPr>
                <w:sz w:val="22"/>
                <w:szCs w:val="22"/>
              </w:rPr>
              <w:t xml:space="preserve">It is my responsibility to encourage my neighbours to notice climate change. </w:t>
            </w:r>
          </w:p>
        </w:tc>
        <w:tc>
          <w:tcPr>
            <w:tcW w:w="489" w:type="pct"/>
            <w:vMerge w:val="restart"/>
          </w:tcPr>
          <w:p w14:paraId="2BC13209" w14:textId="77777777" w:rsidR="00285C0A" w:rsidRPr="00840A2C" w:rsidRDefault="00285C0A" w:rsidP="000D0F0C">
            <w:pPr>
              <w:pStyle w:val="Default"/>
              <w:jc w:val="both"/>
            </w:pPr>
            <w:r w:rsidRPr="00840A2C">
              <w:rPr>
                <w:sz w:val="22"/>
                <w:szCs w:val="22"/>
              </w:rPr>
              <w:t xml:space="preserve">Pouya und Niyaz 2022 </w:t>
            </w:r>
          </w:p>
          <w:p w14:paraId="2DA93E18" w14:textId="77777777" w:rsidR="00285C0A" w:rsidRPr="00840A2C" w:rsidRDefault="00285C0A" w:rsidP="000D0F0C">
            <w:pPr>
              <w:jc w:val="both"/>
              <w:rPr>
                <w:rFonts w:ascii="Calibri" w:hAnsi="Calibri" w:cs="Calibri"/>
              </w:rPr>
            </w:pPr>
          </w:p>
        </w:tc>
      </w:tr>
      <w:tr w:rsidR="00285C0A" w:rsidRPr="00840A2C" w14:paraId="317C85EE" w14:textId="77777777" w:rsidTr="000D0F0C">
        <w:tc>
          <w:tcPr>
            <w:tcW w:w="157" w:type="pct"/>
          </w:tcPr>
          <w:p w14:paraId="6B038D6B" w14:textId="77777777" w:rsidR="00285C0A" w:rsidRPr="00840A2C" w:rsidRDefault="00285C0A" w:rsidP="000D0F0C">
            <w:pPr>
              <w:jc w:val="both"/>
              <w:rPr>
                <w:rFonts w:ascii="Calibri" w:hAnsi="Calibri" w:cs="Calibri"/>
              </w:rPr>
            </w:pPr>
            <w:r w:rsidRPr="00840A2C">
              <w:rPr>
                <w:rFonts w:ascii="Calibri" w:hAnsi="Calibri" w:cs="Calibri"/>
              </w:rPr>
              <w:t>11</w:t>
            </w:r>
          </w:p>
        </w:tc>
        <w:tc>
          <w:tcPr>
            <w:tcW w:w="518" w:type="pct"/>
            <w:vMerge/>
          </w:tcPr>
          <w:p w14:paraId="025535A4" w14:textId="77777777" w:rsidR="00285C0A" w:rsidRPr="00840A2C" w:rsidRDefault="00285C0A" w:rsidP="000D0F0C">
            <w:pPr>
              <w:jc w:val="both"/>
              <w:rPr>
                <w:rFonts w:ascii="Calibri" w:hAnsi="Calibri" w:cs="Calibri"/>
              </w:rPr>
            </w:pPr>
          </w:p>
        </w:tc>
        <w:tc>
          <w:tcPr>
            <w:tcW w:w="287" w:type="pct"/>
          </w:tcPr>
          <w:p w14:paraId="19F77A1F" w14:textId="77777777" w:rsidR="00285C0A" w:rsidRPr="00840A2C" w:rsidRDefault="00285C0A" w:rsidP="000D0F0C">
            <w:pPr>
              <w:jc w:val="both"/>
              <w:rPr>
                <w:rFonts w:ascii="Calibri" w:hAnsi="Calibri" w:cs="Calibri"/>
              </w:rPr>
            </w:pPr>
            <w:r w:rsidRPr="00840A2C">
              <w:rPr>
                <w:rFonts w:ascii="Calibri" w:hAnsi="Calibri" w:cs="Calibri"/>
              </w:rPr>
              <w:t>IN2</w:t>
            </w:r>
          </w:p>
        </w:tc>
        <w:tc>
          <w:tcPr>
            <w:tcW w:w="558" w:type="pct"/>
            <w:vMerge/>
          </w:tcPr>
          <w:p w14:paraId="4614AAD1" w14:textId="77777777" w:rsidR="00285C0A" w:rsidRPr="00840A2C" w:rsidRDefault="00285C0A" w:rsidP="000D0F0C">
            <w:pPr>
              <w:pStyle w:val="Default"/>
              <w:jc w:val="both"/>
              <w:rPr>
                <w:sz w:val="22"/>
                <w:szCs w:val="22"/>
              </w:rPr>
            </w:pPr>
          </w:p>
        </w:tc>
        <w:tc>
          <w:tcPr>
            <w:tcW w:w="2992" w:type="pct"/>
          </w:tcPr>
          <w:p w14:paraId="21E9DD35" w14:textId="77777777" w:rsidR="00285C0A" w:rsidRPr="00840A2C" w:rsidRDefault="00285C0A" w:rsidP="000D0F0C">
            <w:pPr>
              <w:pStyle w:val="Default"/>
              <w:jc w:val="both"/>
            </w:pPr>
            <w:r w:rsidRPr="00840A2C">
              <w:rPr>
                <w:sz w:val="22"/>
                <w:szCs w:val="22"/>
              </w:rPr>
              <w:t>I am willing to adopt and apply eco-friendly practices in my daily life.</w:t>
            </w:r>
          </w:p>
        </w:tc>
        <w:tc>
          <w:tcPr>
            <w:tcW w:w="489" w:type="pct"/>
            <w:vMerge/>
          </w:tcPr>
          <w:p w14:paraId="23D80675" w14:textId="77777777" w:rsidR="00285C0A" w:rsidRPr="00840A2C" w:rsidRDefault="00285C0A" w:rsidP="000D0F0C">
            <w:pPr>
              <w:jc w:val="both"/>
              <w:rPr>
                <w:rFonts w:ascii="Calibri" w:hAnsi="Calibri" w:cs="Calibri"/>
              </w:rPr>
            </w:pPr>
          </w:p>
        </w:tc>
      </w:tr>
      <w:tr w:rsidR="00285C0A" w:rsidRPr="00840A2C" w14:paraId="5C305F51" w14:textId="77777777" w:rsidTr="000D0F0C">
        <w:tc>
          <w:tcPr>
            <w:tcW w:w="157" w:type="pct"/>
          </w:tcPr>
          <w:p w14:paraId="112AC39F" w14:textId="77777777" w:rsidR="00285C0A" w:rsidRPr="00840A2C" w:rsidRDefault="00285C0A" w:rsidP="000D0F0C">
            <w:pPr>
              <w:jc w:val="both"/>
              <w:rPr>
                <w:rFonts w:ascii="Calibri" w:hAnsi="Calibri" w:cs="Calibri"/>
              </w:rPr>
            </w:pPr>
            <w:r w:rsidRPr="00840A2C">
              <w:rPr>
                <w:rFonts w:ascii="Calibri" w:hAnsi="Calibri" w:cs="Calibri"/>
              </w:rPr>
              <w:t>12</w:t>
            </w:r>
          </w:p>
        </w:tc>
        <w:tc>
          <w:tcPr>
            <w:tcW w:w="518" w:type="pct"/>
            <w:vMerge/>
          </w:tcPr>
          <w:p w14:paraId="309F5B2B" w14:textId="77777777" w:rsidR="00285C0A" w:rsidRPr="00840A2C" w:rsidRDefault="00285C0A" w:rsidP="000D0F0C">
            <w:pPr>
              <w:jc w:val="both"/>
              <w:rPr>
                <w:rFonts w:ascii="Calibri" w:hAnsi="Calibri" w:cs="Calibri"/>
              </w:rPr>
            </w:pPr>
          </w:p>
        </w:tc>
        <w:tc>
          <w:tcPr>
            <w:tcW w:w="287" w:type="pct"/>
          </w:tcPr>
          <w:p w14:paraId="6C794122" w14:textId="77777777" w:rsidR="00285C0A" w:rsidRPr="00840A2C" w:rsidRDefault="00285C0A" w:rsidP="000D0F0C">
            <w:pPr>
              <w:jc w:val="both"/>
              <w:rPr>
                <w:rFonts w:ascii="Calibri" w:hAnsi="Calibri" w:cs="Calibri"/>
              </w:rPr>
            </w:pPr>
            <w:r w:rsidRPr="00840A2C">
              <w:rPr>
                <w:rFonts w:ascii="Calibri" w:hAnsi="Calibri" w:cs="Calibri"/>
              </w:rPr>
              <w:t>IN3</w:t>
            </w:r>
          </w:p>
        </w:tc>
        <w:tc>
          <w:tcPr>
            <w:tcW w:w="558" w:type="pct"/>
            <w:vMerge/>
          </w:tcPr>
          <w:p w14:paraId="02C49E41" w14:textId="77777777" w:rsidR="00285C0A" w:rsidRPr="00840A2C" w:rsidRDefault="00285C0A" w:rsidP="000D0F0C">
            <w:pPr>
              <w:pStyle w:val="Default"/>
              <w:jc w:val="both"/>
              <w:rPr>
                <w:sz w:val="22"/>
                <w:szCs w:val="22"/>
              </w:rPr>
            </w:pPr>
          </w:p>
        </w:tc>
        <w:tc>
          <w:tcPr>
            <w:tcW w:w="2992" w:type="pct"/>
          </w:tcPr>
          <w:p w14:paraId="4BF7E27A" w14:textId="77777777" w:rsidR="00285C0A" w:rsidRPr="00840A2C" w:rsidRDefault="00285C0A" w:rsidP="000D0F0C">
            <w:pPr>
              <w:pStyle w:val="Default"/>
              <w:jc w:val="both"/>
            </w:pPr>
            <w:r w:rsidRPr="00840A2C">
              <w:rPr>
                <w:sz w:val="22"/>
                <w:szCs w:val="22"/>
              </w:rPr>
              <w:t xml:space="preserve">I am ready to do anything to reduce the impact of climate change. </w:t>
            </w:r>
          </w:p>
        </w:tc>
        <w:tc>
          <w:tcPr>
            <w:tcW w:w="489" w:type="pct"/>
            <w:vMerge/>
          </w:tcPr>
          <w:p w14:paraId="7FB84B5E" w14:textId="77777777" w:rsidR="00285C0A" w:rsidRPr="00840A2C" w:rsidRDefault="00285C0A" w:rsidP="000D0F0C">
            <w:pPr>
              <w:jc w:val="both"/>
              <w:rPr>
                <w:rFonts w:ascii="Calibri" w:hAnsi="Calibri" w:cs="Calibri"/>
              </w:rPr>
            </w:pPr>
          </w:p>
        </w:tc>
      </w:tr>
      <w:tr w:rsidR="00285C0A" w:rsidRPr="00840A2C" w14:paraId="3DF78CB9" w14:textId="77777777" w:rsidTr="000D0F0C">
        <w:tc>
          <w:tcPr>
            <w:tcW w:w="157" w:type="pct"/>
          </w:tcPr>
          <w:p w14:paraId="46C57E2B" w14:textId="77777777" w:rsidR="00285C0A" w:rsidRPr="00840A2C" w:rsidRDefault="00285C0A" w:rsidP="000D0F0C">
            <w:pPr>
              <w:jc w:val="both"/>
              <w:rPr>
                <w:rFonts w:ascii="Calibri" w:hAnsi="Calibri" w:cs="Calibri"/>
              </w:rPr>
            </w:pPr>
            <w:r w:rsidRPr="00840A2C">
              <w:rPr>
                <w:rFonts w:ascii="Calibri" w:hAnsi="Calibri" w:cs="Calibri"/>
              </w:rPr>
              <w:t>13</w:t>
            </w:r>
          </w:p>
        </w:tc>
        <w:tc>
          <w:tcPr>
            <w:tcW w:w="518" w:type="pct"/>
            <w:vMerge w:val="restart"/>
          </w:tcPr>
          <w:p w14:paraId="21860600" w14:textId="77777777" w:rsidR="00285C0A" w:rsidRPr="00840A2C" w:rsidRDefault="00285C0A" w:rsidP="000D0F0C">
            <w:pPr>
              <w:pStyle w:val="Default"/>
              <w:jc w:val="both"/>
            </w:pPr>
            <w:r w:rsidRPr="00840A2C">
              <w:rPr>
                <w:sz w:val="22"/>
                <w:szCs w:val="22"/>
              </w:rPr>
              <w:t>Behaviours</w:t>
            </w:r>
          </w:p>
          <w:p w14:paraId="2DA0E154" w14:textId="77777777" w:rsidR="00285C0A" w:rsidRPr="00840A2C" w:rsidRDefault="00285C0A" w:rsidP="000D0F0C">
            <w:pPr>
              <w:jc w:val="both"/>
              <w:rPr>
                <w:rFonts w:ascii="Calibri" w:hAnsi="Calibri" w:cs="Calibri"/>
              </w:rPr>
            </w:pPr>
          </w:p>
        </w:tc>
        <w:tc>
          <w:tcPr>
            <w:tcW w:w="287" w:type="pct"/>
          </w:tcPr>
          <w:p w14:paraId="0FF11741" w14:textId="77777777" w:rsidR="00285C0A" w:rsidRPr="00840A2C" w:rsidRDefault="00285C0A" w:rsidP="000D0F0C">
            <w:pPr>
              <w:jc w:val="both"/>
              <w:rPr>
                <w:rFonts w:ascii="Calibri" w:hAnsi="Calibri" w:cs="Calibri"/>
              </w:rPr>
            </w:pPr>
            <w:r w:rsidRPr="00840A2C">
              <w:rPr>
                <w:rFonts w:ascii="Calibri" w:hAnsi="Calibri" w:cs="Calibri"/>
              </w:rPr>
              <w:t>B01</w:t>
            </w:r>
          </w:p>
        </w:tc>
        <w:tc>
          <w:tcPr>
            <w:tcW w:w="558" w:type="pct"/>
            <w:vMerge w:val="restart"/>
          </w:tcPr>
          <w:p w14:paraId="2F15D3E2" w14:textId="77777777" w:rsidR="00285C0A" w:rsidRPr="00840A2C" w:rsidRDefault="00285C0A" w:rsidP="000D0F0C">
            <w:pPr>
              <w:pStyle w:val="Default"/>
              <w:jc w:val="both"/>
              <w:rPr>
                <w:sz w:val="22"/>
                <w:szCs w:val="22"/>
              </w:rPr>
            </w:pPr>
            <w:r w:rsidRPr="00840A2C">
              <w:rPr>
                <w:sz w:val="22"/>
                <w:szCs w:val="22"/>
              </w:rPr>
              <w:t>Sustainability behaviour</w:t>
            </w:r>
          </w:p>
        </w:tc>
        <w:tc>
          <w:tcPr>
            <w:tcW w:w="2992" w:type="pct"/>
          </w:tcPr>
          <w:p w14:paraId="736E5293" w14:textId="77777777" w:rsidR="00285C0A" w:rsidRPr="00840A2C" w:rsidRDefault="00285C0A" w:rsidP="000D0F0C">
            <w:pPr>
              <w:pStyle w:val="Default"/>
              <w:jc w:val="both"/>
            </w:pPr>
            <w:r w:rsidRPr="00840A2C">
              <w:rPr>
                <w:sz w:val="22"/>
                <w:szCs w:val="22"/>
              </w:rPr>
              <w:t xml:space="preserve">I have reduced my intake of meat over the last month. </w:t>
            </w:r>
          </w:p>
        </w:tc>
        <w:tc>
          <w:tcPr>
            <w:tcW w:w="489" w:type="pct"/>
            <w:vMerge w:val="restart"/>
          </w:tcPr>
          <w:p w14:paraId="6A62CA8F" w14:textId="77777777" w:rsidR="00285C0A" w:rsidRPr="00840A2C" w:rsidRDefault="00285C0A" w:rsidP="000D0F0C">
            <w:pPr>
              <w:pStyle w:val="Default"/>
              <w:jc w:val="both"/>
            </w:pPr>
            <w:r w:rsidRPr="00840A2C">
              <w:rPr>
                <w:sz w:val="22"/>
                <w:szCs w:val="22"/>
              </w:rPr>
              <w:t xml:space="preserve">Lin 2013 </w:t>
            </w:r>
          </w:p>
          <w:p w14:paraId="6B01C536" w14:textId="77777777" w:rsidR="00285C0A" w:rsidRPr="00840A2C" w:rsidRDefault="00285C0A" w:rsidP="000D0F0C">
            <w:pPr>
              <w:jc w:val="both"/>
              <w:rPr>
                <w:rFonts w:ascii="Calibri" w:hAnsi="Calibri" w:cs="Calibri"/>
              </w:rPr>
            </w:pPr>
          </w:p>
        </w:tc>
      </w:tr>
      <w:tr w:rsidR="00285C0A" w:rsidRPr="00840A2C" w14:paraId="73638677" w14:textId="77777777" w:rsidTr="000D0F0C">
        <w:tc>
          <w:tcPr>
            <w:tcW w:w="157" w:type="pct"/>
          </w:tcPr>
          <w:p w14:paraId="5CDE6275" w14:textId="77777777" w:rsidR="00285C0A" w:rsidRPr="00840A2C" w:rsidRDefault="00285C0A" w:rsidP="000D0F0C">
            <w:pPr>
              <w:jc w:val="both"/>
              <w:rPr>
                <w:rFonts w:ascii="Calibri" w:hAnsi="Calibri" w:cs="Calibri"/>
              </w:rPr>
            </w:pPr>
            <w:r w:rsidRPr="00840A2C">
              <w:rPr>
                <w:rFonts w:ascii="Calibri" w:hAnsi="Calibri" w:cs="Calibri"/>
              </w:rPr>
              <w:t>14</w:t>
            </w:r>
          </w:p>
        </w:tc>
        <w:tc>
          <w:tcPr>
            <w:tcW w:w="518" w:type="pct"/>
            <w:vMerge/>
          </w:tcPr>
          <w:p w14:paraId="5A7406C2" w14:textId="77777777" w:rsidR="00285C0A" w:rsidRPr="00840A2C" w:rsidRDefault="00285C0A" w:rsidP="000D0F0C">
            <w:pPr>
              <w:jc w:val="both"/>
              <w:rPr>
                <w:rFonts w:ascii="Calibri" w:hAnsi="Calibri" w:cs="Calibri"/>
              </w:rPr>
            </w:pPr>
          </w:p>
        </w:tc>
        <w:tc>
          <w:tcPr>
            <w:tcW w:w="287" w:type="pct"/>
          </w:tcPr>
          <w:p w14:paraId="30341BAA" w14:textId="77777777" w:rsidR="00285C0A" w:rsidRPr="00840A2C" w:rsidRDefault="00285C0A" w:rsidP="000D0F0C">
            <w:pPr>
              <w:jc w:val="both"/>
              <w:rPr>
                <w:rFonts w:ascii="Calibri" w:hAnsi="Calibri" w:cs="Calibri"/>
              </w:rPr>
            </w:pPr>
            <w:r w:rsidRPr="00840A2C">
              <w:rPr>
                <w:rFonts w:ascii="Calibri" w:hAnsi="Calibri" w:cs="Calibri"/>
              </w:rPr>
              <w:t>B02</w:t>
            </w:r>
          </w:p>
        </w:tc>
        <w:tc>
          <w:tcPr>
            <w:tcW w:w="558" w:type="pct"/>
            <w:vMerge/>
          </w:tcPr>
          <w:p w14:paraId="5A1624C5" w14:textId="77777777" w:rsidR="00285C0A" w:rsidRPr="00840A2C" w:rsidRDefault="00285C0A" w:rsidP="000D0F0C">
            <w:pPr>
              <w:pStyle w:val="Default"/>
              <w:jc w:val="both"/>
              <w:rPr>
                <w:sz w:val="22"/>
                <w:szCs w:val="22"/>
              </w:rPr>
            </w:pPr>
          </w:p>
        </w:tc>
        <w:tc>
          <w:tcPr>
            <w:tcW w:w="2992" w:type="pct"/>
          </w:tcPr>
          <w:p w14:paraId="1E8D7581" w14:textId="77777777" w:rsidR="00285C0A" w:rsidRPr="00840A2C" w:rsidRDefault="00285C0A" w:rsidP="000D0F0C">
            <w:pPr>
              <w:pStyle w:val="Default"/>
              <w:jc w:val="both"/>
            </w:pPr>
            <w:r w:rsidRPr="00840A2C">
              <w:rPr>
                <w:sz w:val="22"/>
                <w:szCs w:val="22"/>
              </w:rPr>
              <w:t xml:space="preserve">I buy fruit produced in Germany and avoid buying imported fruit (e.g. bananas, kiwis). </w:t>
            </w:r>
          </w:p>
        </w:tc>
        <w:tc>
          <w:tcPr>
            <w:tcW w:w="489" w:type="pct"/>
            <w:vMerge/>
          </w:tcPr>
          <w:p w14:paraId="33E1AAD5" w14:textId="77777777" w:rsidR="00285C0A" w:rsidRPr="00840A2C" w:rsidRDefault="00285C0A" w:rsidP="000D0F0C">
            <w:pPr>
              <w:jc w:val="both"/>
              <w:rPr>
                <w:rFonts w:ascii="Calibri" w:hAnsi="Calibri" w:cs="Calibri"/>
              </w:rPr>
            </w:pPr>
          </w:p>
        </w:tc>
      </w:tr>
      <w:tr w:rsidR="00285C0A" w:rsidRPr="00840A2C" w14:paraId="2D37CBC5" w14:textId="77777777" w:rsidTr="000D0F0C">
        <w:tc>
          <w:tcPr>
            <w:tcW w:w="157" w:type="pct"/>
          </w:tcPr>
          <w:p w14:paraId="4C2A824F" w14:textId="77777777" w:rsidR="00285C0A" w:rsidRPr="00840A2C" w:rsidRDefault="00285C0A" w:rsidP="000D0F0C">
            <w:pPr>
              <w:jc w:val="both"/>
              <w:rPr>
                <w:rFonts w:ascii="Calibri" w:hAnsi="Calibri" w:cs="Calibri"/>
              </w:rPr>
            </w:pPr>
            <w:r w:rsidRPr="00840A2C">
              <w:rPr>
                <w:rFonts w:ascii="Calibri" w:hAnsi="Calibri" w:cs="Calibri"/>
              </w:rPr>
              <w:t>15</w:t>
            </w:r>
          </w:p>
        </w:tc>
        <w:tc>
          <w:tcPr>
            <w:tcW w:w="518" w:type="pct"/>
            <w:vMerge/>
          </w:tcPr>
          <w:p w14:paraId="15D5ECF0" w14:textId="77777777" w:rsidR="00285C0A" w:rsidRPr="00840A2C" w:rsidRDefault="00285C0A" w:rsidP="000D0F0C">
            <w:pPr>
              <w:jc w:val="both"/>
              <w:rPr>
                <w:rFonts w:ascii="Calibri" w:hAnsi="Calibri" w:cs="Calibri"/>
              </w:rPr>
            </w:pPr>
          </w:p>
        </w:tc>
        <w:tc>
          <w:tcPr>
            <w:tcW w:w="287" w:type="pct"/>
          </w:tcPr>
          <w:p w14:paraId="4AEF7DAA" w14:textId="77777777" w:rsidR="00285C0A" w:rsidRPr="00840A2C" w:rsidRDefault="00285C0A" w:rsidP="000D0F0C">
            <w:pPr>
              <w:jc w:val="both"/>
              <w:rPr>
                <w:rFonts w:ascii="Calibri" w:hAnsi="Calibri" w:cs="Calibri"/>
              </w:rPr>
            </w:pPr>
            <w:r w:rsidRPr="00840A2C">
              <w:rPr>
                <w:rFonts w:ascii="Calibri" w:hAnsi="Calibri" w:cs="Calibri"/>
              </w:rPr>
              <w:t>B03</w:t>
            </w:r>
          </w:p>
        </w:tc>
        <w:tc>
          <w:tcPr>
            <w:tcW w:w="558" w:type="pct"/>
            <w:vMerge/>
          </w:tcPr>
          <w:p w14:paraId="60B4D1BA" w14:textId="77777777" w:rsidR="00285C0A" w:rsidRPr="00840A2C" w:rsidRDefault="00285C0A" w:rsidP="000D0F0C">
            <w:pPr>
              <w:pStyle w:val="Default"/>
              <w:jc w:val="both"/>
              <w:rPr>
                <w:sz w:val="22"/>
                <w:szCs w:val="22"/>
              </w:rPr>
            </w:pPr>
          </w:p>
        </w:tc>
        <w:tc>
          <w:tcPr>
            <w:tcW w:w="2992" w:type="pct"/>
          </w:tcPr>
          <w:p w14:paraId="13DEA6C9" w14:textId="77777777" w:rsidR="00285C0A" w:rsidRPr="00840A2C" w:rsidRDefault="00285C0A" w:rsidP="000D0F0C">
            <w:pPr>
              <w:pStyle w:val="Default"/>
              <w:jc w:val="both"/>
            </w:pPr>
            <w:r w:rsidRPr="00840A2C">
              <w:rPr>
                <w:sz w:val="22"/>
                <w:szCs w:val="22"/>
              </w:rPr>
              <w:t>I often store food in my refrigerator that is past its use-by date.</w:t>
            </w:r>
          </w:p>
        </w:tc>
        <w:tc>
          <w:tcPr>
            <w:tcW w:w="489" w:type="pct"/>
            <w:vMerge/>
          </w:tcPr>
          <w:p w14:paraId="5FB13B2B" w14:textId="77777777" w:rsidR="00285C0A" w:rsidRPr="00840A2C" w:rsidRDefault="00285C0A" w:rsidP="000D0F0C">
            <w:pPr>
              <w:jc w:val="both"/>
              <w:rPr>
                <w:rFonts w:ascii="Calibri" w:hAnsi="Calibri" w:cs="Calibri"/>
              </w:rPr>
            </w:pPr>
          </w:p>
        </w:tc>
      </w:tr>
      <w:tr w:rsidR="00285C0A" w:rsidRPr="00840A2C" w14:paraId="7ABEC01A" w14:textId="77777777" w:rsidTr="000D0F0C">
        <w:tc>
          <w:tcPr>
            <w:tcW w:w="157" w:type="pct"/>
          </w:tcPr>
          <w:p w14:paraId="509114AA" w14:textId="77777777" w:rsidR="00285C0A" w:rsidRPr="00840A2C" w:rsidRDefault="00285C0A" w:rsidP="000D0F0C">
            <w:pPr>
              <w:jc w:val="both"/>
              <w:rPr>
                <w:rFonts w:ascii="Calibri" w:hAnsi="Calibri" w:cs="Calibri"/>
              </w:rPr>
            </w:pPr>
            <w:r w:rsidRPr="00840A2C">
              <w:rPr>
                <w:rFonts w:ascii="Calibri" w:hAnsi="Calibri" w:cs="Calibri"/>
              </w:rPr>
              <w:t>16</w:t>
            </w:r>
          </w:p>
        </w:tc>
        <w:tc>
          <w:tcPr>
            <w:tcW w:w="518" w:type="pct"/>
            <w:vMerge/>
          </w:tcPr>
          <w:p w14:paraId="68D29E43" w14:textId="77777777" w:rsidR="00285C0A" w:rsidRPr="00840A2C" w:rsidRDefault="00285C0A" w:rsidP="000D0F0C">
            <w:pPr>
              <w:jc w:val="both"/>
              <w:rPr>
                <w:rFonts w:ascii="Calibri" w:hAnsi="Calibri" w:cs="Calibri"/>
              </w:rPr>
            </w:pPr>
          </w:p>
        </w:tc>
        <w:tc>
          <w:tcPr>
            <w:tcW w:w="287" w:type="pct"/>
          </w:tcPr>
          <w:p w14:paraId="730E6EBE" w14:textId="77777777" w:rsidR="00285C0A" w:rsidRPr="00840A2C" w:rsidRDefault="00285C0A" w:rsidP="000D0F0C">
            <w:pPr>
              <w:jc w:val="both"/>
              <w:rPr>
                <w:rFonts w:ascii="Calibri" w:hAnsi="Calibri" w:cs="Calibri"/>
              </w:rPr>
            </w:pPr>
            <w:r w:rsidRPr="00840A2C">
              <w:rPr>
                <w:rFonts w:ascii="Calibri" w:hAnsi="Calibri" w:cs="Calibri"/>
              </w:rPr>
              <w:t>B04</w:t>
            </w:r>
          </w:p>
        </w:tc>
        <w:tc>
          <w:tcPr>
            <w:tcW w:w="558" w:type="pct"/>
            <w:vMerge/>
          </w:tcPr>
          <w:p w14:paraId="0BBB5946" w14:textId="77777777" w:rsidR="00285C0A" w:rsidRPr="00840A2C" w:rsidRDefault="00285C0A" w:rsidP="000D0F0C">
            <w:pPr>
              <w:pStyle w:val="Default"/>
              <w:jc w:val="both"/>
              <w:rPr>
                <w:sz w:val="22"/>
                <w:szCs w:val="22"/>
              </w:rPr>
            </w:pPr>
          </w:p>
        </w:tc>
        <w:tc>
          <w:tcPr>
            <w:tcW w:w="2992" w:type="pct"/>
          </w:tcPr>
          <w:p w14:paraId="2D5C9BC9" w14:textId="77777777" w:rsidR="00285C0A" w:rsidRPr="00840A2C" w:rsidRDefault="00285C0A" w:rsidP="000D0F0C">
            <w:pPr>
              <w:pStyle w:val="Default"/>
              <w:jc w:val="both"/>
            </w:pPr>
            <w:r w:rsidRPr="00840A2C">
              <w:rPr>
                <w:sz w:val="22"/>
                <w:szCs w:val="22"/>
              </w:rPr>
              <w:t xml:space="preserve">I am more concerned about price when I purchase electrical appliances. </w:t>
            </w:r>
          </w:p>
        </w:tc>
        <w:tc>
          <w:tcPr>
            <w:tcW w:w="489" w:type="pct"/>
            <w:vMerge/>
          </w:tcPr>
          <w:p w14:paraId="54D14130" w14:textId="77777777" w:rsidR="00285C0A" w:rsidRPr="00840A2C" w:rsidRDefault="00285C0A" w:rsidP="000D0F0C">
            <w:pPr>
              <w:jc w:val="both"/>
              <w:rPr>
                <w:rFonts w:ascii="Calibri" w:hAnsi="Calibri" w:cs="Calibri"/>
              </w:rPr>
            </w:pPr>
          </w:p>
        </w:tc>
      </w:tr>
      <w:tr w:rsidR="00285C0A" w:rsidRPr="00840A2C" w14:paraId="75FEE006" w14:textId="77777777" w:rsidTr="000D0F0C">
        <w:tc>
          <w:tcPr>
            <w:tcW w:w="157" w:type="pct"/>
          </w:tcPr>
          <w:p w14:paraId="02DC9458" w14:textId="77777777" w:rsidR="00285C0A" w:rsidRPr="00840A2C" w:rsidRDefault="00285C0A" w:rsidP="000D0F0C">
            <w:pPr>
              <w:jc w:val="both"/>
              <w:rPr>
                <w:rFonts w:ascii="Calibri" w:hAnsi="Calibri" w:cs="Calibri"/>
              </w:rPr>
            </w:pPr>
            <w:r w:rsidRPr="00840A2C">
              <w:rPr>
                <w:rFonts w:ascii="Calibri" w:hAnsi="Calibri" w:cs="Calibri"/>
              </w:rPr>
              <w:t>17</w:t>
            </w:r>
          </w:p>
        </w:tc>
        <w:tc>
          <w:tcPr>
            <w:tcW w:w="518" w:type="pct"/>
            <w:vMerge/>
          </w:tcPr>
          <w:p w14:paraId="6333A0D9" w14:textId="77777777" w:rsidR="00285C0A" w:rsidRPr="00840A2C" w:rsidRDefault="00285C0A" w:rsidP="000D0F0C">
            <w:pPr>
              <w:jc w:val="both"/>
              <w:rPr>
                <w:rFonts w:ascii="Calibri" w:hAnsi="Calibri" w:cs="Calibri"/>
              </w:rPr>
            </w:pPr>
          </w:p>
        </w:tc>
        <w:tc>
          <w:tcPr>
            <w:tcW w:w="287" w:type="pct"/>
          </w:tcPr>
          <w:p w14:paraId="4EAE9D78" w14:textId="77777777" w:rsidR="00285C0A" w:rsidRPr="00840A2C" w:rsidRDefault="00285C0A" w:rsidP="000D0F0C">
            <w:pPr>
              <w:jc w:val="both"/>
              <w:rPr>
                <w:rFonts w:ascii="Calibri" w:hAnsi="Calibri" w:cs="Calibri"/>
              </w:rPr>
            </w:pPr>
            <w:r w:rsidRPr="00840A2C">
              <w:rPr>
                <w:rFonts w:ascii="Calibri" w:hAnsi="Calibri" w:cs="Calibri"/>
              </w:rPr>
              <w:t>B05</w:t>
            </w:r>
          </w:p>
        </w:tc>
        <w:tc>
          <w:tcPr>
            <w:tcW w:w="558" w:type="pct"/>
            <w:vMerge/>
          </w:tcPr>
          <w:p w14:paraId="1BDBE002" w14:textId="77777777" w:rsidR="00285C0A" w:rsidRPr="00840A2C" w:rsidRDefault="00285C0A" w:rsidP="000D0F0C">
            <w:pPr>
              <w:pStyle w:val="Default"/>
              <w:jc w:val="both"/>
              <w:rPr>
                <w:sz w:val="22"/>
                <w:szCs w:val="22"/>
              </w:rPr>
            </w:pPr>
          </w:p>
        </w:tc>
        <w:tc>
          <w:tcPr>
            <w:tcW w:w="2992" w:type="pct"/>
          </w:tcPr>
          <w:p w14:paraId="5D2D7747" w14:textId="77777777" w:rsidR="00285C0A" w:rsidRPr="00840A2C" w:rsidRDefault="00285C0A" w:rsidP="000D0F0C">
            <w:pPr>
              <w:pStyle w:val="Default"/>
              <w:jc w:val="both"/>
            </w:pPr>
            <w:r w:rsidRPr="00840A2C">
              <w:rPr>
                <w:sz w:val="22"/>
                <w:szCs w:val="22"/>
              </w:rPr>
              <w:t>I purchase electrical appliances that have energy saving labels.</w:t>
            </w:r>
          </w:p>
        </w:tc>
        <w:tc>
          <w:tcPr>
            <w:tcW w:w="489" w:type="pct"/>
            <w:vMerge/>
          </w:tcPr>
          <w:p w14:paraId="3445D4BB" w14:textId="77777777" w:rsidR="00285C0A" w:rsidRPr="00840A2C" w:rsidRDefault="00285C0A" w:rsidP="000D0F0C">
            <w:pPr>
              <w:jc w:val="both"/>
              <w:rPr>
                <w:rFonts w:ascii="Calibri" w:hAnsi="Calibri" w:cs="Calibri"/>
              </w:rPr>
            </w:pPr>
          </w:p>
        </w:tc>
      </w:tr>
      <w:tr w:rsidR="00285C0A" w:rsidRPr="00840A2C" w14:paraId="26ABD0E6" w14:textId="77777777" w:rsidTr="000D0F0C">
        <w:tc>
          <w:tcPr>
            <w:tcW w:w="157" w:type="pct"/>
          </w:tcPr>
          <w:p w14:paraId="4DE53B11" w14:textId="77777777" w:rsidR="00285C0A" w:rsidRPr="00840A2C" w:rsidRDefault="00285C0A" w:rsidP="000D0F0C">
            <w:pPr>
              <w:jc w:val="both"/>
              <w:rPr>
                <w:rFonts w:ascii="Calibri" w:hAnsi="Calibri" w:cs="Calibri"/>
              </w:rPr>
            </w:pPr>
            <w:r w:rsidRPr="00840A2C">
              <w:rPr>
                <w:rFonts w:ascii="Calibri" w:hAnsi="Calibri" w:cs="Calibri"/>
              </w:rPr>
              <w:t>18</w:t>
            </w:r>
          </w:p>
        </w:tc>
        <w:tc>
          <w:tcPr>
            <w:tcW w:w="518" w:type="pct"/>
            <w:vMerge/>
          </w:tcPr>
          <w:p w14:paraId="6E17E2CD" w14:textId="77777777" w:rsidR="00285C0A" w:rsidRPr="00840A2C" w:rsidRDefault="00285C0A" w:rsidP="000D0F0C">
            <w:pPr>
              <w:jc w:val="both"/>
              <w:rPr>
                <w:rFonts w:ascii="Calibri" w:hAnsi="Calibri" w:cs="Calibri"/>
              </w:rPr>
            </w:pPr>
          </w:p>
        </w:tc>
        <w:tc>
          <w:tcPr>
            <w:tcW w:w="287" w:type="pct"/>
          </w:tcPr>
          <w:p w14:paraId="2564B455" w14:textId="77777777" w:rsidR="00285C0A" w:rsidRPr="00840A2C" w:rsidRDefault="00285C0A" w:rsidP="000D0F0C">
            <w:pPr>
              <w:jc w:val="both"/>
              <w:rPr>
                <w:rFonts w:ascii="Calibri" w:hAnsi="Calibri" w:cs="Calibri"/>
              </w:rPr>
            </w:pPr>
            <w:r w:rsidRPr="00840A2C">
              <w:rPr>
                <w:rFonts w:ascii="Calibri" w:hAnsi="Calibri" w:cs="Calibri"/>
              </w:rPr>
              <w:t>B06</w:t>
            </w:r>
          </w:p>
        </w:tc>
        <w:tc>
          <w:tcPr>
            <w:tcW w:w="558" w:type="pct"/>
            <w:vMerge/>
          </w:tcPr>
          <w:p w14:paraId="2366DD0C" w14:textId="77777777" w:rsidR="00285C0A" w:rsidRPr="00840A2C" w:rsidRDefault="00285C0A" w:rsidP="000D0F0C">
            <w:pPr>
              <w:pStyle w:val="Default"/>
              <w:jc w:val="both"/>
              <w:rPr>
                <w:sz w:val="22"/>
                <w:szCs w:val="22"/>
              </w:rPr>
            </w:pPr>
          </w:p>
        </w:tc>
        <w:tc>
          <w:tcPr>
            <w:tcW w:w="2992" w:type="pct"/>
          </w:tcPr>
          <w:p w14:paraId="3C3AE9BB" w14:textId="77777777" w:rsidR="00285C0A" w:rsidRPr="00840A2C" w:rsidRDefault="00285C0A" w:rsidP="000D0F0C">
            <w:pPr>
              <w:pStyle w:val="Default"/>
              <w:jc w:val="both"/>
            </w:pPr>
            <w:r w:rsidRPr="00840A2C">
              <w:rPr>
                <w:sz w:val="22"/>
                <w:szCs w:val="22"/>
              </w:rPr>
              <w:t>I turn lights and water taps off as much as possible.</w:t>
            </w:r>
          </w:p>
        </w:tc>
        <w:tc>
          <w:tcPr>
            <w:tcW w:w="489" w:type="pct"/>
            <w:vMerge/>
          </w:tcPr>
          <w:p w14:paraId="3B2572A4" w14:textId="77777777" w:rsidR="00285C0A" w:rsidRPr="00840A2C" w:rsidRDefault="00285C0A" w:rsidP="000D0F0C">
            <w:pPr>
              <w:jc w:val="both"/>
              <w:rPr>
                <w:rFonts w:ascii="Calibri" w:hAnsi="Calibri" w:cs="Calibri"/>
              </w:rPr>
            </w:pPr>
          </w:p>
        </w:tc>
      </w:tr>
      <w:tr w:rsidR="00285C0A" w:rsidRPr="00840A2C" w14:paraId="63AF19DF" w14:textId="77777777" w:rsidTr="000D0F0C">
        <w:tc>
          <w:tcPr>
            <w:tcW w:w="157" w:type="pct"/>
          </w:tcPr>
          <w:p w14:paraId="2879E0CC" w14:textId="77777777" w:rsidR="00285C0A" w:rsidRPr="00840A2C" w:rsidRDefault="00285C0A" w:rsidP="000D0F0C">
            <w:pPr>
              <w:jc w:val="both"/>
              <w:rPr>
                <w:rFonts w:ascii="Calibri" w:hAnsi="Calibri" w:cs="Calibri"/>
              </w:rPr>
            </w:pPr>
            <w:r w:rsidRPr="00840A2C">
              <w:rPr>
                <w:rFonts w:ascii="Calibri" w:hAnsi="Calibri" w:cs="Calibri"/>
              </w:rPr>
              <w:t>19</w:t>
            </w:r>
          </w:p>
        </w:tc>
        <w:tc>
          <w:tcPr>
            <w:tcW w:w="518" w:type="pct"/>
            <w:vMerge/>
          </w:tcPr>
          <w:p w14:paraId="66B1B265" w14:textId="77777777" w:rsidR="00285C0A" w:rsidRPr="00840A2C" w:rsidRDefault="00285C0A" w:rsidP="000D0F0C">
            <w:pPr>
              <w:jc w:val="both"/>
              <w:rPr>
                <w:rFonts w:ascii="Calibri" w:hAnsi="Calibri" w:cs="Calibri"/>
              </w:rPr>
            </w:pPr>
          </w:p>
        </w:tc>
        <w:tc>
          <w:tcPr>
            <w:tcW w:w="287" w:type="pct"/>
          </w:tcPr>
          <w:p w14:paraId="4A15C70D" w14:textId="77777777" w:rsidR="00285C0A" w:rsidRPr="00840A2C" w:rsidRDefault="00285C0A" w:rsidP="000D0F0C">
            <w:pPr>
              <w:jc w:val="both"/>
              <w:rPr>
                <w:rFonts w:ascii="Calibri" w:hAnsi="Calibri" w:cs="Calibri"/>
              </w:rPr>
            </w:pPr>
            <w:r w:rsidRPr="00840A2C">
              <w:rPr>
                <w:rFonts w:ascii="Calibri" w:hAnsi="Calibri" w:cs="Calibri"/>
              </w:rPr>
              <w:t>B07</w:t>
            </w:r>
          </w:p>
        </w:tc>
        <w:tc>
          <w:tcPr>
            <w:tcW w:w="558" w:type="pct"/>
            <w:vMerge/>
          </w:tcPr>
          <w:p w14:paraId="408208F3" w14:textId="77777777" w:rsidR="00285C0A" w:rsidRPr="00840A2C" w:rsidRDefault="00285C0A" w:rsidP="000D0F0C">
            <w:pPr>
              <w:pStyle w:val="Default"/>
              <w:jc w:val="both"/>
              <w:rPr>
                <w:sz w:val="22"/>
                <w:szCs w:val="22"/>
              </w:rPr>
            </w:pPr>
          </w:p>
        </w:tc>
        <w:tc>
          <w:tcPr>
            <w:tcW w:w="2992" w:type="pct"/>
          </w:tcPr>
          <w:p w14:paraId="579E3A34" w14:textId="77777777" w:rsidR="00285C0A" w:rsidRPr="00840A2C" w:rsidRDefault="00285C0A" w:rsidP="000D0F0C">
            <w:pPr>
              <w:pStyle w:val="Default"/>
              <w:jc w:val="both"/>
            </w:pPr>
            <w:r w:rsidRPr="00840A2C">
              <w:rPr>
                <w:sz w:val="22"/>
                <w:szCs w:val="22"/>
              </w:rPr>
              <w:t xml:space="preserve">I unplug appliances that are temporarily not in use. </w:t>
            </w:r>
          </w:p>
        </w:tc>
        <w:tc>
          <w:tcPr>
            <w:tcW w:w="489" w:type="pct"/>
            <w:vMerge/>
          </w:tcPr>
          <w:p w14:paraId="6C2BB441" w14:textId="77777777" w:rsidR="00285C0A" w:rsidRPr="00840A2C" w:rsidRDefault="00285C0A" w:rsidP="000D0F0C">
            <w:pPr>
              <w:jc w:val="both"/>
              <w:rPr>
                <w:rFonts w:ascii="Calibri" w:hAnsi="Calibri" w:cs="Calibri"/>
              </w:rPr>
            </w:pPr>
          </w:p>
        </w:tc>
      </w:tr>
      <w:tr w:rsidR="00285C0A" w:rsidRPr="00840A2C" w14:paraId="5AD778BA" w14:textId="77777777" w:rsidTr="000D0F0C">
        <w:tc>
          <w:tcPr>
            <w:tcW w:w="157" w:type="pct"/>
          </w:tcPr>
          <w:p w14:paraId="4F806E61" w14:textId="77777777" w:rsidR="00285C0A" w:rsidRPr="00840A2C" w:rsidRDefault="00285C0A" w:rsidP="000D0F0C">
            <w:pPr>
              <w:jc w:val="both"/>
              <w:rPr>
                <w:rFonts w:ascii="Calibri" w:hAnsi="Calibri" w:cs="Calibri"/>
              </w:rPr>
            </w:pPr>
            <w:r w:rsidRPr="00840A2C">
              <w:rPr>
                <w:rFonts w:ascii="Calibri" w:hAnsi="Calibri" w:cs="Calibri"/>
              </w:rPr>
              <w:t>20</w:t>
            </w:r>
          </w:p>
        </w:tc>
        <w:tc>
          <w:tcPr>
            <w:tcW w:w="518" w:type="pct"/>
            <w:vMerge/>
          </w:tcPr>
          <w:p w14:paraId="0D176E6F" w14:textId="77777777" w:rsidR="00285C0A" w:rsidRPr="00840A2C" w:rsidRDefault="00285C0A" w:rsidP="000D0F0C">
            <w:pPr>
              <w:jc w:val="both"/>
              <w:rPr>
                <w:rFonts w:ascii="Calibri" w:hAnsi="Calibri" w:cs="Calibri"/>
              </w:rPr>
            </w:pPr>
          </w:p>
        </w:tc>
        <w:tc>
          <w:tcPr>
            <w:tcW w:w="287" w:type="pct"/>
          </w:tcPr>
          <w:p w14:paraId="56F46114" w14:textId="77777777" w:rsidR="00285C0A" w:rsidRPr="00840A2C" w:rsidRDefault="00285C0A" w:rsidP="000D0F0C">
            <w:pPr>
              <w:jc w:val="both"/>
              <w:rPr>
                <w:rFonts w:ascii="Calibri" w:hAnsi="Calibri" w:cs="Calibri"/>
              </w:rPr>
            </w:pPr>
            <w:r w:rsidRPr="00840A2C">
              <w:rPr>
                <w:rFonts w:ascii="Calibri" w:hAnsi="Calibri" w:cs="Calibri"/>
              </w:rPr>
              <w:t>B08</w:t>
            </w:r>
          </w:p>
        </w:tc>
        <w:tc>
          <w:tcPr>
            <w:tcW w:w="558" w:type="pct"/>
            <w:vMerge/>
          </w:tcPr>
          <w:p w14:paraId="783D246A" w14:textId="77777777" w:rsidR="00285C0A" w:rsidRPr="00840A2C" w:rsidRDefault="00285C0A" w:rsidP="000D0F0C">
            <w:pPr>
              <w:pStyle w:val="Default"/>
              <w:jc w:val="both"/>
              <w:rPr>
                <w:sz w:val="22"/>
                <w:szCs w:val="22"/>
              </w:rPr>
            </w:pPr>
          </w:p>
        </w:tc>
        <w:tc>
          <w:tcPr>
            <w:tcW w:w="2992" w:type="pct"/>
          </w:tcPr>
          <w:p w14:paraId="5CAAE2C7" w14:textId="77777777" w:rsidR="00285C0A" w:rsidRPr="00840A2C" w:rsidRDefault="00285C0A" w:rsidP="000D0F0C">
            <w:pPr>
              <w:pStyle w:val="Default"/>
              <w:jc w:val="both"/>
            </w:pPr>
            <w:r w:rsidRPr="00840A2C">
              <w:rPr>
                <w:sz w:val="22"/>
                <w:szCs w:val="22"/>
              </w:rPr>
              <w:t>I mainly drive or am driven by a car or a motor-scooter.</w:t>
            </w:r>
          </w:p>
        </w:tc>
        <w:tc>
          <w:tcPr>
            <w:tcW w:w="489" w:type="pct"/>
            <w:vMerge/>
          </w:tcPr>
          <w:p w14:paraId="22CAD844" w14:textId="77777777" w:rsidR="00285C0A" w:rsidRPr="00840A2C" w:rsidRDefault="00285C0A" w:rsidP="000D0F0C">
            <w:pPr>
              <w:jc w:val="both"/>
              <w:rPr>
                <w:rFonts w:ascii="Calibri" w:hAnsi="Calibri" w:cs="Calibri"/>
              </w:rPr>
            </w:pPr>
          </w:p>
        </w:tc>
      </w:tr>
      <w:tr w:rsidR="00285C0A" w:rsidRPr="00840A2C" w14:paraId="71AD9B15" w14:textId="77777777" w:rsidTr="000D0F0C">
        <w:tc>
          <w:tcPr>
            <w:tcW w:w="157" w:type="pct"/>
          </w:tcPr>
          <w:p w14:paraId="173F511D" w14:textId="77777777" w:rsidR="00285C0A" w:rsidRPr="00840A2C" w:rsidRDefault="00285C0A" w:rsidP="000D0F0C">
            <w:pPr>
              <w:jc w:val="both"/>
              <w:rPr>
                <w:rFonts w:ascii="Calibri" w:hAnsi="Calibri" w:cs="Calibri"/>
              </w:rPr>
            </w:pPr>
            <w:r w:rsidRPr="00840A2C">
              <w:rPr>
                <w:rFonts w:ascii="Calibri" w:hAnsi="Calibri" w:cs="Calibri"/>
              </w:rPr>
              <w:t>21</w:t>
            </w:r>
          </w:p>
        </w:tc>
        <w:tc>
          <w:tcPr>
            <w:tcW w:w="518" w:type="pct"/>
            <w:vMerge/>
          </w:tcPr>
          <w:p w14:paraId="73177B55" w14:textId="77777777" w:rsidR="00285C0A" w:rsidRPr="00840A2C" w:rsidRDefault="00285C0A" w:rsidP="000D0F0C">
            <w:pPr>
              <w:jc w:val="both"/>
              <w:rPr>
                <w:rFonts w:ascii="Calibri" w:hAnsi="Calibri" w:cs="Calibri"/>
              </w:rPr>
            </w:pPr>
          </w:p>
        </w:tc>
        <w:tc>
          <w:tcPr>
            <w:tcW w:w="287" w:type="pct"/>
          </w:tcPr>
          <w:p w14:paraId="66E355C0" w14:textId="77777777" w:rsidR="00285C0A" w:rsidRPr="00840A2C" w:rsidRDefault="00285C0A" w:rsidP="000D0F0C">
            <w:pPr>
              <w:jc w:val="both"/>
              <w:rPr>
                <w:rFonts w:ascii="Calibri" w:hAnsi="Calibri" w:cs="Calibri"/>
              </w:rPr>
            </w:pPr>
            <w:r w:rsidRPr="00840A2C">
              <w:rPr>
                <w:rFonts w:ascii="Calibri" w:hAnsi="Calibri" w:cs="Calibri"/>
              </w:rPr>
              <w:t>B09</w:t>
            </w:r>
          </w:p>
        </w:tc>
        <w:tc>
          <w:tcPr>
            <w:tcW w:w="558" w:type="pct"/>
            <w:vMerge/>
          </w:tcPr>
          <w:p w14:paraId="3A5D99EA" w14:textId="77777777" w:rsidR="00285C0A" w:rsidRPr="00840A2C" w:rsidRDefault="00285C0A" w:rsidP="000D0F0C">
            <w:pPr>
              <w:pStyle w:val="Default"/>
              <w:jc w:val="both"/>
              <w:rPr>
                <w:sz w:val="22"/>
                <w:szCs w:val="22"/>
              </w:rPr>
            </w:pPr>
          </w:p>
        </w:tc>
        <w:tc>
          <w:tcPr>
            <w:tcW w:w="2992" w:type="pct"/>
          </w:tcPr>
          <w:p w14:paraId="33E686D1" w14:textId="77777777" w:rsidR="00285C0A" w:rsidRPr="00840A2C" w:rsidRDefault="00285C0A" w:rsidP="000D0F0C">
            <w:pPr>
              <w:pStyle w:val="Default"/>
              <w:jc w:val="both"/>
            </w:pPr>
            <w:r w:rsidRPr="00840A2C">
              <w:rPr>
                <w:sz w:val="22"/>
                <w:szCs w:val="22"/>
              </w:rPr>
              <w:t>I use elevators and rarely use stairs.</w:t>
            </w:r>
          </w:p>
        </w:tc>
        <w:tc>
          <w:tcPr>
            <w:tcW w:w="489" w:type="pct"/>
            <w:vMerge/>
          </w:tcPr>
          <w:p w14:paraId="2DCECD7A" w14:textId="77777777" w:rsidR="00285C0A" w:rsidRPr="00840A2C" w:rsidRDefault="00285C0A" w:rsidP="000D0F0C">
            <w:pPr>
              <w:jc w:val="both"/>
              <w:rPr>
                <w:rFonts w:ascii="Calibri" w:hAnsi="Calibri" w:cs="Calibri"/>
              </w:rPr>
            </w:pPr>
          </w:p>
        </w:tc>
      </w:tr>
      <w:tr w:rsidR="00285C0A" w:rsidRPr="00840A2C" w14:paraId="512CA5A5" w14:textId="77777777" w:rsidTr="000D0F0C">
        <w:tc>
          <w:tcPr>
            <w:tcW w:w="157" w:type="pct"/>
          </w:tcPr>
          <w:p w14:paraId="2C2365B2" w14:textId="77777777" w:rsidR="00285C0A" w:rsidRPr="00840A2C" w:rsidRDefault="00285C0A" w:rsidP="000D0F0C">
            <w:pPr>
              <w:jc w:val="both"/>
              <w:rPr>
                <w:rFonts w:ascii="Calibri" w:hAnsi="Calibri" w:cs="Calibri"/>
              </w:rPr>
            </w:pPr>
            <w:r w:rsidRPr="00840A2C">
              <w:rPr>
                <w:rFonts w:ascii="Calibri" w:hAnsi="Calibri" w:cs="Calibri"/>
              </w:rPr>
              <w:t>22</w:t>
            </w:r>
          </w:p>
        </w:tc>
        <w:tc>
          <w:tcPr>
            <w:tcW w:w="518" w:type="pct"/>
            <w:vMerge/>
          </w:tcPr>
          <w:p w14:paraId="65013B3F" w14:textId="77777777" w:rsidR="00285C0A" w:rsidRPr="00840A2C" w:rsidRDefault="00285C0A" w:rsidP="000D0F0C">
            <w:pPr>
              <w:jc w:val="both"/>
              <w:rPr>
                <w:rFonts w:ascii="Calibri" w:hAnsi="Calibri" w:cs="Calibri"/>
              </w:rPr>
            </w:pPr>
          </w:p>
        </w:tc>
        <w:tc>
          <w:tcPr>
            <w:tcW w:w="287" w:type="pct"/>
          </w:tcPr>
          <w:p w14:paraId="7B4ADB11" w14:textId="77777777" w:rsidR="00285C0A" w:rsidRPr="00840A2C" w:rsidRDefault="00285C0A" w:rsidP="000D0F0C">
            <w:pPr>
              <w:jc w:val="both"/>
              <w:rPr>
                <w:rFonts w:ascii="Calibri" w:hAnsi="Calibri" w:cs="Calibri"/>
              </w:rPr>
            </w:pPr>
            <w:r w:rsidRPr="00840A2C">
              <w:rPr>
                <w:rFonts w:ascii="Calibri" w:hAnsi="Calibri" w:cs="Calibri"/>
              </w:rPr>
              <w:t>B10</w:t>
            </w:r>
          </w:p>
        </w:tc>
        <w:tc>
          <w:tcPr>
            <w:tcW w:w="558" w:type="pct"/>
            <w:vMerge/>
          </w:tcPr>
          <w:p w14:paraId="01C30CB2" w14:textId="77777777" w:rsidR="00285C0A" w:rsidRPr="00840A2C" w:rsidRDefault="00285C0A" w:rsidP="000D0F0C">
            <w:pPr>
              <w:pStyle w:val="Default"/>
              <w:jc w:val="both"/>
              <w:rPr>
                <w:sz w:val="22"/>
                <w:szCs w:val="22"/>
              </w:rPr>
            </w:pPr>
          </w:p>
        </w:tc>
        <w:tc>
          <w:tcPr>
            <w:tcW w:w="2992" w:type="pct"/>
          </w:tcPr>
          <w:p w14:paraId="32CAC356" w14:textId="77777777" w:rsidR="00285C0A" w:rsidRPr="00840A2C" w:rsidRDefault="00285C0A" w:rsidP="000D0F0C">
            <w:pPr>
              <w:pStyle w:val="Default"/>
              <w:jc w:val="both"/>
            </w:pPr>
            <w:r w:rsidRPr="00840A2C">
              <w:rPr>
                <w:sz w:val="22"/>
                <w:szCs w:val="22"/>
              </w:rPr>
              <w:t xml:space="preserve">I support an increase of fuel tax to reduce the use of fossil fuels. </w:t>
            </w:r>
          </w:p>
        </w:tc>
        <w:tc>
          <w:tcPr>
            <w:tcW w:w="489" w:type="pct"/>
            <w:vMerge/>
          </w:tcPr>
          <w:p w14:paraId="27B47657" w14:textId="77777777" w:rsidR="00285C0A" w:rsidRPr="00840A2C" w:rsidRDefault="00285C0A" w:rsidP="000D0F0C">
            <w:pPr>
              <w:jc w:val="both"/>
              <w:rPr>
                <w:rFonts w:ascii="Calibri" w:hAnsi="Calibri" w:cs="Calibri"/>
              </w:rPr>
            </w:pPr>
          </w:p>
        </w:tc>
      </w:tr>
    </w:tbl>
    <w:p w14:paraId="38DB9411" w14:textId="77777777" w:rsidR="00285C0A" w:rsidRPr="00840A2C" w:rsidRDefault="00285C0A" w:rsidP="00285C0A">
      <w:pPr>
        <w:rPr>
          <w:rFonts w:ascii="Calibri" w:hAnsi="Calibri" w:cs="Calibri"/>
        </w:rPr>
      </w:pPr>
      <w:bookmarkStart w:id="26" w:name="_Toc172745442"/>
    </w:p>
    <w:p w14:paraId="5ACC23F2" w14:textId="2E437150" w:rsidR="00285C0A" w:rsidRPr="00840A2C" w:rsidRDefault="001867AD" w:rsidP="00285C0A">
      <w:pPr>
        <w:pStyle w:val="Heading4"/>
        <w:rPr>
          <w:rFonts w:ascii="Calibri" w:hAnsi="Calibri" w:cs="Calibri"/>
        </w:rPr>
      </w:pPr>
      <w:r>
        <w:rPr>
          <w:rFonts w:ascii="Calibri" w:hAnsi="Calibri" w:cs="Calibri"/>
        </w:rPr>
        <w:t>E</w:t>
      </w:r>
      <w:r w:rsidR="00285C0A" w:rsidRPr="00840A2C">
        <w:rPr>
          <w:rFonts w:ascii="Calibri" w:hAnsi="Calibri" w:cs="Calibri"/>
        </w:rPr>
        <w:t>fficacy beliefs</w:t>
      </w:r>
      <w:bookmarkEnd w:id="26"/>
    </w:p>
    <w:p w14:paraId="47915E82" w14:textId="77777777" w:rsidR="007D5870" w:rsidRPr="001867AD" w:rsidRDefault="007D5870" w:rsidP="001867AD">
      <w:pPr>
        <w:jc w:val="both"/>
        <w:rPr>
          <w:sz w:val="24"/>
          <w:szCs w:val="24"/>
        </w:rPr>
      </w:pPr>
      <w:r w:rsidRPr="001867AD">
        <w:rPr>
          <w:sz w:val="24"/>
          <w:szCs w:val="24"/>
        </w:rPr>
        <w:t xml:space="preserve">The efficacy scales were based on Hamann et al.'s (2024) questions. Further adaptations for operationalisation in this context were based on their recommendations. For all questions, I included the marker words 'if I/we want to' to avoid the risk of capturing the desirability of the aim instead of their efficacy beliefs. I considered two agents as social identities central to the context of the study. In addition to the individual, I also considered 'we as students' to be a relevant social identity in this context, given the nature of the project to shape the school environment, their primary occupation as students, and the educational goal of the intervention. In order to be able to compare personal and collective efficacy beliefs, I chose three questions and repeated them with the same wording, except that I changed the agent from "I" to "we, as students". In the questions, I included both action and aim-focussed links (see Table XX). I partially adapted some of the questions to the school context by specifying decision-makers or organisations as "school principals or schools" (for the original questions, see Hamann et al. (2024)). Due to time constraints, I could not conduct pilot studies to test </w:t>
      </w:r>
      <w:r w:rsidRPr="001867AD">
        <w:rPr>
          <w:sz w:val="24"/>
          <w:szCs w:val="24"/>
        </w:rPr>
        <w:lastRenderedPageBreak/>
        <w:t>the desirability of actions and aims, so I kept the questions as suggested by Hamann et al. (2024), see Table XX for all questions.</w:t>
      </w:r>
    </w:p>
    <w:p w14:paraId="63DAFCDE" w14:textId="37DD6B09" w:rsidR="00285C0A" w:rsidRPr="00840A2C" w:rsidRDefault="00285C0A" w:rsidP="00285C0A">
      <w:pPr>
        <w:rPr>
          <w:rFonts w:ascii="Calibri" w:hAnsi="Calibri" w:cs="Calibri"/>
        </w:rPr>
      </w:pPr>
      <w:r w:rsidRPr="00840A2C">
        <w:rPr>
          <w:rFonts w:ascii="Calibri" w:hAnsi="Calibri" w:cs="Calibri"/>
        </w:rPr>
        <w:t xml:space="preserve">Table XX: </w:t>
      </w:r>
      <w:r w:rsidR="00B75956" w:rsidRPr="00B75956">
        <w:rPr>
          <w:rFonts w:ascii="Calibri" w:hAnsi="Calibri" w:cs="Calibri"/>
        </w:rPr>
        <w:t>The scales used for efficacy beliefs are based on the Triple-A framework (Agent-Action-Aim) by Hamann et al. (2024). The scales allow differentiation between personal and collective efficacy beliefs and between aim and action focus.</w:t>
      </w:r>
    </w:p>
    <w:tbl>
      <w:tblPr>
        <w:tblStyle w:val="TableGrid"/>
        <w:tblW w:w="5000" w:type="pct"/>
        <w:tblLook w:val="04A0" w:firstRow="1" w:lastRow="0" w:firstColumn="1" w:lastColumn="0" w:noHBand="0" w:noVBand="1"/>
      </w:tblPr>
      <w:tblGrid>
        <w:gridCol w:w="523"/>
        <w:gridCol w:w="1364"/>
        <w:gridCol w:w="1662"/>
        <w:gridCol w:w="1758"/>
        <w:gridCol w:w="2526"/>
        <w:gridCol w:w="1229"/>
      </w:tblGrid>
      <w:tr w:rsidR="00285C0A" w:rsidRPr="00840A2C" w14:paraId="1CADD653" w14:textId="77777777" w:rsidTr="000D0F0C">
        <w:tc>
          <w:tcPr>
            <w:tcW w:w="288" w:type="pct"/>
          </w:tcPr>
          <w:p w14:paraId="6323CD41" w14:textId="77777777" w:rsidR="00285C0A" w:rsidRPr="00840A2C" w:rsidRDefault="00285C0A" w:rsidP="000D0F0C">
            <w:pPr>
              <w:rPr>
                <w:rFonts w:ascii="Calibri" w:hAnsi="Calibri" w:cs="Calibri"/>
                <w:b/>
                <w:bCs/>
              </w:rPr>
            </w:pPr>
            <w:r w:rsidRPr="00840A2C">
              <w:rPr>
                <w:rFonts w:ascii="Calibri" w:hAnsi="Calibri" w:cs="Calibri"/>
                <w:b/>
                <w:bCs/>
              </w:rPr>
              <w:t>#</w:t>
            </w:r>
          </w:p>
        </w:tc>
        <w:tc>
          <w:tcPr>
            <w:tcW w:w="752" w:type="pct"/>
          </w:tcPr>
          <w:p w14:paraId="6F861312" w14:textId="77777777" w:rsidR="00285C0A" w:rsidRPr="00840A2C" w:rsidRDefault="00285C0A" w:rsidP="000D0F0C">
            <w:pPr>
              <w:rPr>
                <w:rFonts w:ascii="Calibri" w:hAnsi="Calibri" w:cs="Calibri"/>
                <w:b/>
                <w:bCs/>
              </w:rPr>
            </w:pPr>
            <w:r w:rsidRPr="00840A2C">
              <w:rPr>
                <w:rFonts w:ascii="Calibri" w:hAnsi="Calibri" w:cs="Calibri"/>
                <w:b/>
                <w:bCs/>
              </w:rPr>
              <w:t>Scale</w:t>
            </w:r>
          </w:p>
        </w:tc>
        <w:tc>
          <w:tcPr>
            <w:tcW w:w="917" w:type="pct"/>
          </w:tcPr>
          <w:p w14:paraId="05969F4A" w14:textId="77777777" w:rsidR="00285C0A" w:rsidRPr="00840A2C" w:rsidRDefault="00285C0A" w:rsidP="000D0F0C">
            <w:pPr>
              <w:rPr>
                <w:rFonts w:ascii="Calibri" w:hAnsi="Calibri" w:cs="Calibri"/>
                <w:b/>
                <w:bCs/>
              </w:rPr>
            </w:pPr>
            <w:r w:rsidRPr="00840A2C">
              <w:rPr>
                <w:rFonts w:ascii="Calibri" w:hAnsi="Calibri" w:cs="Calibri"/>
                <w:b/>
                <w:bCs/>
              </w:rPr>
              <w:t>Item</w:t>
            </w:r>
          </w:p>
        </w:tc>
        <w:tc>
          <w:tcPr>
            <w:tcW w:w="970" w:type="pct"/>
          </w:tcPr>
          <w:p w14:paraId="7E699632" w14:textId="77777777" w:rsidR="00285C0A" w:rsidRPr="00840A2C" w:rsidRDefault="00285C0A" w:rsidP="000D0F0C">
            <w:pPr>
              <w:rPr>
                <w:rFonts w:ascii="Calibri" w:hAnsi="Calibri" w:cs="Calibri"/>
                <w:b/>
                <w:bCs/>
              </w:rPr>
            </w:pPr>
            <w:r w:rsidRPr="00840A2C">
              <w:rPr>
                <w:rFonts w:ascii="Calibri" w:hAnsi="Calibri" w:cs="Calibri"/>
                <w:b/>
                <w:bCs/>
              </w:rPr>
              <w:t>Theoretical classification question</w:t>
            </w:r>
          </w:p>
        </w:tc>
        <w:tc>
          <w:tcPr>
            <w:tcW w:w="1394" w:type="pct"/>
          </w:tcPr>
          <w:p w14:paraId="33B404D6" w14:textId="77777777" w:rsidR="00285C0A" w:rsidRPr="00840A2C" w:rsidRDefault="00285C0A" w:rsidP="000D0F0C">
            <w:pPr>
              <w:rPr>
                <w:rFonts w:ascii="Calibri" w:hAnsi="Calibri" w:cs="Calibri"/>
                <w:b/>
                <w:bCs/>
              </w:rPr>
            </w:pPr>
            <w:r w:rsidRPr="00840A2C">
              <w:rPr>
                <w:rFonts w:ascii="Calibri" w:hAnsi="Calibri" w:cs="Calibri"/>
                <w:b/>
                <w:bCs/>
              </w:rPr>
              <w:t>Question</w:t>
            </w:r>
          </w:p>
        </w:tc>
        <w:tc>
          <w:tcPr>
            <w:tcW w:w="678" w:type="pct"/>
          </w:tcPr>
          <w:p w14:paraId="1C2A4535" w14:textId="77777777" w:rsidR="00285C0A" w:rsidRPr="00840A2C" w:rsidRDefault="00285C0A" w:rsidP="000D0F0C">
            <w:pPr>
              <w:rPr>
                <w:rFonts w:ascii="Calibri" w:hAnsi="Calibri" w:cs="Calibri"/>
                <w:b/>
                <w:bCs/>
              </w:rPr>
            </w:pPr>
            <w:r w:rsidRPr="00840A2C">
              <w:rPr>
                <w:rFonts w:ascii="Calibri" w:hAnsi="Calibri" w:cs="Calibri"/>
                <w:b/>
                <w:bCs/>
              </w:rPr>
              <w:t>Source</w:t>
            </w:r>
          </w:p>
        </w:tc>
      </w:tr>
      <w:tr w:rsidR="00285C0A" w:rsidRPr="00840A2C" w14:paraId="2B67A04C" w14:textId="77777777" w:rsidTr="000D0F0C">
        <w:tc>
          <w:tcPr>
            <w:tcW w:w="288" w:type="pct"/>
          </w:tcPr>
          <w:p w14:paraId="54040059" w14:textId="77777777" w:rsidR="00285C0A" w:rsidRPr="00840A2C" w:rsidRDefault="00285C0A" w:rsidP="000D0F0C">
            <w:pPr>
              <w:rPr>
                <w:rFonts w:ascii="Calibri" w:hAnsi="Calibri" w:cs="Calibri"/>
              </w:rPr>
            </w:pPr>
            <w:r w:rsidRPr="00840A2C">
              <w:rPr>
                <w:rFonts w:ascii="Calibri" w:hAnsi="Calibri" w:cs="Calibri"/>
              </w:rPr>
              <w:t>1</w:t>
            </w:r>
          </w:p>
        </w:tc>
        <w:tc>
          <w:tcPr>
            <w:tcW w:w="752" w:type="pct"/>
            <w:vMerge w:val="restart"/>
          </w:tcPr>
          <w:p w14:paraId="388E3A23" w14:textId="45AFA9F7" w:rsidR="00285C0A" w:rsidRPr="00840A2C" w:rsidRDefault="00661228" w:rsidP="000D0F0C">
            <w:pPr>
              <w:rPr>
                <w:rFonts w:ascii="Calibri" w:hAnsi="Calibri" w:cs="Calibri"/>
              </w:rPr>
            </w:pPr>
            <w:r>
              <w:rPr>
                <w:rFonts w:ascii="Calibri" w:hAnsi="Calibri" w:cs="Calibri"/>
              </w:rPr>
              <w:t xml:space="preserve">Personal </w:t>
            </w:r>
            <w:r w:rsidR="00285C0A" w:rsidRPr="00840A2C">
              <w:rPr>
                <w:rFonts w:ascii="Calibri" w:hAnsi="Calibri" w:cs="Calibri"/>
              </w:rPr>
              <w:t>efficacy beliefs</w:t>
            </w:r>
          </w:p>
        </w:tc>
        <w:tc>
          <w:tcPr>
            <w:tcW w:w="917" w:type="pct"/>
          </w:tcPr>
          <w:p w14:paraId="43592875" w14:textId="77777777" w:rsidR="00285C0A" w:rsidRPr="00840A2C" w:rsidRDefault="00285C0A" w:rsidP="000D0F0C">
            <w:pPr>
              <w:rPr>
                <w:rFonts w:ascii="Calibri" w:hAnsi="Calibri" w:cs="Calibri"/>
              </w:rPr>
            </w:pPr>
            <w:r w:rsidRPr="00840A2C">
              <w:rPr>
                <w:rFonts w:ascii="Calibri" w:hAnsi="Calibri" w:cs="Calibri"/>
              </w:rPr>
              <w:t>SW01_01</w:t>
            </w:r>
          </w:p>
        </w:tc>
        <w:tc>
          <w:tcPr>
            <w:tcW w:w="970" w:type="pct"/>
          </w:tcPr>
          <w:p w14:paraId="4E71DEE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0180376E" w14:textId="77777777" w:rsidR="00285C0A" w:rsidRPr="00840A2C" w:rsidRDefault="00285C0A" w:rsidP="000D0F0C">
            <w:pPr>
              <w:rPr>
                <w:rFonts w:ascii="Calibri" w:hAnsi="Calibri" w:cs="Calibri"/>
              </w:rPr>
            </w:pPr>
            <w:r w:rsidRPr="00840A2C">
              <w:rPr>
                <w:rFonts w:ascii="Calibri" w:hAnsi="Calibri" w:cs="Calibri"/>
              </w:rPr>
              <w:t xml:space="preserve">I believe that my own actions can </w:t>
            </w:r>
            <w:proofErr w:type="gramStart"/>
            <w:r w:rsidRPr="00840A2C">
              <w:rPr>
                <w:rFonts w:ascii="Calibri" w:hAnsi="Calibri" w:cs="Calibri"/>
              </w:rPr>
              <w:t>make a contribution</w:t>
            </w:r>
            <w:proofErr w:type="gramEnd"/>
            <w:r w:rsidRPr="00840A2C">
              <w:rPr>
                <w:rFonts w:ascii="Calibri" w:hAnsi="Calibri" w:cs="Calibri"/>
              </w:rPr>
              <w:t xml:space="preserve"> to climate protection if I want to.</w:t>
            </w:r>
          </w:p>
        </w:tc>
        <w:tc>
          <w:tcPr>
            <w:tcW w:w="678" w:type="pct"/>
            <w:vMerge w:val="restart"/>
          </w:tcPr>
          <w:p w14:paraId="2EDB3AB3" w14:textId="77777777" w:rsidR="00285C0A" w:rsidRPr="00840A2C" w:rsidRDefault="00285C0A" w:rsidP="000D0F0C">
            <w:pPr>
              <w:rPr>
                <w:rFonts w:ascii="Calibri" w:hAnsi="Calibri" w:cs="Calibri"/>
              </w:rPr>
            </w:pPr>
            <w:r w:rsidRPr="00840A2C">
              <w:rPr>
                <w:rFonts w:ascii="Calibri" w:hAnsi="Calibri" w:cs="Calibri"/>
              </w:rPr>
              <w:t>Hamann et al.</w:t>
            </w:r>
          </w:p>
        </w:tc>
      </w:tr>
      <w:tr w:rsidR="00285C0A" w:rsidRPr="00840A2C" w14:paraId="01B4ABA9" w14:textId="77777777" w:rsidTr="000D0F0C">
        <w:tc>
          <w:tcPr>
            <w:tcW w:w="288" w:type="pct"/>
          </w:tcPr>
          <w:p w14:paraId="417D5C96" w14:textId="77777777" w:rsidR="00285C0A" w:rsidRPr="00840A2C" w:rsidRDefault="00285C0A" w:rsidP="000D0F0C">
            <w:pPr>
              <w:rPr>
                <w:rFonts w:ascii="Calibri" w:hAnsi="Calibri" w:cs="Calibri"/>
              </w:rPr>
            </w:pPr>
            <w:r w:rsidRPr="00840A2C">
              <w:rPr>
                <w:rFonts w:ascii="Calibri" w:hAnsi="Calibri" w:cs="Calibri"/>
              </w:rPr>
              <w:t>2</w:t>
            </w:r>
          </w:p>
        </w:tc>
        <w:tc>
          <w:tcPr>
            <w:tcW w:w="752" w:type="pct"/>
            <w:vMerge/>
          </w:tcPr>
          <w:p w14:paraId="0155C7F1" w14:textId="77777777" w:rsidR="00285C0A" w:rsidRPr="00840A2C" w:rsidRDefault="00285C0A" w:rsidP="000D0F0C">
            <w:pPr>
              <w:rPr>
                <w:rFonts w:ascii="Calibri" w:hAnsi="Calibri" w:cs="Calibri"/>
              </w:rPr>
            </w:pPr>
          </w:p>
        </w:tc>
        <w:tc>
          <w:tcPr>
            <w:tcW w:w="917" w:type="pct"/>
          </w:tcPr>
          <w:p w14:paraId="52E41176" w14:textId="77777777" w:rsidR="00285C0A" w:rsidRPr="00840A2C" w:rsidRDefault="00285C0A" w:rsidP="000D0F0C">
            <w:pPr>
              <w:rPr>
                <w:rFonts w:ascii="Calibri" w:hAnsi="Calibri" w:cs="Calibri"/>
              </w:rPr>
            </w:pPr>
            <w:r w:rsidRPr="00840A2C">
              <w:rPr>
                <w:rFonts w:ascii="Calibri" w:hAnsi="Calibri" w:cs="Calibri"/>
              </w:rPr>
              <w:t>SW01_02</w:t>
            </w:r>
          </w:p>
        </w:tc>
        <w:tc>
          <w:tcPr>
            <w:tcW w:w="970" w:type="pct"/>
          </w:tcPr>
          <w:p w14:paraId="127EBC7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3107241" w14:textId="77777777" w:rsidR="00285C0A" w:rsidRPr="00840A2C" w:rsidRDefault="00285C0A" w:rsidP="000D0F0C">
            <w:pPr>
              <w:rPr>
                <w:rFonts w:ascii="Calibri" w:hAnsi="Calibri" w:cs="Calibri"/>
              </w:rPr>
            </w:pPr>
            <w:r w:rsidRPr="00840A2C">
              <w:rPr>
                <w:rFonts w:ascii="Calibri" w:hAnsi="Calibri" w:cs="Calibri"/>
              </w:rPr>
              <w:t>I believe that I can promote climate protection by educating people around me about climate change if I want to.</w:t>
            </w:r>
          </w:p>
        </w:tc>
        <w:tc>
          <w:tcPr>
            <w:tcW w:w="678" w:type="pct"/>
            <w:vMerge/>
          </w:tcPr>
          <w:p w14:paraId="48FBDF5C" w14:textId="77777777" w:rsidR="00285C0A" w:rsidRPr="00840A2C" w:rsidRDefault="00285C0A" w:rsidP="000D0F0C">
            <w:pPr>
              <w:rPr>
                <w:rFonts w:ascii="Calibri" w:hAnsi="Calibri" w:cs="Calibri"/>
              </w:rPr>
            </w:pPr>
          </w:p>
        </w:tc>
      </w:tr>
      <w:tr w:rsidR="00285C0A" w:rsidRPr="00840A2C" w14:paraId="56CAADA6" w14:textId="77777777" w:rsidTr="000D0F0C">
        <w:tc>
          <w:tcPr>
            <w:tcW w:w="288" w:type="pct"/>
          </w:tcPr>
          <w:p w14:paraId="0B2A20B4" w14:textId="77777777" w:rsidR="00285C0A" w:rsidRPr="00840A2C" w:rsidRDefault="00285C0A" w:rsidP="000D0F0C">
            <w:pPr>
              <w:rPr>
                <w:rFonts w:ascii="Calibri" w:hAnsi="Calibri" w:cs="Calibri"/>
              </w:rPr>
            </w:pPr>
            <w:r w:rsidRPr="00840A2C">
              <w:rPr>
                <w:rFonts w:ascii="Calibri" w:hAnsi="Calibri" w:cs="Calibri"/>
              </w:rPr>
              <w:t>3</w:t>
            </w:r>
          </w:p>
        </w:tc>
        <w:tc>
          <w:tcPr>
            <w:tcW w:w="752" w:type="pct"/>
            <w:vMerge/>
          </w:tcPr>
          <w:p w14:paraId="6A35569B" w14:textId="77777777" w:rsidR="00285C0A" w:rsidRPr="00840A2C" w:rsidRDefault="00285C0A" w:rsidP="000D0F0C">
            <w:pPr>
              <w:rPr>
                <w:rFonts w:ascii="Calibri" w:hAnsi="Calibri" w:cs="Calibri"/>
              </w:rPr>
            </w:pPr>
          </w:p>
        </w:tc>
        <w:tc>
          <w:tcPr>
            <w:tcW w:w="917" w:type="pct"/>
          </w:tcPr>
          <w:p w14:paraId="1B487881" w14:textId="77777777" w:rsidR="00285C0A" w:rsidRPr="00840A2C" w:rsidRDefault="00285C0A" w:rsidP="000D0F0C">
            <w:pPr>
              <w:rPr>
                <w:rFonts w:ascii="Calibri" w:hAnsi="Calibri" w:cs="Calibri"/>
              </w:rPr>
            </w:pPr>
            <w:r w:rsidRPr="00840A2C">
              <w:rPr>
                <w:rFonts w:ascii="Calibri" w:hAnsi="Calibri" w:cs="Calibri"/>
              </w:rPr>
              <w:t>SW01_03</w:t>
            </w:r>
          </w:p>
        </w:tc>
        <w:tc>
          <w:tcPr>
            <w:tcW w:w="970" w:type="pct"/>
          </w:tcPr>
          <w:p w14:paraId="4643AF40"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2DA7018B" w14:textId="77777777" w:rsidR="00285C0A" w:rsidRPr="00840A2C" w:rsidRDefault="00285C0A" w:rsidP="000D0F0C">
            <w:pPr>
              <w:rPr>
                <w:rFonts w:ascii="Calibri" w:hAnsi="Calibri" w:cs="Calibri"/>
              </w:rPr>
            </w:pPr>
            <w:r w:rsidRPr="00840A2C">
              <w:rPr>
                <w:rFonts w:ascii="Calibri" w:hAnsi="Calibri" w:cs="Calibri"/>
              </w:rPr>
              <w:t>I don't think I'm in a position to stand up for climate protection.</w:t>
            </w:r>
          </w:p>
        </w:tc>
        <w:tc>
          <w:tcPr>
            <w:tcW w:w="678" w:type="pct"/>
            <w:vMerge/>
          </w:tcPr>
          <w:p w14:paraId="7AF2FC6C" w14:textId="77777777" w:rsidR="00285C0A" w:rsidRPr="00840A2C" w:rsidRDefault="00285C0A" w:rsidP="000D0F0C">
            <w:pPr>
              <w:rPr>
                <w:rFonts w:ascii="Calibri" w:hAnsi="Calibri" w:cs="Calibri"/>
              </w:rPr>
            </w:pPr>
          </w:p>
        </w:tc>
      </w:tr>
      <w:tr w:rsidR="00285C0A" w:rsidRPr="00840A2C" w14:paraId="3B85E42D" w14:textId="77777777" w:rsidTr="000D0F0C">
        <w:tc>
          <w:tcPr>
            <w:tcW w:w="288" w:type="pct"/>
          </w:tcPr>
          <w:p w14:paraId="3874A13B" w14:textId="77777777" w:rsidR="00285C0A" w:rsidRPr="00840A2C" w:rsidRDefault="00285C0A" w:rsidP="000D0F0C">
            <w:pPr>
              <w:rPr>
                <w:rFonts w:ascii="Calibri" w:hAnsi="Calibri" w:cs="Calibri"/>
              </w:rPr>
            </w:pPr>
            <w:r w:rsidRPr="00840A2C">
              <w:rPr>
                <w:rFonts w:ascii="Calibri" w:hAnsi="Calibri" w:cs="Calibri"/>
              </w:rPr>
              <w:t>4</w:t>
            </w:r>
          </w:p>
        </w:tc>
        <w:tc>
          <w:tcPr>
            <w:tcW w:w="752" w:type="pct"/>
            <w:vMerge/>
          </w:tcPr>
          <w:p w14:paraId="6D5A2BCC" w14:textId="77777777" w:rsidR="00285C0A" w:rsidRPr="00840A2C" w:rsidRDefault="00285C0A" w:rsidP="000D0F0C">
            <w:pPr>
              <w:rPr>
                <w:rFonts w:ascii="Calibri" w:hAnsi="Calibri" w:cs="Calibri"/>
              </w:rPr>
            </w:pPr>
          </w:p>
        </w:tc>
        <w:tc>
          <w:tcPr>
            <w:tcW w:w="917" w:type="pct"/>
          </w:tcPr>
          <w:p w14:paraId="374F295F" w14:textId="77777777" w:rsidR="00285C0A" w:rsidRPr="00840A2C" w:rsidRDefault="00285C0A" w:rsidP="000D0F0C">
            <w:pPr>
              <w:rPr>
                <w:rFonts w:ascii="Calibri" w:hAnsi="Calibri" w:cs="Calibri"/>
              </w:rPr>
            </w:pPr>
            <w:r w:rsidRPr="00840A2C">
              <w:rPr>
                <w:rFonts w:ascii="Calibri" w:hAnsi="Calibri" w:cs="Calibri"/>
              </w:rPr>
              <w:t>SW01_04</w:t>
            </w:r>
          </w:p>
        </w:tc>
        <w:tc>
          <w:tcPr>
            <w:tcW w:w="970" w:type="pct"/>
          </w:tcPr>
          <w:p w14:paraId="72F2E98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6BF55C25" w14:textId="77777777" w:rsidR="00285C0A" w:rsidRPr="00840A2C" w:rsidRDefault="00285C0A" w:rsidP="000D0F0C">
            <w:pPr>
              <w:rPr>
                <w:rFonts w:ascii="Calibri" w:hAnsi="Calibri" w:cs="Calibri"/>
              </w:rPr>
            </w:pPr>
            <w:r w:rsidRPr="00840A2C">
              <w:rPr>
                <w:rFonts w:ascii="Calibri" w:hAnsi="Calibri" w:cs="Calibri"/>
              </w:rPr>
              <w:t>I believe that I am in a position to convince others to do more for climate protection if I want to.</w:t>
            </w:r>
          </w:p>
        </w:tc>
        <w:tc>
          <w:tcPr>
            <w:tcW w:w="678" w:type="pct"/>
            <w:vMerge/>
          </w:tcPr>
          <w:p w14:paraId="3EDCE68F" w14:textId="77777777" w:rsidR="00285C0A" w:rsidRPr="00840A2C" w:rsidRDefault="00285C0A" w:rsidP="000D0F0C">
            <w:pPr>
              <w:rPr>
                <w:rFonts w:ascii="Calibri" w:hAnsi="Calibri" w:cs="Calibri"/>
              </w:rPr>
            </w:pPr>
          </w:p>
        </w:tc>
      </w:tr>
      <w:tr w:rsidR="00285C0A" w:rsidRPr="00840A2C" w14:paraId="13A5BE37" w14:textId="77777777" w:rsidTr="000D0F0C">
        <w:tc>
          <w:tcPr>
            <w:tcW w:w="288" w:type="pct"/>
          </w:tcPr>
          <w:p w14:paraId="1A8F5F3A" w14:textId="77777777" w:rsidR="00285C0A" w:rsidRPr="00840A2C" w:rsidRDefault="00285C0A" w:rsidP="000D0F0C">
            <w:pPr>
              <w:rPr>
                <w:rFonts w:ascii="Calibri" w:hAnsi="Calibri" w:cs="Calibri"/>
              </w:rPr>
            </w:pPr>
            <w:r w:rsidRPr="00840A2C">
              <w:rPr>
                <w:rFonts w:ascii="Calibri" w:hAnsi="Calibri" w:cs="Calibri"/>
              </w:rPr>
              <w:t>5</w:t>
            </w:r>
          </w:p>
        </w:tc>
        <w:tc>
          <w:tcPr>
            <w:tcW w:w="752" w:type="pct"/>
            <w:vMerge/>
          </w:tcPr>
          <w:p w14:paraId="0944F57D" w14:textId="77777777" w:rsidR="00285C0A" w:rsidRPr="00840A2C" w:rsidRDefault="00285C0A" w:rsidP="000D0F0C">
            <w:pPr>
              <w:rPr>
                <w:rFonts w:ascii="Calibri" w:hAnsi="Calibri" w:cs="Calibri"/>
              </w:rPr>
            </w:pPr>
          </w:p>
        </w:tc>
        <w:tc>
          <w:tcPr>
            <w:tcW w:w="917" w:type="pct"/>
          </w:tcPr>
          <w:p w14:paraId="358A5F7A" w14:textId="77777777" w:rsidR="00285C0A" w:rsidRPr="00840A2C" w:rsidRDefault="00285C0A" w:rsidP="000D0F0C">
            <w:pPr>
              <w:rPr>
                <w:rFonts w:ascii="Calibri" w:hAnsi="Calibri" w:cs="Calibri"/>
              </w:rPr>
            </w:pPr>
            <w:r w:rsidRPr="00840A2C">
              <w:rPr>
                <w:rFonts w:ascii="Calibri" w:hAnsi="Calibri" w:cs="Calibri"/>
              </w:rPr>
              <w:t>SW01_05</w:t>
            </w:r>
          </w:p>
        </w:tc>
        <w:tc>
          <w:tcPr>
            <w:tcW w:w="970" w:type="pct"/>
          </w:tcPr>
          <w:p w14:paraId="187DA576"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741670D" w14:textId="77777777" w:rsidR="00285C0A" w:rsidRPr="00840A2C" w:rsidRDefault="00285C0A" w:rsidP="000D0F0C">
            <w:pPr>
              <w:rPr>
                <w:rFonts w:ascii="Calibri" w:hAnsi="Calibri" w:cs="Calibri"/>
              </w:rPr>
            </w:pPr>
            <w:r w:rsidRPr="00840A2C">
              <w:rPr>
                <w:rFonts w:ascii="Calibri" w:hAnsi="Calibri" w:cs="Calibri"/>
              </w:rPr>
              <w:t>I don't believe that I have any way of influencing climate change.</w:t>
            </w:r>
          </w:p>
        </w:tc>
        <w:tc>
          <w:tcPr>
            <w:tcW w:w="678" w:type="pct"/>
            <w:vMerge/>
          </w:tcPr>
          <w:p w14:paraId="131B26A2" w14:textId="77777777" w:rsidR="00285C0A" w:rsidRPr="00840A2C" w:rsidRDefault="00285C0A" w:rsidP="000D0F0C">
            <w:pPr>
              <w:rPr>
                <w:rFonts w:ascii="Calibri" w:hAnsi="Calibri" w:cs="Calibri"/>
              </w:rPr>
            </w:pPr>
          </w:p>
        </w:tc>
      </w:tr>
      <w:tr w:rsidR="00285C0A" w:rsidRPr="00840A2C" w14:paraId="281A378D" w14:textId="77777777" w:rsidTr="000D0F0C">
        <w:tc>
          <w:tcPr>
            <w:tcW w:w="288" w:type="pct"/>
          </w:tcPr>
          <w:p w14:paraId="587F01A5" w14:textId="77777777" w:rsidR="00285C0A" w:rsidRPr="00840A2C" w:rsidRDefault="00285C0A" w:rsidP="000D0F0C">
            <w:pPr>
              <w:rPr>
                <w:rFonts w:ascii="Calibri" w:hAnsi="Calibri" w:cs="Calibri"/>
              </w:rPr>
            </w:pPr>
            <w:r w:rsidRPr="00840A2C">
              <w:rPr>
                <w:rFonts w:ascii="Calibri" w:hAnsi="Calibri" w:cs="Calibri"/>
              </w:rPr>
              <w:t>6</w:t>
            </w:r>
          </w:p>
        </w:tc>
        <w:tc>
          <w:tcPr>
            <w:tcW w:w="752" w:type="pct"/>
            <w:vMerge/>
          </w:tcPr>
          <w:p w14:paraId="1B6F0397" w14:textId="77777777" w:rsidR="00285C0A" w:rsidRPr="00840A2C" w:rsidRDefault="00285C0A" w:rsidP="000D0F0C">
            <w:pPr>
              <w:rPr>
                <w:rFonts w:ascii="Calibri" w:hAnsi="Calibri" w:cs="Calibri"/>
              </w:rPr>
            </w:pPr>
          </w:p>
        </w:tc>
        <w:tc>
          <w:tcPr>
            <w:tcW w:w="917" w:type="pct"/>
          </w:tcPr>
          <w:p w14:paraId="0CE979DF" w14:textId="77777777" w:rsidR="00285C0A" w:rsidRPr="00840A2C" w:rsidRDefault="00285C0A" w:rsidP="000D0F0C">
            <w:pPr>
              <w:rPr>
                <w:rFonts w:ascii="Calibri" w:hAnsi="Calibri" w:cs="Calibri"/>
              </w:rPr>
            </w:pPr>
            <w:r w:rsidRPr="00840A2C">
              <w:rPr>
                <w:rFonts w:ascii="Calibri" w:hAnsi="Calibri" w:cs="Calibri"/>
              </w:rPr>
              <w:t>SW01_06</w:t>
            </w:r>
          </w:p>
        </w:tc>
        <w:tc>
          <w:tcPr>
            <w:tcW w:w="970" w:type="pct"/>
          </w:tcPr>
          <w:p w14:paraId="73F51475"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1C1ED267" w14:textId="77777777" w:rsidR="00285C0A" w:rsidRPr="00840A2C" w:rsidRDefault="00285C0A" w:rsidP="000D0F0C">
            <w:pPr>
              <w:rPr>
                <w:rFonts w:ascii="Calibri" w:hAnsi="Calibri" w:cs="Calibri"/>
              </w:rPr>
            </w:pPr>
            <w:r w:rsidRPr="00840A2C">
              <w:rPr>
                <w:rFonts w:ascii="Calibri" w:hAnsi="Calibri" w:cs="Calibri"/>
              </w:rPr>
              <w:t>I believe that I can influence how my school directors or my school acts in relation to climate protection if I want to.</w:t>
            </w:r>
          </w:p>
        </w:tc>
        <w:tc>
          <w:tcPr>
            <w:tcW w:w="678" w:type="pct"/>
            <w:vMerge/>
          </w:tcPr>
          <w:p w14:paraId="657A83AC" w14:textId="77777777" w:rsidR="00285C0A" w:rsidRPr="00840A2C" w:rsidRDefault="00285C0A" w:rsidP="000D0F0C">
            <w:pPr>
              <w:rPr>
                <w:rFonts w:ascii="Calibri" w:hAnsi="Calibri" w:cs="Calibri"/>
              </w:rPr>
            </w:pPr>
          </w:p>
        </w:tc>
      </w:tr>
      <w:tr w:rsidR="00285C0A" w:rsidRPr="00840A2C" w14:paraId="10D85AFD" w14:textId="77777777" w:rsidTr="000D0F0C">
        <w:tc>
          <w:tcPr>
            <w:tcW w:w="288" w:type="pct"/>
          </w:tcPr>
          <w:p w14:paraId="10D1DC70" w14:textId="77777777" w:rsidR="00285C0A" w:rsidRPr="00840A2C" w:rsidRDefault="00285C0A" w:rsidP="000D0F0C">
            <w:pPr>
              <w:rPr>
                <w:rFonts w:ascii="Calibri" w:hAnsi="Calibri" w:cs="Calibri"/>
              </w:rPr>
            </w:pPr>
            <w:r w:rsidRPr="00840A2C">
              <w:rPr>
                <w:rFonts w:ascii="Calibri" w:hAnsi="Calibri" w:cs="Calibri"/>
              </w:rPr>
              <w:t>7</w:t>
            </w:r>
          </w:p>
        </w:tc>
        <w:tc>
          <w:tcPr>
            <w:tcW w:w="752" w:type="pct"/>
            <w:vMerge/>
          </w:tcPr>
          <w:p w14:paraId="5E0281B6" w14:textId="77777777" w:rsidR="00285C0A" w:rsidRPr="00840A2C" w:rsidRDefault="00285C0A" w:rsidP="000D0F0C">
            <w:pPr>
              <w:rPr>
                <w:rFonts w:ascii="Calibri" w:hAnsi="Calibri" w:cs="Calibri"/>
              </w:rPr>
            </w:pPr>
          </w:p>
        </w:tc>
        <w:tc>
          <w:tcPr>
            <w:tcW w:w="917" w:type="pct"/>
          </w:tcPr>
          <w:p w14:paraId="213718D5" w14:textId="77777777" w:rsidR="00285C0A" w:rsidRPr="00840A2C" w:rsidRDefault="00285C0A" w:rsidP="000D0F0C">
            <w:pPr>
              <w:rPr>
                <w:rFonts w:ascii="Calibri" w:hAnsi="Calibri" w:cs="Calibri"/>
              </w:rPr>
            </w:pPr>
            <w:r w:rsidRPr="00840A2C">
              <w:rPr>
                <w:rFonts w:ascii="Calibri" w:hAnsi="Calibri" w:cs="Calibri"/>
              </w:rPr>
              <w:t>SW01_07</w:t>
            </w:r>
          </w:p>
        </w:tc>
        <w:tc>
          <w:tcPr>
            <w:tcW w:w="970" w:type="pct"/>
          </w:tcPr>
          <w:p w14:paraId="59C0649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4DEE990" w14:textId="77777777" w:rsidR="00285C0A" w:rsidRPr="00840A2C" w:rsidRDefault="00285C0A" w:rsidP="000D0F0C">
            <w:pPr>
              <w:rPr>
                <w:rFonts w:ascii="Calibri" w:hAnsi="Calibri" w:cs="Calibri"/>
              </w:rPr>
            </w:pPr>
            <w:r w:rsidRPr="00840A2C">
              <w:rPr>
                <w:rFonts w:ascii="Calibri" w:hAnsi="Calibri" w:cs="Calibri"/>
              </w:rPr>
              <w:t>I believe that I can support my school directors or school in campaigning for climate protection if I want to.</w:t>
            </w:r>
          </w:p>
        </w:tc>
        <w:tc>
          <w:tcPr>
            <w:tcW w:w="678" w:type="pct"/>
            <w:vMerge/>
          </w:tcPr>
          <w:p w14:paraId="36B31FD1" w14:textId="77777777" w:rsidR="00285C0A" w:rsidRPr="00840A2C" w:rsidRDefault="00285C0A" w:rsidP="000D0F0C">
            <w:pPr>
              <w:rPr>
                <w:rFonts w:ascii="Calibri" w:hAnsi="Calibri" w:cs="Calibri"/>
              </w:rPr>
            </w:pPr>
          </w:p>
        </w:tc>
      </w:tr>
      <w:tr w:rsidR="00285C0A" w:rsidRPr="00840A2C" w14:paraId="63B56BC8" w14:textId="77777777" w:rsidTr="000D0F0C">
        <w:tc>
          <w:tcPr>
            <w:tcW w:w="288" w:type="pct"/>
          </w:tcPr>
          <w:p w14:paraId="57274904" w14:textId="77777777" w:rsidR="00285C0A" w:rsidRPr="00840A2C" w:rsidRDefault="00285C0A" w:rsidP="000D0F0C">
            <w:pPr>
              <w:rPr>
                <w:rFonts w:ascii="Calibri" w:hAnsi="Calibri" w:cs="Calibri"/>
              </w:rPr>
            </w:pPr>
            <w:r w:rsidRPr="00840A2C">
              <w:rPr>
                <w:rFonts w:ascii="Calibri" w:hAnsi="Calibri" w:cs="Calibri"/>
              </w:rPr>
              <w:t>8</w:t>
            </w:r>
          </w:p>
        </w:tc>
        <w:tc>
          <w:tcPr>
            <w:tcW w:w="752" w:type="pct"/>
            <w:vMerge/>
          </w:tcPr>
          <w:p w14:paraId="192905A2" w14:textId="77777777" w:rsidR="00285C0A" w:rsidRPr="00840A2C" w:rsidRDefault="00285C0A" w:rsidP="000D0F0C">
            <w:pPr>
              <w:rPr>
                <w:rFonts w:ascii="Calibri" w:hAnsi="Calibri" w:cs="Calibri"/>
              </w:rPr>
            </w:pPr>
          </w:p>
        </w:tc>
        <w:tc>
          <w:tcPr>
            <w:tcW w:w="917" w:type="pct"/>
          </w:tcPr>
          <w:p w14:paraId="55C9CFE6" w14:textId="77777777" w:rsidR="00285C0A" w:rsidRPr="00840A2C" w:rsidRDefault="00285C0A" w:rsidP="000D0F0C">
            <w:pPr>
              <w:rPr>
                <w:rFonts w:ascii="Calibri" w:hAnsi="Calibri" w:cs="Calibri"/>
              </w:rPr>
            </w:pPr>
            <w:r w:rsidRPr="00840A2C">
              <w:rPr>
                <w:rFonts w:ascii="Calibri" w:hAnsi="Calibri" w:cs="Calibri"/>
              </w:rPr>
              <w:t>SW01_08</w:t>
            </w:r>
          </w:p>
        </w:tc>
        <w:tc>
          <w:tcPr>
            <w:tcW w:w="970" w:type="pct"/>
          </w:tcPr>
          <w:p w14:paraId="3A397F4D"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AD57128" w14:textId="77777777" w:rsidR="00285C0A" w:rsidRPr="00840A2C" w:rsidRDefault="00285C0A" w:rsidP="000D0F0C">
            <w:pPr>
              <w:rPr>
                <w:rFonts w:ascii="Calibri" w:hAnsi="Calibri" w:cs="Calibri"/>
              </w:rPr>
            </w:pPr>
            <w:r w:rsidRPr="00840A2C">
              <w:rPr>
                <w:rFonts w:ascii="Calibri" w:hAnsi="Calibri" w:cs="Calibri"/>
              </w:rPr>
              <w:t>I believe that I can make a meaningful contribution to climate protection in collaboration with others if I want to.</w:t>
            </w:r>
          </w:p>
        </w:tc>
        <w:tc>
          <w:tcPr>
            <w:tcW w:w="678" w:type="pct"/>
            <w:vMerge/>
          </w:tcPr>
          <w:p w14:paraId="7962F09B" w14:textId="77777777" w:rsidR="00285C0A" w:rsidRPr="00840A2C" w:rsidRDefault="00285C0A" w:rsidP="000D0F0C">
            <w:pPr>
              <w:rPr>
                <w:rFonts w:ascii="Calibri" w:hAnsi="Calibri" w:cs="Calibri"/>
              </w:rPr>
            </w:pPr>
          </w:p>
        </w:tc>
      </w:tr>
      <w:tr w:rsidR="00285C0A" w:rsidRPr="00840A2C" w14:paraId="3C3AD2D8" w14:textId="77777777" w:rsidTr="000D0F0C">
        <w:tc>
          <w:tcPr>
            <w:tcW w:w="288" w:type="pct"/>
          </w:tcPr>
          <w:p w14:paraId="41F4D310" w14:textId="77777777" w:rsidR="00285C0A" w:rsidRPr="00840A2C" w:rsidRDefault="00285C0A" w:rsidP="000D0F0C">
            <w:pPr>
              <w:rPr>
                <w:rFonts w:ascii="Calibri" w:hAnsi="Calibri" w:cs="Calibri"/>
              </w:rPr>
            </w:pPr>
            <w:r w:rsidRPr="00840A2C">
              <w:rPr>
                <w:rFonts w:ascii="Calibri" w:hAnsi="Calibri" w:cs="Calibri"/>
              </w:rPr>
              <w:t>9</w:t>
            </w:r>
          </w:p>
        </w:tc>
        <w:tc>
          <w:tcPr>
            <w:tcW w:w="752" w:type="pct"/>
            <w:vMerge w:val="restart"/>
          </w:tcPr>
          <w:p w14:paraId="6851ECDE" w14:textId="735455E3" w:rsidR="00285C0A" w:rsidRPr="00840A2C" w:rsidRDefault="00285C0A" w:rsidP="000D0F0C">
            <w:pPr>
              <w:rPr>
                <w:rFonts w:ascii="Calibri" w:hAnsi="Calibri" w:cs="Calibri"/>
              </w:rPr>
            </w:pPr>
            <w:r w:rsidRPr="00840A2C">
              <w:rPr>
                <w:rFonts w:ascii="Calibri" w:hAnsi="Calibri" w:cs="Calibri"/>
              </w:rPr>
              <w:t>Collective efficacy beliefs</w:t>
            </w:r>
          </w:p>
        </w:tc>
        <w:tc>
          <w:tcPr>
            <w:tcW w:w="917" w:type="pct"/>
          </w:tcPr>
          <w:p w14:paraId="29F8FB9C" w14:textId="77777777" w:rsidR="00285C0A" w:rsidRPr="00840A2C" w:rsidRDefault="00285C0A" w:rsidP="000D0F0C">
            <w:pPr>
              <w:rPr>
                <w:rFonts w:ascii="Calibri" w:hAnsi="Calibri" w:cs="Calibri"/>
              </w:rPr>
            </w:pPr>
            <w:r w:rsidRPr="00840A2C">
              <w:rPr>
                <w:rFonts w:ascii="Calibri" w:hAnsi="Calibri" w:cs="Calibri"/>
              </w:rPr>
              <w:t>CS01_01</w:t>
            </w:r>
          </w:p>
        </w:tc>
        <w:tc>
          <w:tcPr>
            <w:tcW w:w="970" w:type="pct"/>
          </w:tcPr>
          <w:p w14:paraId="4FD945EB"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5D5C35B1" w14:textId="77777777" w:rsidR="00285C0A" w:rsidRPr="00840A2C" w:rsidRDefault="00285C0A" w:rsidP="000D0F0C">
            <w:pPr>
              <w:rPr>
                <w:rFonts w:ascii="Calibri" w:hAnsi="Calibri" w:cs="Calibri"/>
              </w:rPr>
            </w:pPr>
            <w:r w:rsidRPr="00840A2C">
              <w:rPr>
                <w:rFonts w:ascii="Calibri" w:hAnsi="Calibri" w:cs="Calibri"/>
              </w:rPr>
              <w:t xml:space="preserve">We, as students, can </w:t>
            </w:r>
            <w:proofErr w:type="gramStart"/>
            <w:r w:rsidRPr="00840A2C">
              <w:rPr>
                <w:rFonts w:ascii="Calibri" w:hAnsi="Calibri" w:cs="Calibri"/>
              </w:rPr>
              <w:t>make a contribution</w:t>
            </w:r>
            <w:proofErr w:type="gramEnd"/>
            <w:r w:rsidRPr="00840A2C">
              <w:rPr>
                <w:rFonts w:ascii="Calibri" w:hAnsi="Calibri" w:cs="Calibri"/>
              </w:rPr>
              <w:t xml:space="preserve"> to climate protection through our actions if we want to.</w:t>
            </w:r>
          </w:p>
        </w:tc>
        <w:tc>
          <w:tcPr>
            <w:tcW w:w="678" w:type="pct"/>
            <w:vMerge/>
          </w:tcPr>
          <w:p w14:paraId="3584A1AA" w14:textId="77777777" w:rsidR="00285C0A" w:rsidRPr="00840A2C" w:rsidRDefault="00285C0A" w:rsidP="000D0F0C">
            <w:pPr>
              <w:rPr>
                <w:rFonts w:ascii="Calibri" w:hAnsi="Calibri" w:cs="Calibri"/>
              </w:rPr>
            </w:pPr>
          </w:p>
        </w:tc>
      </w:tr>
      <w:tr w:rsidR="00285C0A" w:rsidRPr="00840A2C" w14:paraId="78C20E7C" w14:textId="77777777" w:rsidTr="000D0F0C">
        <w:tc>
          <w:tcPr>
            <w:tcW w:w="288" w:type="pct"/>
          </w:tcPr>
          <w:p w14:paraId="37B78B60" w14:textId="77777777" w:rsidR="00285C0A" w:rsidRPr="00840A2C" w:rsidRDefault="00285C0A" w:rsidP="000D0F0C">
            <w:pPr>
              <w:rPr>
                <w:rFonts w:ascii="Calibri" w:hAnsi="Calibri" w:cs="Calibri"/>
              </w:rPr>
            </w:pPr>
            <w:r w:rsidRPr="00840A2C">
              <w:rPr>
                <w:rFonts w:ascii="Calibri" w:hAnsi="Calibri" w:cs="Calibri"/>
              </w:rPr>
              <w:lastRenderedPageBreak/>
              <w:t>10</w:t>
            </w:r>
          </w:p>
        </w:tc>
        <w:tc>
          <w:tcPr>
            <w:tcW w:w="752" w:type="pct"/>
            <w:vMerge/>
          </w:tcPr>
          <w:p w14:paraId="176AB2BA" w14:textId="77777777" w:rsidR="00285C0A" w:rsidRPr="00840A2C" w:rsidRDefault="00285C0A" w:rsidP="000D0F0C">
            <w:pPr>
              <w:rPr>
                <w:rFonts w:ascii="Calibri" w:hAnsi="Calibri" w:cs="Calibri"/>
              </w:rPr>
            </w:pPr>
          </w:p>
        </w:tc>
        <w:tc>
          <w:tcPr>
            <w:tcW w:w="917" w:type="pct"/>
          </w:tcPr>
          <w:p w14:paraId="73573CAB" w14:textId="77777777" w:rsidR="00285C0A" w:rsidRPr="00840A2C" w:rsidRDefault="00285C0A" w:rsidP="000D0F0C">
            <w:pPr>
              <w:rPr>
                <w:rFonts w:ascii="Calibri" w:hAnsi="Calibri" w:cs="Calibri"/>
              </w:rPr>
            </w:pPr>
            <w:r w:rsidRPr="00840A2C">
              <w:rPr>
                <w:rFonts w:ascii="Calibri" w:hAnsi="Calibri" w:cs="Calibri"/>
              </w:rPr>
              <w:t>CS01_02</w:t>
            </w:r>
          </w:p>
        </w:tc>
        <w:tc>
          <w:tcPr>
            <w:tcW w:w="970" w:type="pct"/>
          </w:tcPr>
          <w:p w14:paraId="74BF67AD"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6DF945EA" w14:textId="77777777" w:rsidR="00285C0A" w:rsidRPr="00840A2C" w:rsidRDefault="00285C0A" w:rsidP="000D0F0C">
            <w:pPr>
              <w:rPr>
                <w:rFonts w:ascii="Calibri" w:hAnsi="Calibri" w:cs="Calibri"/>
              </w:rPr>
            </w:pPr>
            <w:r w:rsidRPr="00840A2C">
              <w:rPr>
                <w:rFonts w:ascii="Calibri" w:hAnsi="Calibri" w:cs="Calibri"/>
              </w:rPr>
              <w:t>We, as students, can influence how our school directors or school acts in relation to climate protection if we want to.</w:t>
            </w:r>
          </w:p>
        </w:tc>
        <w:tc>
          <w:tcPr>
            <w:tcW w:w="678" w:type="pct"/>
            <w:vMerge/>
          </w:tcPr>
          <w:p w14:paraId="0EFC1BC5" w14:textId="77777777" w:rsidR="00285C0A" w:rsidRPr="00840A2C" w:rsidRDefault="00285C0A" w:rsidP="000D0F0C">
            <w:pPr>
              <w:rPr>
                <w:rFonts w:ascii="Calibri" w:hAnsi="Calibri" w:cs="Calibri"/>
              </w:rPr>
            </w:pPr>
          </w:p>
        </w:tc>
      </w:tr>
      <w:tr w:rsidR="00285C0A" w:rsidRPr="00840A2C" w14:paraId="221A52B2" w14:textId="77777777" w:rsidTr="000D0F0C">
        <w:tc>
          <w:tcPr>
            <w:tcW w:w="288" w:type="pct"/>
          </w:tcPr>
          <w:p w14:paraId="47B2948C" w14:textId="77777777" w:rsidR="00285C0A" w:rsidRPr="00840A2C" w:rsidRDefault="00285C0A" w:rsidP="000D0F0C">
            <w:pPr>
              <w:rPr>
                <w:rFonts w:ascii="Calibri" w:hAnsi="Calibri" w:cs="Calibri"/>
              </w:rPr>
            </w:pPr>
            <w:r w:rsidRPr="00840A2C">
              <w:rPr>
                <w:rFonts w:ascii="Calibri" w:hAnsi="Calibri" w:cs="Calibri"/>
              </w:rPr>
              <w:t>11</w:t>
            </w:r>
          </w:p>
        </w:tc>
        <w:tc>
          <w:tcPr>
            <w:tcW w:w="752" w:type="pct"/>
            <w:vMerge/>
          </w:tcPr>
          <w:p w14:paraId="28F98F1C" w14:textId="77777777" w:rsidR="00285C0A" w:rsidRPr="00840A2C" w:rsidRDefault="00285C0A" w:rsidP="000D0F0C">
            <w:pPr>
              <w:rPr>
                <w:rFonts w:ascii="Calibri" w:hAnsi="Calibri" w:cs="Calibri"/>
              </w:rPr>
            </w:pPr>
          </w:p>
        </w:tc>
        <w:tc>
          <w:tcPr>
            <w:tcW w:w="917" w:type="pct"/>
          </w:tcPr>
          <w:p w14:paraId="08F3ED42" w14:textId="77777777" w:rsidR="00285C0A" w:rsidRPr="00840A2C" w:rsidRDefault="00285C0A" w:rsidP="000D0F0C">
            <w:pPr>
              <w:rPr>
                <w:rFonts w:ascii="Calibri" w:hAnsi="Calibri" w:cs="Calibri"/>
              </w:rPr>
            </w:pPr>
            <w:r w:rsidRPr="00840A2C">
              <w:rPr>
                <w:rFonts w:ascii="Calibri" w:hAnsi="Calibri" w:cs="Calibri"/>
              </w:rPr>
              <w:t>CS01_03</w:t>
            </w:r>
          </w:p>
        </w:tc>
        <w:tc>
          <w:tcPr>
            <w:tcW w:w="970" w:type="pct"/>
          </w:tcPr>
          <w:p w14:paraId="10E1A66A"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3BB9F525" w14:textId="77777777" w:rsidR="00285C0A" w:rsidRPr="00840A2C" w:rsidRDefault="00285C0A" w:rsidP="000D0F0C">
            <w:pPr>
              <w:rPr>
                <w:rFonts w:ascii="Calibri" w:hAnsi="Calibri" w:cs="Calibri"/>
              </w:rPr>
            </w:pPr>
            <w:r w:rsidRPr="00840A2C">
              <w:rPr>
                <w:rFonts w:ascii="Calibri" w:hAnsi="Calibri" w:cs="Calibri"/>
              </w:rPr>
              <w:t>We, as students, are in a position to convince others to do more for climate protection if we want to.</w:t>
            </w:r>
          </w:p>
        </w:tc>
        <w:tc>
          <w:tcPr>
            <w:tcW w:w="678" w:type="pct"/>
            <w:vMerge/>
          </w:tcPr>
          <w:p w14:paraId="67FE4E9A" w14:textId="77777777" w:rsidR="00285C0A" w:rsidRPr="00840A2C" w:rsidRDefault="00285C0A" w:rsidP="000D0F0C">
            <w:pPr>
              <w:rPr>
                <w:rFonts w:ascii="Calibri" w:hAnsi="Calibri" w:cs="Calibri"/>
              </w:rPr>
            </w:pPr>
          </w:p>
        </w:tc>
      </w:tr>
    </w:tbl>
    <w:p w14:paraId="66E34DF4" w14:textId="77777777" w:rsidR="00285C0A" w:rsidRPr="00840A2C" w:rsidRDefault="00285C0A" w:rsidP="00285C0A">
      <w:pPr>
        <w:jc w:val="both"/>
        <w:rPr>
          <w:rFonts w:ascii="Calibri" w:hAnsi="Calibri" w:cs="Calibri"/>
        </w:rPr>
      </w:pPr>
    </w:p>
    <w:p w14:paraId="39327AEF" w14:textId="77777777" w:rsidR="00285C0A" w:rsidRPr="00840A2C" w:rsidRDefault="00285C0A" w:rsidP="00285C0A">
      <w:pPr>
        <w:pStyle w:val="Heading2"/>
        <w:rPr>
          <w:rFonts w:ascii="Calibri" w:hAnsi="Calibri" w:cs="Calibri"/>
        </w:rPr>
      </w:pPr>
      <w:bookmarkStart w:id="27" w:name="_Toc172745443"/>
      <w:bookmarkStart w:id="28" w:name="_Toc173164296"/>
      <w:r w:rsidRPr="00840A2C">
        <w:rPr>
          <w:rFonts w:ascii="Calibri" w:hAnsi="Calibri" w:cs="Calibri"/>
        </w:rPr>
        <w:t>Data processing</w:t>
      </w:r>
      <w:bookmarkEnd w:id="27"/>
      <w:bookmarkEnd w:id="28"/>
    </w:p>
    <w:p w14:paraId="60A2EEE0" w14:textId="77777777" w:rsidR="00285C0A" w:rsidRPr="001867AD" w:rsidRDefault="00285C0A" w:rsidP="001867AD">
      <w:pPr>
        <w:jc w:val="both"/>
        <w:rPr>
          <w:sz w:val="24"/>
          <w:szCs w:val="24"/>
        </w:rPr>
      </w:pPr>
      <w:r w:rsidRPr="001867AD">
        <w:rPr>
          <w:sz w:val="24"/>
          <w:szCs w:val="24"/>
        </w:rPr>
        <w:t>I conducted all data processing and analyses in R v. 4.0.2. (REF R Core Team, 2021).</w:t>
      </w:r>
    </w:p>
    <w:p w14:paraId="7BA686E6" w14:textId="77777777" w:rsidR="00123FD9" w:rsidRPr="001867AD" w:rsidRDefault="00123FD9" w:rsidP="001867AD">
      <w:pPr>
        <w:jc w:val="both"/>
        <w:rPr>
          <w:sz w:val="24"/>
          <w:szCs w:val="24"/>
        </w:rPr>
      </w:pPr>
      <w:bookmarkStart w:id="29" w:name="_Toc172745446"/>
      <w:r w:rsidRPr="001867AD">
        <w:rPr>
          <w:sz w:val="24"/>
          <w:szCs w:val="24"/>
        </w:rPr>
        <w:t xml:space="preserve">Data cleaning and transformation involved several steps, see also Appendix XX. As my analysis was based on (cleaned and transformed) data from Pauli (2023), I carried out very similar steps for my data. I excluded incomplete surveys. I also excluded surveys with more than 25% 'I don't know/No answer' responses. With a total of 32 items, this meant deleting cases with 8 or more unspecified responses. This ensured that each scale could be calculated from as many items as possible. According to Döring and Bortz (2016), individual missing values in the dataset are not a problem for further analysis. To avoid collecting data where students simply clicked through the survey as quickly as possible without answering the questions conscientiously, I excluded surveys with a timestamp of less than 120 seconds. Likert scale responses were coded into numerical values for each item: 0 = strongly disagree, 1 = somewhat disagree, 2 = somewhat agree, 3 = strongly agree, so that in the end a low score indicated a low level of SA/SB/efficacy </w:t>
      </w:r>
      <w:proofErr w:type="gramStart"/>
      <w:r w:rsidRPr="001867AD">
        <w:rPr>
          <w:sz w:val="24"/>
          <w:szCs w:val="24"/>
        </w:rPr>
        <w:t>beliefs</w:t>
      </w:r>
      <w:proofErr w:type="gramEnd"/>
      <w:r w:rsidRPr="001867AD">
        <w:rPr>
          <w:sz w:val="24"/>
          <w:szCs w:val="24"/>
        </w:rPr>
        <w:t xml:space="preserve"> and a high score indicated a correspondingly high level. To ensure that this was the case for all questions, items AT2, B03, B04, B08, B09, SW01_03, SW01_05 had to be inverted, as they contained negative formulations. Following Döring and Bortz (2016, p. 269), the measurement level of the Likert-scale items was defined as metric, which allowed the calculation of mean values. After reviewing the quality criteria for quantitative research, described below, the scales reflecting the five components of the </w:t>
      </w:r>
      <w:proofErr w:type="gramStart"/>
      <w:r w:rsidRPr="001867AD">
        <w:rPr>
          <w:sz w:val="24"/>
          <w:szCs w:val="24"/>
        </w:rPr>
        <w:t>TPB</w:t>
      </w:r>
      <w:proofErr w:type="gramEnd"/>
      <w:r w:rsidRPr="001867AD">
        <w:rPr>
          <w:sz w:val="24"/>
          <w:szCs w:val="24"/>
        </w:rPr>
        <w:t xml:space="preserve"> and personal  and collective efficacy beliefs were calculated from the individual items.  For all scales, the means of the corresponding items were calculated.</w:t>
      </w:r>
    </w:p>
    <w:p w14:paraId="1C905479" w14:textId="44047FC5" w:rsidR="00285C0A" w:rsidRPr="00840A2C" w:rsidRDefault="00285C0A" w:rsidP="00285C0A">
      <w:pPr>
        <w:pStyle w:val="Heading2"/>
        <w:rPr>
          <w:rFonts w:ascii="Calibri" w:hAnsi="Calibri" w:cs="Calibri"/>
        </w:rPr>
      </w:pPr>
      <w:bookmarkStart w:id="30" w:name="_Toc173164297"/>
      <w:r w:rsidRPr="00840A2C">
        <w:rPr>
          <w:rFonts w:ascii="Calibri" w:hAnsi="Calibri" w:cs="Calibri"/>
        </w:rPr>
        <w:t>Data analysis</w:t>
      </w:r>
      <w:bookmarkEnd w:id="29"/>
      <w:bookmarkEnd w:id="30"/>
    </w:p>
    <w:p w14:paraId="2FB22F98" w14:textId="0F33DC48" w:rsidR="00285C0A" w:rsidRPr="001867AD" w:rsidRDefault="00123FD9" w:rsidP="001867AD">
      <w:pPr>
        <w:jc w:val="both"/>
        <w:rPr>
          <w:sz w:val="24"/>
          <w:szCs w:val="24"/>
        </w:rPr>
      </w:pPr>
      <w:r w:rsidRPr="001867AD">
        <w:rPr>
          <w:sz w:val="24"/>
          <w:szCs w:val="24"/>
        </w:rPr>
        <w:t>In order to quantify the relationship between the components of sustainability competencies across different levels of involvement and over time, I used different methods of statistical analysis. In the area of inductive statistics, methods from dependency analysis were used. As this is an explanatory study, the hypothesis test with classical significance test was applied for the inferential statistical evaluation (N. Döring &amp; Bortz, 2016). The significance level α = 0.05 was used for the significance test (Döring and Bortz). If a p-value was below this threshold, it was marked with one asterisk as 'significant', with two asterisks as 'very significant' or with three asterisks as 'highly significant' (cf. Krüger et al., 2014, p. 291), see Table XX.</w:t>
      </w:r>
    </w:p>
    <w:p w14:paraId="4D2E3436" w14:textId="77777777" w:rsidR="00123FD9" w:rsidRPr="00840A2C" w:rsidRDefault="00123FD9" w:rsidP="00285C0A">
      <w:pPr>
        <w:autoSpaceDE w:val="0"/>
        <w:autoSpaceDN w:val="0"/>
        <w:adjustRightInd w:val="0"/>
        <w:spacing w:after="0" w:line="240" w:lineRule="auto"/>
        <w:rPr>
          <w:rFonts w:ascii="Calibri" w:hAnsi="Calibri" w:cs="Calibri"/>
        </w:rPr>
      </w:pPr>
    </w:p>
    <w:p w14:paraId="61D89F9A" w14:textId="77777777" w:rsidR="00285C0A" w:rsidRPr="00840A2C" w:rsidRDefault="00285C0A" w:rsidP="00285C0A">
      <w:pPr>
        <w:autoSpaceDE w:val="0"/>
        <w:autoSpaceDN w:val="0"/>
        <w:adjustRightInd w:val="0"/>
        <w:spacing w:after="0" w:line="240" w:lineRule="auto"/>
        <w:rPr>
          <w:rFonts w:ascii="Calibri" w:hAnsi="Calibri" w:cs="Calibri"/>
        </w:rPr>
      </w:pPr>
      <w:r w:rsidRPr="00840A2C">
        <w:rPr>
          <w:rFonts w:ascii="Calibri" w:hAnsi="Calibri" w:cs="Calibri"/>
        </w:rPr>
        <w:t>Table XX: Overview labelling of the p-values in the significance tests</w:t>
      </w:r>
    </w:p>
    <w:tbl>
      <w:tblPr>
        <w:tblStyle w:val="TableGrid"/>
        <w:tblW w:w="0" w:type="auto"/>
        <w:tblLook w:val="04A0" w:firstRow="1" w:lastRow="0" w:firstColumn="1" w:lastColumn="0" w:noHBand="0" w:noVBand="1"/>
      </w:tblPr>
      <w:tblGrid>
        <w:gridCol w:w="3005"/>
        <w:gridCol w:w="3005"/>
        <w:gridCol w:w="3006"/>
      </w:tblGrid>
      <w:tr w:rsidR="00285C0A" w:rsidRPr="00840A2C" w14:paraId="128BAC36" w14:textId="77777777" w:rsidTr="000D0F0C">
        <w:tc>
          <w:tcPr>
            <w:tcW w:w="3005" w:type="dxa"/>
          </w:tcPr>
          <w:p w14:paraId="4E6FB86D"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Labelling</w:t>
            </w:r>
          </w:p>
        </w:tc>
        <w:tc>
          <w:tcPr>
            <w:tcW w:w="3005" w:type="dxa"/>
          </w:tcPr>
          <w:p w14:paraId="2F031380"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Designation</w:t>
            </w:r>
          </w:p>
        </w:tc>
        <w:tc>
          <w:tcPr>
            <w:tcW w:w="3006" w:type="dxa"/>
          </w:tcPr>
          <w:p w14:paraId="240FF08A"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Threshold values</w:t>
            </w:r>
          </w:p>
        </w:tc>
      </w:tr>
      <w:tr w:rsidR="00285C0A" w:rsidRPr="00840A2C" w14:paraId="3E669B0D" w14:textId="77777777" w:rsidTr="000D0F0C">
        <w:tc>
          <w:tcPr>
            <w:tcW w:w="3005" w:type="dxa"/>
          </w:tcPr>
          <w:p w14:paraId="135A5170"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lastRenderedPageBreak/>
              <w:t>*</w:t>
            </w:r>
          </w:p>
        </w:tc>
        <w:tc>
          <w:tcPr>
            <w:tcW w:w="3005" w:type="dxa"/>
          </w:tcPr>
          <w:p w14:paraId="0AF2E38C"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significant</w:t>
            </w:r>
          </w:p>
        </w:tc>
        <w:tc>
          <w:tcPr>
            <w:tcW w:w="3006" w:type="dxa"/>
          </w:tcPr>
          <w:p w14:paraId="23102BA2"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0.05</w:t>
            </w:r>
          </w:p>
        </w:tc>
      </w:tr>
      <w:tr w:rsidR="00285C0A" w:rsidRPr="00840A2C" w14:paraId="26BBAD43" w14:textId="77777777" w:rsidTr="000D0F0C">
        <w:tc>
          <w:tcPr>
            <w:tcW w:w="3005" w:type="dxa"/>
          </w:tcPr>
          <w:p w14:paraId="01571A3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05957751"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very significant</w:t>
            </w:r>
          </w:p>
        </w:tc>
        <w:tc>
          <w:tcPr>
            <w:tcW w:w="3006" w:type="dxa"/>
          </w:tcPr>
          <w:p w14:paraId="520F0EE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0.01</w:t>
            </w:r>
          </w:p>
        </w:tc>
      </w:tr>
      <w:tr w:rsidR="00285C0A" w:rsidRPr="00840A2C" w14:paraId="3A8BA659" w14:textId="77777777" w:rsidTr="000D0F0C">
        <w:tc>
          <w:tcPr>
            <w:tcW w:w="3005" w:type="dxa"/>
          </w:tcPr>
          <w:p w14:paraId="08F2A8CD"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6042828F"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highly significant</w:t>
            </w:r>
          </w:p>
        </w:tc>
        <w:tc>
          <w:tcPr>
            <w:tcW w:w="3006" w:type="dxa"/>
          </w:tcPr>
          <w:p w14:paraId="729789BA"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0.001</w:t>
            </w:r>
          </w:p>
        </w:tc>
      </w:tr>
    </w:tbl>
    <w:p w14:paraId="1A796EE3" w14:textId="77777777" w:rsidR="00285C0A" w:rsidRPr="00840A2C" w:rsidRDefault="00285C0A" w:rsidP="00285C0A">
      <w:pPr>
        <w:autoSpaceDE w:val="0"/>
        <w:autoSpaceDN w:val="0"/>
        <w:adjustRightInd w:val="0"/>
        <w:spacing w:after="0" w:line="240" w:lineRule="auto"/>
        <w:rPr>
          <w:rFonts w:ascii="Calibri" w:hAnsi="Calibri" w:cs="Calibri"/>
        </w:rPr>
      </w:pPr>
    </w:p>
    <w:p w14:paraId="459E9D00" w14:textId="77777777" w:rsidR="00A16A4D" w:rsidRPr="001867AD" w:rsidRDefault="00123FD9" w:rsidP="001867AD">
      <w:pPr>
        <w:jc w:val="both"/>
        <w:rPr>
          <w:sz w:val="24"/>
          <w:szCs w:val="24"/>
        </w:rPr>
      </w:pPr>
      <w:r w:rsidRPr="00123FD9">
        <w:t xml:space="preserve">In order to choose the appropriate statistical analysis methods, I first tested the distribution </w:t>
      </w:r>
      <w:r w:rsidRPr="001867AD">
        <w:rPr>
          <w:sz w:val="24"/>
          <w:szCs w:val="24"/>
        </w:rPr>
        <w:t>of my data. This was done using the Shapiro-Wilk test, whose null hypothesis is that there is a normal distribution. Almost all scales were below the significance threshold of 0.05, see Appendix XX. This means that the null hypothesis had to be rejected for most scales. The data were therefore largely free of distribution. In order to ensure uniformity and thus comparability, non-parametric tests were used for all scales despite metric scaling, as required by a distribution-free data base (University of Zurich, 2024).</w:t>
      </w:r>
    </w:p>
    <w:p w14:paraId="3B3E5DC6" w14:textId="77777777" w:rsidR="00A16A4D" w:rsidRPr="001867AD" w:rsidRDefault="00A16A4D" w:rsidP="001867AD">
      <w:pPr>
        <w:jc w:val="both"/>
        <w:rPr>
          <w:sz w:val="24"/>
          <w:szCs w:val="24"/>
        </w:rPr>
      </w:pPr>
    </w:p>
    <w:p w14:paraId="0A2B6B30" w14:textId="70F9D3C7" w:rsidR="00A16A4D" w:rsidRPr="001867AD" w:rsidRDefault="00A16A4D" w:rsidP="001867AD">
      <w:pPr>
        <w:jc w:val="both"/>
        <w:rPr>
          <w:sz w:val="32"/>
          <w:szCs w:val="32"/>
        </w:rPr>
      </w:pPr>
      <w:r w:rsidRPr="001867AD">
        <w:rPr>
          <w:sz w:val="24"/>
          <w:szCs w:val="24"/>
        </w:rPr>
        <w:t>In order to answer some of my research questions (RQ1 and RQ3) by comparing the scale means between groups, I conducted the Wilcoxon test. This test is suitable for distribution-free, interval-scaled dependent samples and determines whether the central tendencies of two dependent samples are different (Uni Zürich, 2024). Given the lack of normal distribution in my data and the need to compare tendencies between groups, I considered the Wilcoxon test appropriate to provide statistical answers to the question of whether the central tendencies of the groups differ. This approach was applied to all scales relevant to my research questions: sustainability attitudes (comprising scales of attitude, intention, perceived behavioural control and subjective norms), sustainability behaviours (all based on the Theory of Planned Behaviour), collective and personal efficacy beliefs, and action and aim-focused efficacy beliefs.</w:t>
      </w:r>
    </w:p>
    <w:p w14:paraId="18B54265" w14:textId="51EFE1B5" w:rsidR="0003587A" w:rsidRPr="001867AD" w:rsidRDefault="0003587A" w:rsidP="001867AD">
      <w:pPr>
        <w:jc w:val="both"/>
        <w:rPr>
          <w:sz w:val="24"/>
          <w:szCs w:val="24"/>
        </w:rPr>
      </w:pPr>
      <w:r w:rsidRPr="001867AD">
        <w:rPr>
          <w:sz w:val="24"/>
          <w:szCs w:val="24"/>
        </w:rPr>
        <w:t>To answer my research question (RQ1) on whether sustainability attitudes and sustainability behaviours  differ over time, I conducted the Kruskal-</w:t>
      </w:r>
      <w:proofErr w:type="gramStart"/>
      <w:r w:rsidRPr="001867AD">
        <w:rPr>
          <w:sz w:val="24"/>
          <w:szCs w:val="24"/>
        </w:rPr>
        <w:t>Wallis</w:t>
      </w:r>
      <w:proofErr w:type="gramEnd"/>
      <w:r w:rsidRPr="001867AD">
        <w:rPr>
          <w:sz w:val="24"/>
          <w:szCs w:val="24"/>
        </w:rPr>
        <w:t xml:space="preserve"> test. This test is suitable for distribution-free, ordinal-scaled independent samples and determines whether the central tendencies of more than two independent samples are different (University of Zurich). Given the lack of normal distribution in my data and the need to compare three different </w:t>
      </w:r>
      <w:r w:rsidR="00341E32">
        <w:rPr>
          <w:sz w:val="24"/>
          <w:szCs w:val="24"/>
        </w:rPr>
        <w:t>measurement</w:t>
      </w:r>
      <w:r w:rsidRPr="001867AD">
        <w:rPr>
          <w:sz w:val="24"/>
          <w:szCs w:val="24"/>
        </w:rPr>
        <w:t xml:space="preserve"> points for each SA and SB in each group, I considered this test sufficient to provide statistical answers. I decided not to perform any post-hoc tests as the Kruskal-</w:t>
      </w:r>
      <w:proofErr w:type="gramStart"/>
      <w:r w:rsidRPr="001867AD">
        <w:rPr>
          <w:sz w:val="24"/>
          <w:szCs w:val="24"/>
        </w:rPr>
        <w:t>Wallis</w:t>
      </w:r>
      <w:proofErr w:type="gramEnd"/>
      <w:r w:rsidRPr="001867AD">
        <w:rPr>
          <w:sz w:val="24"/>
          <w:szCs w:val="24"/>
        </w:rPr>
        <w:t xml:space="preserve"> test showed no statistical differences between the groups.</w:t>
      </w:r>
    </w:p>
    <w:p w14:paraId="607C95BC" w14:textId="08EE2496" w:rsidR="0003587A" w:rsidRPr="001867AD" w:rsidRDefault="0003587A" w:rsidP="001867AD">
      <w:pPr>
        <w:jc w:val="both"/>
        <w:rPr>
          <w:sz w:val="24"/>
          <w:szCs w:val="24"/>
          <w:lang w:eastAsia="en-GB"/>
        </w:rPr>
      </w:pPr>
      <w:bookmarkStart w:id="31" w:name="_Toc172745447"/>
      <w:r w:rsidRPr="001867AD">
        <w:rPr>
          <w:sz w:val="24"/>
          <w:szCs w:val="24"/>
          <w:lang w:eastAsia="en-GB"/>
        </w:rPr>
        <w:t xml:space="preserve">To answer my research question (RQ2) regarding the relationship between SA/SB and efficacy beliefs, I conducted the Spearman rank correlation test. This test is suitable for distribution-free, ordinal-scaled samples and calculates the linear correlation between two variables (University of Zurich). The rank correlation can range from -1 to +1, where -1 indicates a perfect negative correlation and +1 indicates a perfect positive correlation. If </w:t>
      </w:r>
      <w:proofErr w:type="spellStart"/>
      <w:r w:rsidRPr="001867AD">
        <w:rPr>
          <w:sz w:val="24"/>
          <w:szCs w:val="24"/>
          <w:lang w:eastAsia="en-GB"/>
        </w:rPr>
        <w:t>rs</w:t>
      </w:r>
      <w:proofErr w:type="spellEnd"/>
      <w:r w:rsidRPr="001867AD">
        <w:rPr>
          <w:sz w:val="24"/>
          <w:szCs w:val="24"/>
          <w:lang w:eastAsia="en-GB"/>
        </w:rPr>
        <w:t>=0</w:t>
      </w:r>
      <w:r w:rsidRPr="001867AD">
        <w:rPr>
          <w:sz w:val="24"/>
          <w:szCs w:val="24"/>
          <w:lang w:eastAsia="en-GB"/>
        </w:rPr>
        <w:t xml:space="preserve"> </w:t>
      </w:r>
      <w:r w:rsidRPr="001867AD">
        <w:rPr>
          <w:sz w:val="24"/>
          <w:szCs w:val="24"/>
          <w:lang w:eastAsia="en-GB"/>
        </w:rPr>
        <w:t>, there is no correlation (</w:t>
      </w:r>
      <w:proofErr w:type="spellStart"/>
      <w:r w:rsidRPr="001867AD">
        <w:rPr>
          <w:sz w:val="24"/>
          <w:szCs w:val="24"/>
          <w:lang w:eastAsia="en-GB"/>
        </w:rPr>
        <w:t>Tachtsoglou</w:t>
      </w:r>
      <w:proofErr w:type="spellEnd"/>
      <w:r w:rsidRPr="001867AD">
        <w:rPr>
          <w:sz w:val="24"/>
          <w:szCs w:val="24"/>
          <w:lang w:eastAsia="en-GB"/>
        </w:rPr>
        <w:t xml:space="preserve"> &amp; König, 2017).</w:t>
      </w:r>
    </w:p>
    <w:p w14:paraId="54E8C2D3" w14:textId="2C7A9E81" w:rsidR="00285C0A" w:rsidRPr="00840A2C" w:rsidRDefault="00285C0A" w:rsidP="00285C0A">
      <w:pPr>
        <w:pStyle w:val="Heading2"/>
        <w:rPr>
          <w:rFonts w:ascii="Calibri" w:hAnsi="Calibri" w:cs="Calibri"/>
        </w:rPr>
      </w:pPr>
      <w:bookmarkStart w:id="32" w:name="_Toc173164298"/>
      <w:r w:rsidRPr="00840A2C">
        <w:rPr>
          <w:rFonts w:ascii="Calibri" w:hAnsi="Calibri" w:cs="Calibri"/>
        </w:rPr>
        <w:t>Quality Criteria testing</w:t>
      </w:r>
      <w:bookmarkEnd w:id="31"/>
      <w:bookmarkEnd w:id="32"/>
    </w:p>
    <w:p w14:paraId="0086FB0A" w14:textId="4D2DA4D4" w:rsidR="00285C0A" w:rsidRPr="001867AD" w:rsidRDefault="0003587A" w:rsidP="001867AD">
      <w:pPr>
        <w:jc w:val="both"/>
        <w:rPr>
          <w:sz w:val="24"/>
          <w:szCs w:val="24"/>
          <w:shd w:val="clear" w:color="auto" w:fill="FFFFFF"/>
        </w:rPr>
      </w:pPr>
      <w:r w:rsidRPr="001867AD">
        <w:rPr>
          <w:sz w:val="24"/>
          <w:szCs w:val="24"/>
          <w:shd w:val="clear" w:color="auto" w:fill="FFFFFF"/>
        </w:rPr>
        <w:t xml:space="preserve">In the case of a fully standardised questionnaire survey, it must be subjected to a number of checks to ensure the reliable quality of the results. In order to draw conclusions about the population in the sense of inductive statistics, it must be ensured that the sample is representative of the population. This is an aspect of external validity (N. Döring &amp; Bortz, 2016, </w:t>
      </w:r>
      <w:r w:rsidRPr="001867AD">
        <w:rPr>
          <w:sz w:val="24"/>
          <w:szCs w:val="24"/>
          <w:shd w:val="clear" w:color="auto" w:fill="FFFFFF"/>
        </w:rPr>
        <w:lastRenderedPageBreak/>
        <w:t xml:space="preserve">p. 104). The KRS school groups met at the school itself and thus became the </w:t>
      </w:r>
      <w:r w:rsidR="00801737" w:rsidRPr="001867AD">
        <w:rPr>
          <w:sz w:val="24"/>
          <w:szCs w:val="24"/>
          <w:shd w:val="clear" w:color="auto" w:fill="FFFFFF"/>
        </w:rPr>
        <w:t>involved</w:t>
      </w:r>
      <w:r w:rsidRPr="001867AD">
        <w:rPr>
          <w:sz w:val="24"/>
          <w:szCs w:val="24"/>
          <w:shd w:val="clear" w:color="auto" w:fill="FFFFFF"/>
        </w:rPr>
        <w:t xml:space="preserve"> group in the study, consisting of about 20 students, which fluctuated somewhat during the school year. All the classmates of the students in the KRS group were defined as the basic population of the control group, as they are exposed to similar other conditions and thus comparability is ensured. No information is available on the exact size of this population, so an estimate is given in Table XX. The sample from this control group was determined by the willingness of the students approached to participate. Calculations of ideal sample sizes, based on a 90% confidence interval and a 10% margin of error (REF Qualtrics), show that for measurement point 3, neither the control group nor the involved group was representative of the population, which limits the conclusions that can be drawn about the population, see Table XX.</w:t>
      </w:r>
    </w:p>
    <w:p w14:paraId="55594EB3" w14:textId="1FD197B1" w:rsidR="00285C0A" w:rsidRPr="00840A2C" w:rsidRDefault="00285C0A" w:rsidP="00285C0A">
      <w:pPr>
        <w:rPr>
          <w:rFonts w:ascii="Calibri" w:hAnsi="Calibri" w:cs="Calibri"/>
        </w:rPr>
      </w:pPr>
      <w:r w:rsidRPr="00840A2C">
        <w:rPr>
          <w:rFonts w:ascii="Calibri" w:hAnsi="Calibri" w:cs="Calibri"/>
        </w:rPr>
        <mc:AlternateContent>
          <mc:Choice Requires="wps">
            <w:drawing>
              <wp:anchor distT="0" distB="0" distL="114300" distR="114300" simplePos="0" relativeHeight="251660288" behindDoc="0" locked="0" layoutInCell="1" allowOverlap="1" wp14:anchorId="1E4371E5" wp14:editId="1C7522FA">
                <wp:simplePos x="0" y="0"/>
                <wp:positionH relativeFrom="column">
                  <wp:posOffset>5327374</wp:posOffset>
                </wp:positionH>
                <wp:positionV relativeFrom="paragraph">
                  <wp:posOffset>2223438</wp:posOffset>
                </wp:positionV>
                <wp:extent cx="271091" cy="205026"/>
                <wp:effectExtent l="0" t="57150" r="0" b="119380"/>
                <wp:wrapNone/>
                <wp:docPr id="123520172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910F9"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26" type="#_x0000_t73" style="position:absolute;margin-left:419.5pt;margin-top:175.05pt;width:21.35pt;height:16.15pt;rotation:228569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" fillcolor="black [3213]" strokecolor="black [3213]" strokeweight="1pt"/>
            </w:pict>
          </mc:Fallback>
        </mc:AlternateContent>
      </w:r>
      <w:r w:rsidRPr="00840A2C">
        <w:rPr>
          <w:rFonts w:ascii="Calibri" w:hAnsi="Calibri" w:cs="Calibri"/>
        </w:rPr>
        <w:t>Table XX: Comparison of ideal and actual sample sizes in relation to the population</w:t>
      </w:r>
      <w:r w:rsidR="0003587A">
        <w:rPr>
          <w:rFonts w:ascii="Calibri" w:hAnsi="Calibri" w:cs="Calibri"/>
        </w:rPr>
        <w:t>.</w:t>
      </w:r>
    </w:p>
    <w:tbl>
      <w:tblPr>
        <w:tblStyle w:val="TableGrid"/>
        <w:tblW w:w="0" w:type="auto"/>
        <w:tblLayout w:type="fixed"/>
        <w:tblLook w:val="04A0" w:firstRow="1" w:lastRow="0" w:firstColumn="1" w:lastColumn="0" w:noHBand="0" w:noVBand="1"/>
      </w:tblPr>
      <w:tblGrid>
        <w:gridCol w:w="1288"/>
        <w:gridCol w:w="1288"/>
        <w:gridCol w:w="1288"/>
        <w:gridCol w:w="1288"/>
        <w:gridCol w:w="1288"/>
        <w:gridCol w:w="1288"/>
        <w:gridCol w:w="1288"/>
      </w:tblGrid>
      <w:tr w:rsidR="00285C0A" w:rsidRPr="00840A2C" w14:paraId="0956972F" w14:textId="77777777" w:rsidTr="000D0F0C">
        <w:tc>
          <w:tcPr>
            <w:tcW w:w="1288" w:type="dxa"/>
          </w:tcPr>
          <w:p w14:paraId="5E2D1F57" w14:textId="77777777" w:rsidR="00285C0A" w:rsidRPr="00840A2C" w:rsidRDefault="00285C0A" w:rsidP="000D0F0C">
            <w:pPr>
              <w:rPr>
                <w:rFonts w:ascii="Calibri" w:hAnsi="Calibri" w:cs="Calibri"/>
              </w:rPr>
            </w:pPr>
          </w:p>
        </w:tc>
        <w:tc>
          <w:tcPr>
            <w:tcW w:w="2576" w:type="dxa"/>
            <w:gridSpan w:val="2"/>
          </w:tcPr>
          <w:p w14:paraId="04182AA5" w14:textId="77777777" w:rsidR="00285C0A" w:rsidRPr="00840A2C" w:rsidRDefault="00285C0A" w:rsidP="000D0F0C">
            <w:pPr>
              <w:rPr>
                <w:rFonts w:ascii="Calibri" w:hAnsi="Calibri" w:cs="Calibri"/>
                <w:b/>
                <w:bCs/>
              </w:rPr>
            </w:pPr>
            <w:r w:rsidRPr="00840A2C">
              <w:rPr>
                <w:rFonts w:ascii="Calibri" w:hAnsi="Calibri" w:cs="Calibri"/>
                <w:b/>
                <w:bCs/>
              </w:rPr>
              <w:t>Measurement point 1</w:t>
            </w:r>
          </w:p>
        </w:tc>
        <w:tc>
          <w:tcPr>
            <w:tcW w:w="2576" w:type="dxa"/>
            <w:gridSpan w:val="2"/>
          </w:tcPr>
          <w:p w14:paraId="2E28ADD8" w14:textId="77777777" w:rsidR="00285C0A" w:rsidRPr="00840A2C" w:rsidRDefault="00285C0A" w:rsidP="000D0F0C">
            <w:pPr>
              <w:rPr>
                <w:rFonts w:ascii="Calibri" w:hAnsi="Calibri" w:cs="Calibri"/>
                <w:b/>
                <w:bCs/>
              </w:rPr>
            </w:pPr>
            <w:r w:rsidRPr="00840A2C">
              <w:rPr>
                <w:rFonts w:ascii="Calibri" w:hAnsi="Calibri" w:cs="Calibri"/>
                <w:b/>
                <w:bCs/>
              </w:rPr>
              <w:t>Measurement point 2</w:t>
            </w:r>
          </w:p>
        </w:tc>
        <w:tc>
          <w:tcPr>
            <w:tcW w:w="2576" w:type="dxa"/>
            <w:gridSpan w:val="2"/>
          </w:tcPr>
          <w:p w14:paraId="69A21042" w14:textId="77777777" w:rsidR="00285C0A" w:rsidRPr="00840A2C" w:rsidRDefault="00285C0A" w:rsidP="000D0F0C">
            <w:pPr>
              <w:rPr>
                <w:rFonts w:ascii="Calibri" w:hAnsi="Calibri" w:cs="Calibri"/>
                <w:b/>
                <w:bCs/>
              </w:rPr>
            </w:pPr>
            <w:r w:rsidRPr="00840A2C">
              <w:rPr>
                <w:rFonts w:ascii="Calibri" w:hAnsi="Calibri" w:cs="Calibri"/>
                <w:b/>
                <w:bCs/>
              </w:rPr>
              <w:t>Measurement point 3</w:t>
            </w:r>
          </w:p>
        </w:tc>
      </w:tr>
      <w:tr w:rsidR="00285C0A" w:rsidRPr="00840A2C" w14:paraId="57278198" w14:textId="77777777" w:rsidTr="000D0F0C">
        <w:tc>
          <w:tcPr>
            <w:tcW w:w="1288" w:type="dxa"/>
          </w:tcPr>
          <w:p w14:paraId="59F2AC6E" w14:textId="77777777" w:rsidR="00285C0A" w:rsidRPr="00840A2C" w:rsidRDefault="00285C0A" w:rsidP="000D0F0C">
            <w:pPr>
              <w:rPr>
                <w:rFonts w:ascii="Calibri" w:hAnsi="Calibri" w:cs="Calibri"/>
                <w:b/>
                <w:bCs/>
              </w:rPr>
            </w:pPr>
            <w:r w:rsidRPr="00840A2C">
              <w:rPr>
                <w:rFonts w:ascii="Calibri" w:hAnsi="Calibri" w:cs="Calibri"/>
                <w:b/>
                <w:bCs/>
              </w:rPr>
              <w:t>Group</w:t>
            </w:r>
          </w:p>
        </w:tc>
        <w:tc>
          <w:tcPr>
            <w:tcW w:w="1288" w:type="dxa"/>
          </w:tcPr>
          <w:p w14:paraId="4DCDE74E"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F2F7207"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0A365674"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19F66CC"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3B3784F7"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5BF4BDF0" w14:textId="77777777" w:rsidR="00285C0A" w:rsidRPr="00840A2C" w:rsidRDefault="00285C0A" w:rsidP="000D0F0C">
            <w:pPr>
              <w:rPr>
                <w:rFonts w:ascii="Calibri" w:hAnsi="Calibri" w:cs="Calibri"/>
              </w:rPr>
            </w:pPr>
            <w:r w:rsidRPr="00840A2C">
              <w:rPr>
                <w:rFonts w:ascii="Calibri" w:hAnsi="Calibri" w:cs="Calibri"/>
              </w:rPr>
              <w:t>Involved group</w:t>
            </w:r>
          </w:p>
        </w:tc>
      </w:tr>
      <w:tr w:rsidR="00285C0A" w:rsidRPr="00840A2C" w14:paraId="6EEA1468" w14:textId="77777777" w:rsidTr="000D0F0C">
        <w:tc>
          <w:tcPr>
            <w:tcW w:w="1288" w:type="dxa"/>
          </w:tcPr>
          <w:p w14:paraId="21A38328" w14:textId="77777777" w:rsidR="00285C0A" w:rsidRPr="00840A2C" w:rsidRDefault="00285C0A" w:rsidP="000D0F0C">
            <w:pPr>
              <w:rPr>
                <w:rFonts w:ascii="Calibri" w:hAnsi="Calibri" w:cs="Calibri"/>
                <w:b/>
                <w:bCs/>
              </w:rPr>
            </w:pPr>
            <w:r w:rsidRPr="00840A2C">
              <w:rPr>
                <w:rFonts w:ascii="Calibri" w:hAnsi="Calibri" w:cs="Calibri"/>
                <w:b/>
                <w:bCs/>
              </w:rPr>
              <w:t>Total population</w:t>
            </w:r>
          </w:p>
        </w:tc>
        <w:tc>
          <w:tcPr>
            <w:tcW w:w="1288" w:type="dxa"/>
          </w:tcPr>
          <w:p w14:paraId="18EB4E54"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1628BA38"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337CB7AF"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529F7709"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4AA67287" w14:textId="77777777" w:rsidR="00285C0A" w:rsidRPr="00840A2C" w:rsidRDefault="00285C0A" w:rsidP="000D0F0C">
            <w:pPr>
              <w:rPr>
                <w:rFonts w:ascii="Calibri" w:hAnsi="Calibri" w:cs="Calibri"/>
              </w:rPr>
            </w:pPr>
            <w:r w:rsidRPr="00840A2C">
              <w:rPr>
                <w:rFonts w:ascii="Calibri" w:hAnsi="Calibri" w:cs="Calibri"/>
              </w:rPr>
              <w:t>150</w:t>
            </w:r>
          </w:p>
        </w:tc>
        <w:tc>
          <w:tcPr>
            <w:tcW w:w="1288" w:type="dxa"/>
          </w:tcPr>
          <w:p w14:paraId="6E849236" w14:textId="77777777" w:rsidR="00285C0A" w:rsidRPr="00840A2C" w:rsidRDefault="00285C0A" w:rsidP="000D0F0C">
            <w:pPr>
              <w:rPr>
                <w:rFonts w:ascii="Calibri" w:hAnsi="Calibri" w:cs="Calibri"/>
              </w:rPr>
            </w:pPr>
            <w:r w:rsidRPr="00840A2C">
              <w:rPr>
                <w:rFonts w:ascii="Calibri" w:hAnsi="Calibri" w:cs="Calibri"/>
              </w:rPr>
              <w:t>20</w:t>
            </w:r>
          </w:p>
        </w:tc>
      </w:tr>
      <w:tr w:rsidR="00285C0A" w:rsidRPr="00840A2C" w14:paraId="58B92207" w14:textId="77777777" w:rsidTr="000D0F0C">
        <w:tc>
          <w:tcPr>
            <w:tcW w:w="1288" w:type="dxa"/>
          </w:tcPr>
          <w:p w14:paraId="251DBE1D" w14:textId="77777777" w:rsidR="00285C0A" w:rsidRPr="00840A2C" w:rsidRDefault="00285C0A" w:rsidP="000D0F0C">
            <w:pPr>
              <w:rPr>
                <w:rFonts w:ascii="Calibri" w:hAnsi="Calibri" w:cs="Calibri"/>
                <w:b/>
                <w:bCs/>
              </w:rPr>
            </w:pPr>
            <w:r w:rsidRPr="00840A2C">
              <w:rPr>
                <w:rFonts w:ascii="Calibri" w:hAnsi="Calibri" w:cs="Calibri"/>
                <w:b/>
                <w:bCs/>
              </w:rPr>
              <w:t>Ideal N (90% confidence interval + 10% margin of error)</w:t>
            </w:r>
          </w:p>
        </w:tc>
        <w:tc>
          <w:tcPr>
            <w:tcW w:w="1288" w:type="dxa"/>
          </w:tcPr>
          <w:p w14:paraId="01131A68" w14:textId="72E600C3"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53</w:t>
            </w:r>
          </w:p>
        </w:tc>
        <w:tc>
          <w:tcPr>
            <w:tcW w:w="1288" w:type="dxa"/>
          </w:tcPr>
          <w:p w14:paraId="54E8C047" w14:textId="4303C639"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c>
          <w:tcPr>
            <w:tcW w:w="1288" w:type="dxa"/>
          </w:tcPr>
          <w:p w14:paraId="00253BFD" w14:textId="3F2B9ECF"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53</w:t>
            </w:r>
          </w:p>
        </w:tc>
        <w:tc>
          <w:tcPr>
            <w:tcW w:w="1288" w:type="dxa"/>
          </w:tcPr>
          <w:p w14:paraId="2F7B0FD5" w14:textId="2B34425D"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c>
          <w:tcPr>
            <w:tcW w:w="1288" w:type="dxa"/>
          </w:tcPr>
          <w:p w14:paraId="1F1B3DB1" w14:textId="2847730A" w:rsidR="00285C0A" w:rsidRPr="00840A2C" w:rsidRDefault="00285C0A" w:rsidP="000D0F0C">
            <w:pPr>
              <w:rPr>
                <w:rFonts w:ascii="Calibri" w:hAnsi="Calibri" w:cs="Calibri"/>
              </w:rPr>
            </w:pPr>
            <w:r w:rsidRPr="00840A2C">
              <w:rPr>
                <w:rFonts w:ascii="Calibri" w:hAnsi="Calibri" w:cs="Calibri"/>
              </w:rPr>
              <mc:AlternateContent>
                <mc:Choice Requires="wps">
                  <w:drawing>
                    <wp:anchor distT="0" distB="0" distL="114300" distR="114300" simplePos="0" relativeHeight="251659264" behindDoc="0" locked="0" layoutInCell="1" allowOverlap="1" wp14:anchorId="54CBA0EB" wp14:editId="22E937E1">
                      <wp:simplePos x="0" y="0"/>
                      <wp:positionH relativeFrom="column">
                        <wp:posOffset>285750</wp:posOffset>
                      </wp:positionH>
                      <wp:positionV relativeFrom="paragraph">
                        <wp:posOffset>1057523</wp:posOffset>
                      </wp:positionV>
                      <wp:extent cx="271091" cy="205026"/>
                      <wp:effectExtent l="0" t="57150" r="0" b="119380"/>
                      <wp:wrapNone/>
                      <wp:docPr id="112400424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C863D" id="Lightning Bolt 1" o:spid="_x0000_s1026" type="#_x0000_t73" style="position:absolute;margin-left:22.5pt;margin-top:83.25pt;width:21.35pt;height:16.15pt;rotation:228569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" fillcolor="black [3213]" strokecolor="black [3213]" strokeweight="1pt"/>
                  </w:pict>
                </mc:Fallback>
              </mc:AlternateContent>
            </w:r>
            <w:r w:rsidR="0003587A">
              <w:rPr>
                <w:rFonts w:ascii="Calibri" w:hAnsi="Calibri" w:cs="Calibri"/>
              </w:rPr>
              <w:t>&gt;</w:t>
            </w:r>
            <w:r w:rsidRPr="00840A2C">
              <w:rPr>
                <w:rFonts w:ascii="Calibri" w:hAnsi="Calibri" w:cs="Calibri"/>
              </w:rPr>
              <w:t xml:space="preserve"> 47</w:t>
            </w:r>
          </w:p>
        </w:tc>
        <w:tc>
          <w:tcPr>
            <w:tcW w:w="1288" w:type="dxa"/>
          </w:tcPr>
          <w:p w14:paraId="731A72F5" w14:textId="381F3218"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r>
      <w:tr w:rsidR="00285C0A" w:rsidRPr="00840A2C" w14:paraId="07079862" w14:textId="77777777" w:rsidTr="000D0F0C">
        <w:tc>
          <w:tcPr>
            <w:tcW w:w="1288" w:type="dxa"/>
          </w:tcPr>
          <w:p w14:paraId="515B5EA7" w14:textId="77777777" w:rsidR="00285C0A" w:rsidRPr="00840A2C" w:rsidRDefault="00285C0A" w:rsidP="000D0F0C">
            <w:pPr>
              <w:rPr>
                <w:rFonts w:ascii="Calibri" w:hAnsi="Calibri" w:cs="Calibri"/>
                <w:b/>
                <w:bCs/>
              </w:rPr>
            </w:pPr>
            <w:r w:rsidRPr="00840A2C">
              <w:rPr>
                <w:rFonts w:ascii="Calibri" w:hAnsi="Calibri" w:cs="Calibri"/>
                <w:b/>
                <w:bCs/>
              </w:rPr>
              <w:t>Actual N</w:t>
            </w:r>
          </w:p>
        </w:tc>
        <w:tc>
          <w:tcPr>
            <w:tcW w:w="1288" w:type="dxa"/>
          </w:tcPr>
          <w:p w14:paraId="394B0D07" w14:textId="77777777" w:rsidR="00285C0A" w:rsidRPr="00840A2C" w:rsidRDefault="00285C0A" w:rsidP="000D0F0C">
            <w:pPr>
              <w:rPr>
                <w:rFonts w:ascii="Calibri" w:hAnsi="Calibri" w:cs="Calibri"/>
              </w:rPr>
            </w:pPr>
            <w:r w:rsidRPr="00840A2C">
              <w:rPr>
                <w:rFonts w:ascii="Calibri" w:hAnsi="Calibri" w:cs="Calibri"/>
              </w:rPr>
              <w:t>56</w:t>
            </w:r>
          </w:p>
        </w:tc>
        <w:tc>
          <w:tcPr>
            <w:tcW w:w="1288" w:type="dxa"/>
          </w:tcPr>
          <w:p w14:paraId="0F3F8FA6"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14769F6F" w14:textId="77777777" w:rsidR="00285C0A" w:rsidRPr="00840A2C" w:rsidRDefault="00285C0A" w:rsidP="000D0F0C">
            <w:pPr>
              <w:rPr>
                <w:rFonts w:ascii="Calibri" w:hAnsi="Calibri" w:cs="Calibri"/>
              </w:rPr>
            </w:pPr>
            <w:r w:rsidRPr="00840A2C">
              <w:rPr>
                <w:rFonts w:ascii="Calibri" w:hAnsi="Calibri" w:cs="Calibri"/>
              </w:rPr>
              <w:t>63</w:t>
            </w:r>
          </w:p>
        </w:tc>
        <w:tc>
          <w:tcPr>
            <w:tcW w:w="1288" w:type="dxa"/>
          </w:tcPr>
          <w:p w14:paraId="25CF2DC8" w14:textId="77777777" w:rsidR="00285C0A" w:rsidRPr="00840A2C" w:rsidRDefault="00285C0A" w:rsidP="000D0F0C">
            <w:pPr>
              <w:rPr>
                <w:rFonts w:ascii="Calibri" w:hAnsi="Calibri" w:cs="Calibri"/>
              </w:rPr>
            </w:pPr>
            <w:r w:rsidRPr="00840A2C">
              <w:rPr>
                <w:rFonts w:ascii="Calibri" w:hAnsi="Calibri" w:cs="Calibri"/>
              </w:rPr>
              <w:t>18</w:t>
            </w:r>
          </w:p>
        </w:tc>
        <w:tc>
          <w:tcPr>
            <w:tcW w:w="1288" w:type="dxa"/>
          </w:tcPr>
          <w:p w14:paraId="181C1DF0" w14:textId="77777777" w:rsidR="00285C0A" w:rsidRPr="00840A2C" w:rsidRDefault="00285C0A" w:rsidP="000D0F0C">
            <w:pPr>
              <w:rPr>
                <w:rFonts w:ascii="Calibri" w:hAnsi="Calibri" w:cs="Calibri"/>
              </w:rPr>
            </w:pPr>
            <w:r w:rsidRPr="00840A2C">
              <w:rPr>
                <w:rFonts w:ascii="Calibri" w:hAnsi="Calibri" w:cs="Calibri"/>
              </w:rPr>
              <w:t xml:space="preserve">42 </w:t>
            </w:r>
          </w:p>
        </w:tc>
        <w:tc>
          <w:tcPr>
            <w:tcW w:w="1288" w:type="dxa"/>
          </w:tcPr>
          <w:p w14:paraId="09B53038" w14:textId="77777777" w:rsidR="00285C0A" w:rsidRPr="00840A2C" w:rsidRDefault="00285C0A" w:rsidP="000D0F0C">
            <w:pPr>
              <w:rPr>
                <w:rFonts w:ascii="Calibri" w:hAnsi="Calibri" w:cs="Calibri"/>
              </w:rPr>
            </w:pPr>
            <w:r w:rsidRPr="00840A2C">
              <w:rPr>
                <w:rFonts w:ascii="Calibri" w:hAnsi="Calibri" w:cs="Calibri"/>
              </w:rPr>
              <w:t xml:space="preserve">7 </w:t>
            </w:r>
          </w:p>
        </w:tc>
      </w:tr>
    </w:tbl>
    <w:p w14:paraId="496D9861" w14:textId="77777777" w:rsidR="00285C0A" w:rsidRPr="00840A2C" w:rsidRDefault="00285C0A" w:rsidP="00285C0A">
      <w:pPr>
        <w:rPr>
          <w:rFonts w:ascii="Calibri" w:hAnsi="Calibri" w:cs="Calibri"/>
        </w:rPr>
      </w:pPr>
    </w:p>
    <w:p w14:paraId="44F75523" w14:textId="77777777" w:rsidR="0003587A" w:rsidRPr="0003587A" w:rsidRDefault="0003587A" w:rsidP="0003587A">
      <w:pPr>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 xml:space="preserve">For reliability analysis, Cronbach's alpha, the most common measure of scale reliability (Field, 2012 REF EWM DEV), was calculated to assess the internal consistency of the subscales. Reliabilities for measurement points 1 and 2 were calculated and confirmed by Pauli (2023). The results for measurement point 3 are shown in Table XX below. </w:t>
      </w:r>
    </w:p>
    <w:p w14:paraId="7E662F82" w14:textId="2085B82D" w:rsidR="00285C0A" w:rsidRPr="0003587A" w:rsidRDefault="00285C0A" w:rsidP="00285C0A">
      <w:pPr>
        <w:rPr>
          <w:rFonts w:ascii="Calibri" w:hAnsi="Calibri" w:cs="Calibri"/>
          <w:color w:val="222222"/>
          <w:shd w:val="clear" w:color="auto" w:fill="FFFFFF"/>
        </w:rPr>
      </w:pPr>
      <w:r w:rsidRPr="0003587A">
        <w:rPr>
          <w:rFonts w:ascii="Calibri" w:hAnsi="Calibri" w:cs="Calibri"/>
          <w:color w:val="222222"/>
          <w:shd w:val="clear" w:color="auto" w:fill="FFFFFF"/>
        </w:rPr>
        <w:t>Table XX: Reliabilities (Cronbach’s α) for sustainability competency scales at measurement point 3.</w:t>
      </w:r>
    </w:p>
    <w:tbl>
      <w:tblPr>
        <w:tblStyle w:val="TableGrid"/>
        <w:tblW w:w="0" w:type="auto"/>
        <w:tblLook w:val="04A0" w:firstRow="1" w:lastRow="0" w:firstColumn="1" w:lastColumn="0" w:noHBand="0" w:noVBand="1"/>
      </w:tblPr>
      <w:tblGrid>
        <w:gridCol w:w="3005"/>
        <w:gridCol w:w="3005"/>
        <w:gridCol w:w="3006"/>
      </w:tblGrid>
      <w:tr w:rsidR="00285C0A" w:rsidRPr="00840A2C" w14:paraId="180067A4" w14:textId="77777777" w:rsidTr="000D0F0C">
        <w:tc>
          <w:tcPr>
            <w:tcW w:w="3005" w:type="dxa"/>
          </w:tcPr>
          <w:p w14:paraId="31399BB1"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Scale</w:t>
            </w:r>
          </w:p>
        </w:tc>
        <w:tc>
          <w:tcPr>
            <w:tcW w:w="3005" w:type="dxa"/>
          </w:tcPr>
          <w:p w14:paraId="0A16ACBF"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Number of items</w:t>
            </w:r>
          </w:p>
        </w:tc>
        <w:tc>
          <w:tcPr>
            <w:tcW w:w="3006" w:type="dxa"/>
          </w:tcPr>
          <w:p w14:paraId="22EDCDE4"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Cronbach’s α</w:t>
            </w:r>
          </w:p>
        </w:tc>
      </w:tr>
      <w:tr w:rsidR="00285C0A" w:rsidRPr="00840A2C" w14:paraId="61735DF7" w14:textId="77777777" w:rsidTr="000D0F0C">
        <w:tc>
          <w:tcPr>
            <w:tcW w:w="3005" w:type="dxa"/>
          </w:tcPr>
          <w:p w14:paraId="6294C0D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Attitude</w:t>
            </w:r>
          </w:p>
        </w:tc>
        <w:tc>
          <w:tcPr>
            <w:tcW w:w="3005" w:type="dxa"/>
          </w:tcPr>
          <w:p w14:paraId="7FB5DB4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4</w:t>
            </w:r>
          </w:p>
        </w:tc>
        <w:tc>
          <w:tcPr>
            <w:tcW w:w="3006" w:type="dxa"/>
          </w:tcPr>
          <w:p w14:paraId="7EAA2C5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0.65</w:t>
            </w:r>
          </w:p>
        </w:tc>
      </w:tr>
      <w:tr w:rsidR="00285C0A" w:rsidRPr="00840A2C" w14:paraId="6BB32B6B" w14:textId="77777777" w:rsidTr="000D0F0C">
        <w:tc>
          <w:tcPr>
            <w:tcW w:w="3005" w:type="dxa"/>
          </w:tcPr>
          <w:p w14:paraId="21E8C9A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Subjective Norms</w:t>
            </w:r>
          </w:p>
        </w:tc>
        <w:tc>
          <w:tcPr>
            <w:tcW w:w="3005" w:type="dxa"/>
          </w:tcPr>
          <w:p w14:paraId="7A8C442F"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7220B456"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0.41</w:t>
            </w:r>
          </w:p>
        </w:tc>
      </w:tr>
      <w:tr w:rsidR="00285C0A" w:rsidRPr="00840A2C" w14:paraId="494896DB" w14:textId="77777777" w:rsidTr="000D0F0C">
        <w:tc>
          <w:tcPr>
            <w:tcW w:w="3005" w:type="dxa"/>
          </w:tcPr>
          <w:p w14:paraId="5395A28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Perceived behaviour control</w:t>
            </w:r>
          </w:p>
        </w:tc>
        <w:tc>
          <w:tcPr>
            <w:tcW w:w="3005" w:type="dxa"/>
          </w:tcPr>
          <w:p w14:paraId="2E88FC38"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2</w:t>
            </w:r>
          </w:p>
        </w:tc>
        <w:tc>
          <w:tcPr>
            <w:tcW w:w="3006" w:type="dxa"/>
          </w:tcPr>
          <w:p w14:paraId="5840CEC1"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0.77</w:t>
            </w:r>
          </w:p>
        </w:tc>
      </w:tr>
      <w:tr w:rsidR="00285C0A" w:rsidRPr="00840A2C" w14:paraId="4121A346" w14:textId="77777777" w:rsidTr="000D0F0C">
        <w:tc>
          <w:tcPr>
            <w:tcW w:w="3005" w:type="dxa"/>
          </w:tcPr>
          <w:p w14:paraId="00D03A1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Intention</w:t>
            </w:r>
          </w:p>
        </w:tc>
        <w:tc>
          <w:tcPr>
            <w:tcW w:w="3005" w:type="dxa"/>
          </w:tcPr>
          <w:p w14:paraId="4F5202E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18459995"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0.86</w:t>
            </w:r>
          </w:p>
        </w:tc>
      </w:tr>
      <w:tr w:rsidR="00285C0A" w:rsidRPr="00840A2C" w14:paraId="09926629" w14:textId="77777777" w:rsidTr="000D0F0C">
        <w:tc>
          <w:tcPr>
            <w:tcW w:w="3005" w:type="dxa"/>
          </w:tcPr>
          <w:p w14:paraId="42818C78" w14:textId="77777777" w:rsidR="00285C0A" w:rsidRPr="00840A2C" w:rsidRDefault="00285C0A" w:rsidP="000D0F0C">
            <w:pPr>
              <w:rPr>
                <w:rFonts w:ascii="Calibri" w:hAnsi="Calibri" w:cs="Calibri"/>
                <w:color w:val="222222"/>
                <w:sz w:val="20"/>
                <w:szCs w:val="20"/>
                <w:shd w:val="clear" w:color="auto" w:fill="FFFFFF"/>
                <w:vertAlign w:val="subscript"/>
              </w:rPr>
            </w:pPr>
            <w:r w:rsidRPr="00840A2C">
              <w:rPr>
                <w:rFonts w:ascii="Calibri" w:hAnsi="Calibri" w:cs="Calibri"/>
                <w:color w:val="222222"/>
                <w:sz w:val="20"/>
                <w:szCs w:val="20"/>
                <w:shd w:val="clear" w:color="auto" w:fill="FFFFFF"/>
              </w:rPr>
              <w:t>Behaviour</w:t>
            </w:r>
            <w:r w:rsidRPr="00840A2C">
              <w:rPr>
                <w:rFonts w:ascii="Calibri" w:hAnsi="Calibri" w:cs="Calibri"/>
                <w:color w:val="222222"/>
                <w:sz w:val="20"/>
                <w:szCs w:val="20"/>
                <w:shd w:val="clear" w:color="auto" w:fill="FFFFFF"/>
                <w:vertAlign w:val="subscript"/>
              </w:rPr>
              <w:t>1</w:t>
            </w:r>
          </w:p>
        </w:tc>
        <w:tc>
          <w:tcPr>
            <w:tcW w:w="3005" w:type="dxa"/>
          </w:tcPr>
          <w:p w14:paraId="7EF6C1D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5B7744A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0.78</w:t>
            </w:r>
          </w:p>
        </w:tc>
      </w:tr>
      <w:tr w:rsidR="00285C0A" w:rsidRPr="00840A2C" w14:paraId="7620C56D" w14:textId="77777777" w:rsidTr="000D0F0C">
        <w:tc>
          <w:tcPr>
            <w:tcW w:w="3005" w:type="dxa"/>
          </w:tcPr>
          <w:p w14:paraId="5065E70B" w14:textId="156E156C" w:rsidR="00285C0A" w:rsidRPr="00840A2C" w:rsidRDefault="00661228" w:rsidP="000D0F0C">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Personal </w:t>
            </w:r>
            <w:r w:rsidR="00285C0A" w:rsidRPr="00840A2C">
              <w:rPr>
                <w:rFonts w:ascii="Calibri" w:hAnsi="Calibri" w:cs="Calibri"/>
                <w:color w:val="222222"/>
                <w:sz w:val="20"/>
                <w:szCs w:val="20"/>
                <w:shd w:val="clear" w:color="auto" w:fill="FFFFFF"/>
              </w:rPr>
              <w:t>efficacy beliefs</w:t>
            </w:r>
          </w:p>
        </w:tc>
        <w:tc>
          <w:tcPr>
            <w:tcW w:w="3005" w:type="dxa"/>
          </w:tcPr>
          <w:p w14:paraId="705D7B04"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4D45497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r w:rsidR="00285C0A" w:rsidRPr="00840A2C" w14:paraId="583EFB06" w14:textId="77777777" w:rsidTr="000D0F0C">
        <w:tc>
          <w:tcPr>
            <w:tcW w:w="3005" w:type="dxa"/>
          </w:tcPr>
          <w:p w14:paraId="6242ED51" w14:textId="1DA87A78"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Collective efficacy beliefs</w:t>
            </w:r>
          </w:p>
        </w:tc>
        <w:tc>
          <w:tcPr>
            <w:tcW w:w="3005" w:type="dxa"/>
          </w:tcPr>
          <w:p w14:paraId="3C972D0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0EA7D91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bl>
    <w:p w14:paraId="03310893" w14:textId="77777777" w:rsidR="00285C0A" w:rsidRPr="00840A2C" w:rsidRDefault="00285C0A" w:rsidP="00285C0A">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vertAlign w:val="subscript"/>
        </w:rPr>
        <w:br/>
        <w:t xml:space="preserve">1 </w:t>
      </w:r>
      <w:r w:rsidRPr="00840A2C">
        <w:rPr>
          <w:rFonts w:ascii="Calibri" w:hAnsi="Calibri" w:cs="Calibri"/>
          <w:color w:val="222222"/>
          <w:sz w:val="20"/>
          <w:szCs w:val="20"/>
          <w:shd w:val="clear" w:color="auto" w:fill="FFFFFF"/>
        </w:rPr>
        <w:t xml:space="preserve">To calculate the </w:t>
      </w:r>
      <w:proofErr w:type="spellStart"/>
      <w:r w:rsidRPr="00840A2C">
        <w:rPr>
          <w:rFonts w:ascii="Calibri" w:hAnsi="Calibri" w:cs="Calibri"/>
          <w:color w:val="222222"/>
          <w:sz w:val="20"/>
          <w:szCs w:val="20"/>
          <w:shd w:val="clear" w:color="auto" w:fill="FFFFFF"/>
        </w:rPr>
        <w:t>cronbach’s</w:t>
      </w:r>
      <w:proofErr w:type="spellEnd"/>
      <w:r w:rsidRPr="00840A2C">
        <w:rPr>
          <w:rFonts w:ascii="Calibri" w:hAnsi="Calibri" w:cs="Calibri"/>
          <w:color w:val="222222"/>
          <w:sz w:val="20"/>
          <w:szCs w:val="20"/>
          <w:shd w:val="clear" w:color="auto" w:fill="FFFFFF"/>
        </w:rPr>
        <w:t xml:space="preserve"> α the variables B03 and B04 were omitted, because there were not considered fitting and essential. The content validity should not be jeopardised by this.</w:t>
      </w:r>
    </w:p>
    <w:p w14:paraId="493CF585" w14:textId="6BD1052C" w:rsidR="00285C0A" w:rsidRPr="0003587A" w:rsidRDefault="0003587A" w:rsidP="00285C0A">
      <w:pPr>
        <w:autoSpaceDE w:val="0"/>
        <w:autoSpaceDN w:val="0"/>
        <w:adjustRightInd w:val="0"/>
        <w:spacing w:after="0" w:line="240" w:lineRule="auto"/>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 xml:space="preserve">In the literature, Cronbach's alpha values above 0.6 are considered good for short scales (≤ 6 items) (Krüger et al., 2014). For longer scales (8 items), values above 0.7 can be considered good (N. Schmitt, 1996). Almost all scales achieved satisfactory results in this test, with the exception of the subjective norms scale. This lower reliability should be </w:t>
      </w:r>
      <w:proofErr w:type="gramStart"/>
      <w:r w:rsidRPr="0003587A">
        <w:rPr>
          <w:rFonts w:ascii="Calibri" w:hAnsi="Calibri" w:cs="Calibri"/>
          <w:color w:val="222222"/>
          <w:sz w:val="24"/>
          <w:szCs w:val="24"/>
          <w:shd w:val="clear" w:color="auto" w:fill="FFFFFF"/>
        </w:rPr>
        <w:t>taken into account</w:t>
      </w:r>
      <w:proofErr w:type="gramEnd"/>
      <w:r w:rsidRPr="0003587A">
        <w:rPr>
          <w:rFonts w:ascii="Calibri" w:hAnsi="Calibri" w:cs="Calibri"/>
          <w:color w:val="222222"/>
          <w:sz w:val="24"/>
          <w:szCs w:val="24"/>
          <w:shd w:val="clear" w:color="auto" w:fill="FFFFFF"/>
        </w:rPr>
        <w:t xml:space="preserve"> in </w:t>
      </w:r>
      <w:r w:rsidRPr="0003587A">
        <w:rPr>
          <w:rFonts w:ascii="Calibri" w:hAnsi="Calibri" w:cs="Calibri"/>
          <w:color w:val="222222"/>
          <w:sz w:val="24"/>
          <w:szCs w:val="24"/>
          <w:shd w:val="clear" w:color="auto" w:fill="FFFFFF"/>
        </w:rPr>
        <w:lastRenderedPageBreak/>
        <w:t>further analyses, although the literature also points out that these thresholds should not be given too much significance (</w:t>
      </w:r>
      <w:proofErr w:type="spellStart"/>
      <w:r w:rsidRPr="0003587A">
        <w:rPr>
          <w:rFonts w:ascii="Calibri" w:hAnsi="Calibri" w:cs="Calibri"/>
          <w:color w:val="222222"/>
          <w:sz w:val="24"/>
          <w:szCs w:val="24"/>
          <w:shd w:val="clear" w:color="auto" w:fill="FFFFFF"/>
        </w:rPr>
        <w:t>SchMIDT</w:t>
      </w:r>
      <w:proofErr w:type="spellEnd"/>
      <w:r w:rsidRPr="0003587A">
        <w:rPr>
          <w:rFonts w:ascii="Calibri" w:hAnsi="Calibri" w:cs="Calibri"/>
          <w:color w:val="222222"/>
          <w:sz w:val="24"/>
          <w:szCs w:val="24"/>
          <w:shd w:val="clear" w:color="auto" w:fill="FFFFFF"/>
        </w:rPr>
        <w:t xml:space="preserve"> REF EWM DEV).</w:t>
      </w:r>
    </w:p>
    <w:p w14:paraId="0A00C5AD" w14:textId="77777777" w:rsidR="0003587A" w:rsidRPr="00840A2C" w:rsidRDefault="0003587A" w:rsidP="00285C0A">
      <w:pPr>
        <w:autoSpaceDE w:val="0"/>
        <w:autoSpaceDN w:val="0"/>
        <w:adjustRightInd w:val="0"/>
        <w:spacing w:after="0" w:line="240" w:lineRule="auto"/>
        <w:jc w:val="both"/>
        <w:rPr>
          <w:rFonts w:ascii="Calibri" w:hAnsi="Calibri" w:cs="Calibri"/>
        </w:rPr>
      </w:pPr>
    </w:p>
    <w:p w14:paraId="42A3BAD6" w14:textId="77777777" w:rsidR="00285C0A" w:rsidRPr="00840A2C" w:rsidRDefault="00285C0A" w:rsidP="00285C0A">
      <w:pPr>
        <w:autoSpaceDE w:val="0"/>
        <w:autoSpaceDN w:val="0"/>
        <w:adjustRightInd w:val="0"/>
        <w:spacing w:after="0" w:line="240" w:lineRule="auto"/>
        <w:jc w:val="both"/>
        <w:rPr>
          <w:rFonts w:ascii="Calibri" w:hAnsi="Calibri" w:cs="Calibri"/>
        </w:rPr>
      </w:pPr>
      <w:r w:rsidRPr="0003587A">
        <w:rPr>
          <w:rFonts w:ascii="Calibri" w:hAnsi="Calibri" w:cs="Calibri"/>
          <w:sz w:val="24"/>
          <w:szCs w:val="24"/>
        </w:rPr>
        <w:t>The full R script and the link to my GitHub repository can be found in the appendices.</w:t>
      </w:r>
    </w:p>
    <w:p w14:paraId="52D044B4" w14:textId="6A1BBEC5" w:rsidR="009106EE" w:rsidRPr="00840A2C" w:rsidRDefault="009106EE">
      <w:pPr>
        <w:rPr>
          <w:rFonts w:ascii="Calibri" w:hAnsi="Calibri" w:cs="Calibri"/>
        </w:rPr>
      </w:pPr>
      <w:r w:rsidRPr="00840A2C">
        <w:rPr>
          <w:rFonts w:ascii="Calibri" w:hAnsi="Calibri" w:cs="Calibri"/>
        </w:rPr>
        <w:br w:type="page"/>
      </w:r>
    </w:p>
    <w:p w14:paraId="55BB4A09" w14:textId="77777777" w:rsidR="009106EE" w:rsidRPr="00083F0C" w:rsidRDefault="009106EE" w:rsidP="00083F0C">
      <w:pPr>
        <w:pStyle w:val="Heading1"/>
      </w:pPr>
      <w:bookmarkStart w:id="33" w:name="_Toc173164299"/>
      <w:r w:rsidRPr="00083F0C">
        <w:lastRenderedPageBreak/>
        <w:t>Results</w:t>
      </w:r>
      <w:bookmarkEnd w:id="33"/>
      <w:r w:rsidRPr="00083F0C">
        <w:t xml:space="preserve"> </w:t>
      </w:r>
    </w:p>
    <w:p w14:paraId="0D14266C" w14:textId="218ABAC6" w:rsidR="009106EE" w:rsidRPr="00083F0C" w:rsidRDefault="009106EE" w:rsidP="00083F0C">
      <w:pPr>
        <w:pStyle w:val="Heading2"/>
      </w:pPr>
      <w:bookmarkStart w:id="34" w:name="_Toc173164300"/>
      <w:r w:rsidRPr="00083F0C">
        <w:t>Sustainability competencies as sustainability attitude</w:t>
      </w:r>
      <w:r w:rsidR="00236133">
        <w:t>s</w:t>
      </w:r>
      <w:r w:rsidRPr="00083F0C">
        <w:t xml:space="preserve"> and sustainability behaviour</w:t>
      </w:r>
      <w:r w:rsidR="00236133">
        <w:t>s</w:t>
      </w:r>
      <w:r w:rsidRPr="00083F0C">
        <w:t xml:space="preserve"> (TPB-based) (Research Question 1)</w:t>
      </w:r>
      <w:bookmarkEnd w:id="34"/>
    </w:p>
    <w:p w14:paraId="3B552BF9" w14:textId="15E4E47B" w:rsidR="001024AF" w:rsidRDefault="001024AF" w:rsidP="001024AF">
      <w:pPr>
        <w:jc w:val="both"/>
        <w:rPr>
          <w:sz w:val="24"/>
          <w:szCs w:val="24"/>
        </w:rPr>
      </w:pPr>
      <w:r w:rsidRPr="001024AF">
        <w:rPr>
          <w:sz w:val="24"/>
          <w:szCs w:val="24"/>
        </w:rPr>
        <w:t xml:space="preserve">Contrary to my prediction, I found that one year after the ESD intervention, sustainability attitudes and sustainability behaviours did not increase for either the involved or the control group (Figure XX) across the 206 surveys (see Figure X). I found no statistical differences between time points within any group (see Appendix XX for statistical results).  In line with my predictions, I found that the involved group (n=7) reported (some) statistically higher sustainability attitudes and behaviours (cumulative SA/SB and SB) than the control group one year after the intervention (see Figure X and Table X for statistical outputs). For all scales, I observed a peak at the second measurement point (immediately </w:t>
      </w:r>
      <w:r w:rsidR="006C07E3">
        <w:rPr>
          <w:sz w:val="24"/>
          <w:szCs w:val="24"/>
        </w:rPr>
        <w:t>post-</w:t>
      </w:r>
      <w:r w:rsidRPr="001024AF">
        <w:rPr>
          <w:sz w:val="24"/>
          <w:szCs w:val="24"/>
        </w:rPr>
        <w:t xml:space="preserve">intervention) for the involved group, with scores significantly higher than those of the control group (Figure XX). The involved group reported higher mean scores than the control group for all sustainability competencies at all </w:t>
      </w:r>
      <w:r w:rsidR="00341E32">
        <w:rPr>
          <w:sz w:val="24"/>
          <w:szCs w:val="24"/>
        </w:rPr>
        <w:t>measurement</w:t>
      </w:r>
      <w:r w:rsidRPr="001024AF">
        <w:rPr>
          <w:sz w:val="24"/>
          <w:szCs w:val="24"/>
        </w:rPr>
        <w:t xml:space="preserve"> points. </w:t>
      </w:r>
      <w:r w:rsidR="00341E32">
        <w:rPr>
          <w:sz w:val="24"/>
          <w:szCs w:val="24"/>
        </w:rPr>
        <w:t>Pre-intervention</w:t>
      </w:r>
      <w:r w:rsidRPr="001024AF">
        <w:rPr>
          <w:sz w:val="24"/>
          <w:szCs w:val="24"/>
        </w:rPr>
        <w:t xml:space="preserve"> and one year </w:t>
      </w:r>
      <w:r w:rsidR="00341E32">
        <w:rPr>
          <w:sz w:val="24"/>
          <w:szCs w:val="24"/>
        </w:rPr>
        <w:t>post-i</w:t>
      </w:r>
      <w:r w:rsidRPr="001024AF">
        <w:rPr>
          <w:sz w:val="24"/>
          <w:szCs w:val="24"/>
        </w:rPr>
        <w:t>ntervention, the reported behaviour, intention and cumulative TPB scores differed significantly between the groups. Surprisingly, for the involved group, all reported sustainability competenc</w:t>
      </w:r>
      <w:r w:rsidR="006315A1">
        <w:rPr>
          <w:sz w:val="24"/>
          <w:szCs w:val="24"/>
        </w:rPr>
        <w:t>i</w:t>
      </w:r>
      <w:r w:rsidRPr="001024AF">
        <w:rPr>
          <w:sz w:val="24"/>
          <w:szCs w:val="24"/>
        </w:rPr>
        <w:t xml:space="preserve">es peaked immediately </w:t>
      </w:r>
      <w:r w:rsidR="00341E32">
        <w:rPr>
          <w:sz w:val="24"/>
          <w:szCs w:val="24"/>
        </w:rPr>
        <w:t>post-</w:t>
      </w:r>
      <w:r w:rsidRPr="001024AF">
        <w:rPr>
          <w:sz w:val="24"/>
          <w:szCs w:val="24"/>
        </w:rPr>
        <w:t>intervention (</w:t>
      </w:r>
      <w:r w:rsidR="00341E32">
        <w:rPr>
          <w:sz w:val="24"/>
          <w:szCs w:val="24"/>
        </w:rPr>
        <w:t>MP</w:t>
      </w:r>
      <w:r w:rsidRPr="001024AF">
        <w:rPr>
          <w:sz w:val="24"/>
          <w:szCs w:val="24"/>
        </w:rPr>
        <w:t>2) but decreased again one year after the intervention (</w:t>
      </w:r>
      <w:r w:rsidR="00341E32">
        <w:rPr>
          <w:sz w:val="24"/>
          <w:szCs w:val="24"/>
        </w:rPr>
        <w:t>MP</w:t>
      </w:r>
      <w:r w:rsidRPr="001024AF">
        <w:rPr>
          <w:sz w:val="24"/>
          <w:szCs w:val="24"/>
        </w:rPr>
        <w:t>3).</w:t>
      </w:r>
    </w:p>
    <w:p w14:paraId="77FFE3FC" w14:textId="452DBAE2" w:rsidR="009106EE" w:rsidRPr="00891972" w:rsidRDefault="000E75D1" w:rsidP="001024AF">
      <w:pPr>
        <w:jc w:val="both"/>
        <w:rPr>
          <w:sz w:val="24"/>
          <w:szCs w:val="24"/>
        </w:rPr>
      </w:pPr>
      <w:r w:rsidRPr="000E75D1">
        <w:rPr>
          <w:sz w:val="24"/>
          <w:szCs w:val="24"/>
        </w:rPr>
        <w:drawing>
          <wp:inline distT="0" distB="0" distL="0" distR="0" wp14:anchorId="336F6F25" wp14:editId="25995802">
            <wp:extent cx="5366825" cy="3869612"/>
            <wp:effectExtent l="0" t="0" r="5715" b="0"/>
            <wp:docPr id="1057496305" name="Picture 1" descr="A group of graphs showing different levels of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96305" name="Picture 1" descr="A group of graphs showing different levels of results&#10;&#10;Description automatically generated with medium confidence"/>
                    <pic:cNvPicPr/>
                  </pic:nvPicPr>
                  <pic:blipFill>
                    <a:blip r:embed="rId12"/>
                    <a:stretch>
                      <a:fillRect/>
                    </a:stretch>
                  </pic:blipFill>
                  <pic:spPr>
                    <a:xfrm>
                      <a:off x="0" y="0"/>
                      <a:ext cx="5373440" cy="3874382"/>
                    </a:xfrm>
                    <a:prstGeom prst="rect">
                      <a:avLst/>
                    </a:prstGeom>
                  </pic:spPr>
                </pic:pic>
              </a:graphicData>
            </a:graphic>
          </wp:inline>
        </w:drawing>
      </w:r>
    </w:p>
    <w:p w14:paraId="01C26F78" w14:textId="37914625"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The components of sustainability competenc</w:t>
      </w:r>
      <w:r w:rsidR="006315A1">
        <w:rPr>
          <w:rFonts w:ascii="Calibri" w:hAnsi="Calibri" w:cs="Calibri"/>
        </w:rPr>
        <w:t>i</w:t>
      </w:r>
      <w:r w:rsidR="001B5505" w:rsidRPr="001B5505">
        <w:rPr>
          <w:rFonts w:ascii="Calibri" w:hAnsi="Calibri" w:cs="Calibri"/>
        </w:rPr>
        <w:t xml:space="preserve">es differed between the groups of </w:t>
      </w:r>
      <w:r w:rsidR="00A401E2">
        <w:rPr>
          <w:rFonts w:ascii="Calibri" w:hAnsi="Calibri" w:cs="Calibri"/>
        </w:rPr>
        <w:t>206</w:t>
      </w:r>
      <w:r w:rsidR="001B5505" w:rsidRPr="001B5505">
        <w:rPr>
          <w:rFonts w:ascii="Calibri" w:hAnsi="Calibri" w:cs="Calibri"/>
        </w:rPr>
        <w:t xml:space="preserve">  students surveyed using the Wilcoxon test for significance (see Table XX for full test results). Points represent calculated means from self-reported surveys. Error bars indicate 95% confidence intervals. </w:t>
      </w:r>
      <w:r w:rsidR="00A401E2">
        <w:rPr>
          <w:rFonts w:ascii="Calibri" w:hAnsi="Calibri" w:cs="Calibri"/>
        </w:rPr>
        <w:t xml:space="preserve">Data labels n </w:t>
      </w:r>
      <w:r w:rsidR="006E793B">
        <w:rPr>
          <w:rFonts w:ascii="Calibri" w:hAnsi="Calibri" w:cs="Calibri"/>
        </w:rPr>
        <w:t>indicate</w:t>
      </w:r>
      <w:r w:rsidR="00A401E2">
        <w:rPr>
          <w:rFonts w:ascii="Calibri" w:hAnsi="Calibri" w:cs="Calibri"/>
        </w:rPr>
        <w:t xml:space="preserve"> sample size</w:t>
      </w:r>
      <w:r w:rsidR="00A401E2">
        <w:rPr>
          <w:rFonts w:ascii="Calibri" w:hAnsi="Calibri" w:cs="Calibri"/>
        </w:rPr>
        <w:t>.</w:t>
      </w:r>
      <w:r w:rsidR="00A401E2" w:rsidRPr="001B5505">
        <w:rPr>
          <w:rFonts w:ascii="Calibri" w:hAnsi="Calibri" w:cs="Calibri"/>
        </w:rPr>
        <w:t xml:space="preserve"> </w:t>
      </w:r>
      <w:r w:rsidR="001B5505" w:rsidRPr="001B5505">
        <w:rPr>
          <w:rFonts w:ascii="Calibri" w:hAnsi="Calibri" w:cs="Calibri"/>
        </w:rPr>
        <w:t xml:space="preserve">Stars indicate the level of significance obtained from the Wilcoxon signed rank test comparing the groups. See Table XX for the meaning of the number of stars. No significant differences were found between the </w:t>
      </w:r>
      <w:r w:rsidR="00341E32">
        <w:rPr>
          <w:rFonts w:ascii="Calibri" w:hAnsi="Calibri" w:cs="Calibri"/>
        </w:rPr>
        <w:t>measurement</w:t>
      </w:r>
      <w:r w:rsidR="001B5505" w:rsidRPr="001B5505">
        <w:rPr>
          <w:rFonts w:ascii="Calibri" w:hAnsi="Calibri" w:cs="Calibri"/>
        </w:rPr>
        <w:t xml:space="preserve"> points using the Kruskal-</w:t>
      </w:r>
      <w:proofErr w:type="gramStart"/>
      <w:r w:rsidR="001B5505" w:rsidRPr="001B5505">
        <w:rPr>
          <w:rFonts w:ascii="Calibri" w:hAnsi="Calibri" w:cs="Calibri"/>
        </w:rPr>
        <w:t>Wallis</w:t>
      </w:r>
      <w:proofErr w:type="gramEnd"/>
      <w:r w:rsidR="001B5505" w:rsidRPr="001B5505">
        <w:rPr>
          <w:rFonts w:ascii="Calibri" w:hAnsi="Calibri" w:cs="Calibri"/>
        </w:rPr>
        <w:t xml:space="preserve"> test.</w:t>
      </w:r>
    </w:p>
    <w:p w14:paraId="4103A6D4" w14:textId="0A035E0C" w:rsidR="00456A5A" w:rsidRPr="008D1FE9" w:rsidRDefault="00456A5A" w:rsidP="008D1FE9">
      <w:pPr>
        <w:pStyle w:val="Heading2"/>
      </w:pPr>
      <w:bookmarkStart w:id="35" w:name="_Toc173164301"/>
      <w:r w:rsidRPr="008D1FE9">
        <w:lastRenderedPageBreak/>
        <w:t>Sustainability attitude</w:t>
      </w:r>
      <w:r w:rsidR="008D1FE9">
        <w:t>s</w:t>
      </w:r>
      <w:r w:rsidRPr="008D1FE9">
        <w:t>/ sustainability behaviour</w:t>
      </w:r>
      <w:r w:rsidR="008D1FE9">
        <w:t>s</w:t>
      </w:r>
      <w:r w:rsidRPr="008D1FE9">
        <w:t xml:space="preserve"> (TPB-based) and efficacy beliefs (Research Question 2)</w:t>
      </w:r>
      <w:bookmarkEnd w:id="35"/>
    </w:p>
    <w:p w14:paraId="2208D300" w14:textId="77777777" w:rsidR="00B178A8" w:rsidRDefault="00576E9D" w:rsidP="00B178A8">
      <w:pPr>
        <w:jc w:val="both"/>
        <w:rPr>
          <w:rFonts w:ascii="Calibri" w:hAnsi="Calibri" w:cs="Calibri"/>
          <w:sz w:val="24"/>
          <w:szCs w:val="24"/>
        </w:rPr>
      </w:pPr>
      <w:r w:rsidRPr="00FE7986">
        <w:rPr>
          <w:sz w:val="24"/>
          <w:szCs w:val="24"/>
        </w:rPr>
        <w:t xml:space="preserve">I found a strong positive relationship between the scales of sustainability attitudes and sustainability behaviours operationalised with the theory of planned behaviour and the scales operationalised with the construct of efficacy beliefs </w:t>
      </w:r>
      <w:r w:rsidR="009106EE" w:rsidRPr="00FE7986">
        <w:rPr>
          <w:rFonts w:ascii="Calibri" w:hAnsi="Calibri" w:cs="Calibri"/>
          <w:sz w:val="24"/>
          <w:szCs w:val="24"/>
        </w:rPr>
        <w:t>(</w:t>
      </w:r>
      <w:r w:rsidR="009106EE" w:rsidRPr="00FE7986">
        <w:rPr>
          <w:rFonts w:ascii="Calibri" w:hAnsi="Calibri" w:cs="Calibri"/>
          <w:i/>
          <w:iCs/>
          <w:sz w:val="24"/>
          <w:szCs w:val="24"/>
        </w:rPr>
        <w:t xml:space="preserve">r </w:t>
      </w:r>
      <w:r w:rsidR="009106EE" w:rsidRPr="00FE7986">
        <w:rPr>
          <w:rFonts w:ascii="Calibri" w:hAnsi="Calibri" w:cs="Calibri"/>
          <w:sz w:val="24"/>
          <w:szCs w:val="24"/>
        </w:rPr>
        <w:t xml:space="preserve">(47) = .79, p &lt; .001, Figure X, see Table X for statistical </w:t>
      </w:r>
      <w:r w:rsidRPr="00FE7986">
        <w:rPr>
          <w:rFonts w:ascii="Calibri" w:hAnsi="Calibri" w:cs="Calibri"/>
          <w:sz w:val="24"/>
          <w:szCs w:val="24"/>
        </w:rPr>
        <w:t>results</w:t>
      </w:r>
      <w:r w:rsidR="009106EE" w:rsidRPr="00FE7986">
        <w:rPr>
          <w:rFonts w:ascii="Calibri" w:hAnsi="Calibri" w:cs="Calibri"/>
          <w:sz w:val="24"/>
          <w:szCs w:val="24"/>
        </w:rPr>
        <w:t xml:space="preserve">). </w:t>
      </w:r>
    </w:p>
    <w:p w14:paraId="56A3BDBD" w14:textId="38655208" w:rsidR="009106EE" w:rsidRPr="00B178A8" w:rsidRDefault="00B178A8" w:rsidP="00B178A8">
      <w:pPr>
        <w:jc w:val="both"/>
        <w:rPr>
          <w:rFonts w:ascii="Calibri" w:hAnsi="Calibri" w:cs="Calibri"/>
        </w:rPr>
      </w:pPr>
      <w:r>
        <w:rPr>
          <w:noProof/>
        </w:rPr>
        <w:drawing>
          <wp:inline distT="0" distB="0" distL="0" distR="0" wp14:anchorId="6D6CBD98" wp14:editId="47937586">
            <wp:extent cx="5760720" cy="4114800"/>
            <wp:effectExtent l="0" t="0" r="0" b="0"/>
            <wp:docPr id="1717241449" name="Picture 1" descr="A graph of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41449" name="Picture 1" descr="A graph of green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62B2EC33" w14:textId="30C8299E"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 xml:space="preserve">The Theory of Planned Behaviour Sustainability Attitudes and Behaviours scales and the Efficacy Beliefs scales capture the same underlying construct and show a strong positive relationship among the </w:t>
      </w:r>
      <w:r w:rsidR="00004199">
        <w:rPr>
          <w:rFonts w:ascii="Calibri" w:hAnsi="Calibri" w:cs="Calibri"/>
        </w:rPr>
        <w:t>49 students</w:t>
      </w:r>
      <w:r w:rsidR="001B5505" w:rsidRPr="001B5505">
        <w:rPr>
          <w:rFonts w:ascii="Calibri" w:hAnsi="Calibri" w:cs="Calibri"/>
        </w:rPr>
        <w:t xml:space="preserve"> </w:t>
      </w:r>
      <w:r w:rsidR="00004199">
        <w:rPr>
          <w:rFonts w:ascii="Calibri" w:hAnsi="Calibri" w:cs="Calibri"/>
        </w:rPr>
        <w:t>surveyed</w:t>
      </w:r>
      <w:r w:rsidR="001B5505" w:rsidRPr="001B5505">
        <w:rPr>
          <w:rFonts w:ascii="Calibri" w:hAnsi="Calibri" w:cs="Calibri"/>
        </w:rPr>
        <w:t>, tested with Spearman's rank correlation (see Table X for full statistical results). Points represent raw data. The line represents the calculated Spearman's rank correlation.</w:t>
      </w:r>
    </w:p>
    <w:p w14:paraId="051C59FD" w14:textId="77777777" w:rsidR="009106EE" w:rsidRPr="00840A2C" w:rsidRDefault="009106EE" w:rsidP="00456A5A">
      <w:pPr>
        <w:pStyle w:val="Heading2"/>
        <w:rPr>
          <w:rFonts w:ascii="Calibri" w:hAnsi="Calibri" w:cs="Calibri"/>
        </w:rPr>
      </w:pPr>
      <w:bookmarkStart w:id="36" w:name="_Toc173164302"/>
      <w:r w:rsidRPr="00840A2C">
        <w:rPr>
          <w:rFonts w:ascii="Calibri" w:hAnsi="Calibri" w:cs="Calibri"/>
        </w:rPr>
        <w:t>Sustainability competencies as efficacy beliefs (Research Question 3)</w:t>
      </w:r>
      <w:bookmarkEnd w:id="36"/>
    </w:p>
    <w:p w14:paraId="2BB5033F" w14:textId="77777777" w:rsidR="009106EE" w:rsidRPr="001B5505" w:rsidRDefault="009106EE" w:rsidP="001B5505">
      <w:pPr>
        <w:pStyle w:val="Heading3"/>
      </w:pPr>
      <w:bookmarkStart w:id="37" w:name="_Toc173164303"/>
      <w:r w:rsidRPr="001B5505">
        <w:t>Personal and collective efficacy beliefs</w:t>
      </w:r>
      <w:bookmarkEnd w:id="37"/>
    </w:p>
    <w:p w14:paraId="408B17A8" w14:textId="3103AA2C" w:rsidR="001B5505" w:rsidRDefault="001B5505" w:rsidP="001B5505">
      <w:pPr>
        <w:jc w:val="both"/>
        <w:rPr>
          <w:rFonts w:ascii="Calibri" w:hAnsi="Calibri" w:cs="Calibri"/>
          <w:sz w:val="24"/>
          <w:szCs w:val="24"/>
        </w:rPr>
      </w:pPr>
      <w:r w:rsidRPr="001B5505">
        <w:rPr>
          <w:rFonts w:ascii="Calibri" w:hAnsi="Calibri" w:cs="Calibri"/>
          <w:sz w:val="24"/>
          <w:szCs w:val="24"/>
        </w:rPr>
        <w:t xml:space="preserve">Contrary to my predictions, I found no statistical differences between personal and collective efficacy beliefs within and between the involved and control groups (Figure XX) among the XX students surveyed at </w:t>
      </w:r>
      <w:r w:rsidR="00750637">
        <w:rPr>
          <w:rFonts w:ascii="Calibri" w:hAnsi="Calibri" w:cs="Calibri"/>
          <w:sz w:val="24"/>
          <w:szCs w:val="24"/>
        </w:rPr>
        <w:t>measurement</w:t>
      </w:r>
      <w:r w:rsidRPr="001B5505">
        <w:rPr>
          <w:rFonts w:ascii="Calibri" w:hAnsi="Calibri" w:cs="Calibri"/>
          <w:sz w:val="24"/>
          <w:szCs w:val="24"/>
        </w:rPr>
        <w:t xml:space="preserve"> point 3. The reported mean scores of the involved group were higher than those of the control group for both collective and personal efficacy beliefs. Overall, I did not find any statistical differences and the means were all very close to each other. There were some differences between each pair of questions within the groups (see Figure XX in Appendix X).</w:t>
      </w:r>
    </w:p>
    <w:p w14:paraId="709A0500" w14:textId="3F311366" w:rsidR="009106EE" w:rsidRPr="00A00C05" w:rsidRDefault="00B24BE3" w:rsidP="00A00C05">
      <w:pPr>
        <w:jc w:val="both"/>
        <w:rPr>
          <w:rFonts w:ascii="Calibri" w:hAnsi="Calibri" w:cs="Calibri"/>
          <w:sz w:val="24"/>
          <w:szCs w:val="24"/>
        </w:rPr>
      </w:pPr>
      <w:r w:rsidRPr="00B24BE3">
        <w:rPr>
          <w:rFonts w:ascii="Calibri" w:hAnsi="Calibri" w:cs="Calibri"/>
          <w:sz w:val="24"/>
          <w:szCs w:val="24"/>
        </w:rPr>
        <w:lastRenderedPageBreak/>
        <w:drawing>
          <wp:inline distT="0" distB="0" distL="0" distR="0" wp14:anchorId="0D84DD0A" wp14:editId="09F7E1FF">
            <wp:extent cx="5923345" cy="4002259"/>
            <wp:effectExtent l="0" t="0" r="1270" b="0"/>
            <wp:docPr id="298491537" name="Picture 1" descr="A comparison of a group of people's r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91537" name="Picture 1" descr="A comparison of a group of people's rights&#10;&#10;Description automatically generated with medium confidence"/>
                    <pic:cNvPicPr/>
                  </pic:nvPicPr>
                  <pic:blipFill>
                    <a:blip r:embed="rId14"/>
                    <a:stretch>
                      <a:fillRect/>
                    </a:stretch>
                  </pic:blipFill>
                  <pic:spPr>
                    <a:xfrm>
                      <a:off x="0" y="0"/>
                      <a:ext cx="5934689" cy="4009924"/>
                    </a:xfrm>
                    <a:prstGeom prst="rect">
                      <a:avLst/>
                    </a:prstGeom>
                  </pic:spPr>
                </pic:pic>
              </a:graphicData>
            </a:graphic>
          </wp:inline>
        </w:drawing>
      </w:r>
    </w:p>
    <w:p w14:paraId="35D1509F" w14:textId="18CF5F78"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Reported personal and collective efficacy beliefs were not significantly different within and between the involved and control groups (see Table XX for full statistical test results) using the Wilcoxon sign ranked test</w:t>
      </w:r>
      <w:r w:rsidR="00750637">
        <w:rPr>
          <w:rFonts w:ascii="Calibri" w:hAnsi="Calibri" w:cs="Calibri"/>
        </w:rPr>
        <w:t xml:space="preserve"> at measurement point 3</w:t>
      </w:r>
      <w:r w:rsidR="001B5505" w:rsidRPr="001B5505">
        <w:rPr>
          <w:rFonts w:ascii="Calibri" w:hAnsi="Calibri" w:cs="Calibri"/>
        </w:rPr>
        <w:t>. Bars represent calculated means from the self-report survey. Error bars indicate 95% confidence intervals.</w:t>
      </w:r>
      <w:r w:rsidR="006E793B">
        <w:rPr>
          <w:rFonts w:ascii="Calibri" w:hAnsi="Calibri" w:cs="Calibri"/>
        </w:rPr>
        <w:t xml:space="preserve"> </w:t>
      </w:r>
      <w:r w:rsidR="006E793B">
        <w:rPr>
          <w:rFonts w:ascii="Calibri" w:hAnsi="Calibri" w:cs="Calibri"/>
        </w:rPr>
        <w:t xml:space="preserve">Data labels n </w:t>
      </w:r>
      <w:r w:rsidR="006E793B">
        <w:rPr>
          <w:rFonts w:ascii="Calibri" w:hAnsi="Calibri" w:cs="Calibri"/>
        </w:rPr>
        <w:t>indicate</w:t>
      </w:r>
      <w:r w:rsidR="006E793B">
        <w:rPr>
          <w:rFonts w:ascii="Calibri" w:hAnsi="Calibri" w:cs="Calibri"/>
        </w:rPr>
        <w:t xml:space="preserve"> sample size.</w:t>
      </w:r>
    </w:p>
    <w:p w14:paraId="3A0EBC7A" w14:textId="5644587A" w:rsidR="009106EE" w:rsidRPr="001B5505" w:rsidRDefault="009106EE" w:rsidP="001B5505">
      <w:pPr>
        <w:pStyle w:val="Heading3"/>
      </w:pPr>
      <w:bookmarkStart w:id="38" w:name="_Toc173164304"/>
      <w:r w:rsidRPr="001B5505">
        <w:t>Aim</w:t>
      </w:r>
      <w:r w:rsidR="00236133">
        <w:t>-</w:t>
      </w:r>
      <w:r w:rsidRPr="001B5505">
        <w:t xml:space="preserve"> and action</w:t>
      </w:r>
      <w:r w:rsidR="00236133">
        <w:t>-</w:t>
      </w:r>
      <w:r w:rsidRPr="001B5505">
        <w:t>focussed efficacy beliefs</w:t>
      </w:r>
      <w:bookmarkEnd w:id="38"/>
    </w:p>
    <w:p w14:paraId="496CCB6D" w14:textId="77777777" w:rsidR="00CA6C52" w:rsidRDefault="00FD5518" w:rsidP="00406B61">
      <w:pPr>
        <w:jc w:val="both"/>
        <w:rPr>
          <w:sz w:val="24"/>
          <w:szCs w:val="24"/>
        </w:rPr>
      </w:pPr>
      <w:r w:rsidRPr="00FD5518">
        <w:rPr>
          <w:sz w:val="24"/>
          <w:szCs w:val="24"/>
        </w:rPr>
        <w:t>In line with my predictions, I found that the involved group reported significantly higher scores for aim-focus than the control group (W = 8, p &lt; .05, Figure X, see Table X for statistical results)</w:t>
      </w:r>
      <w:r w:rsidR="00750637">
        <w:rPr>
          <w:sz w:val="24"/>
          <w:szCs w:val="24"/>
        </w:rPr>
        <w:t xml:space="preserve"> at measurement point 3</w:t>
      </w:r>
      <w:r w:rsidRPr="00FD5518">
        <w:rPr>
          <w:sz w:val="24"/>
          <w:szCs w:val="24"/>
        </w:rPr>
        <w:t>. Although the involved group also scored higher on the action-focus, there were no statistical differences (W = 1, p &gt; .05). I found no differences between the action and aim scores for the involved group (W = 1, p &gt; .05) or the control group (W = 1, p &gt; .05).</w:t>
      </w:r>
    </w:p>
    <w:p w14:paraId="4572873F" w14:textId="6FA98EC5" w:rsidR="009106EE" w:rsidRPr="00406B61" w:rsidRDefault="00CA6C52" w:rsidP="00406B61">
      <w:pPr>
        <w:jc w:val="both"/>
        <w:rPr>
          <w:sz w:val="24"/>
          <w:szCs w:val="24"/>
        </w:rPr>
      </w:pPr>
      <w:r>
        <w:rPr>
          <w:rFonts w:ascii="Calibri" w:hAnsi="Calibri" w:cs="Calibri"/>
        </w:rPr>
        <w:lastRenderedPageBreak/>
        <w:br/>
      </w:r>
      <w:r w:rsidRPr="00CA6C52">
        <w:rPr>
          <w:rFonts w:ascii="Calibri" w:hAnsi="Calibri" w:cs="Calibri"/>
        </w:rPr>
        <w:drawing>
          <wp:inline distT="0" distB="0" distL="0" distR="0" wp14:anchorId="783487B1" wp14:editId="53122845">
            <wp:extent cx="6050943" cy="4160488"/>
            <wp:effectExtent l="0" t="0" r="6985" b="0"/>
            <wp:docPr id="1165336678" name="Picture 1" descr="A comparison of gray and purpl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36678" name="Picture 1" descr="A comparison of gray and purple rectangular bars&#10;&#10;Description automatically generated"/>
                    <pic:cNvPicPr/>
                  </pic:nvPicPr>
                  <pic:blipFill>
                    <a:blip r:embed="rId15"/>
                    <a:stretch>
                      <a:fillRect/>
                    </a:stretch>
                  </pic:blipFill>
                  <pic:spPr>
                    <a:xfrm>
                      <a:off x="0" y="0"/>
                      <a:ext cx="6063518" cy="4169134"/>
                    </a:xfrm>
                    <a:prstGeom prst="rect">
                      <a:avLst/>
                    </a:prstGeom>
                  </pic:spPr>
                </pic:pic>
              </a:graphicData>
            </a:graphic>
          </wp:inline>
        </w:drawing>
      </w:r>
      <w:r w:rsidR="009106EE" w:rsidRPr="00840A2C">
        <w:rPr>
          <w:rFonts w:ascii="Calibri" w:hAnsi="Calibri" w:cs="Calibri"/>
        </w:rPr>
        <w:t xml:space="preserve">Figure XX: </w:t>
      </w:r>
      <w:r w:rsidR="00C1398E" w:rsidRPr="00C1398E">
        <w:rPr>
          <w:rFonts w:ascii="Calibri" w:hAnsi="Calibri" w:cs="Calibri"/>
        </w:rPr>
        <w:t>The aim-focused aspect of efficacy beliefs was significantly higher for the involved group than the control group across the XX students surveyed using the Wilcoxon signed rank test</w:t>
      </w:r>
      <w:r w:rsidR="00750637">
        <w:rPr>
          <w:rFonts w:ascii="Calibri" w:hAnsi="Calibri" w:cs="Calibri"/>
        </w:rPr>
        <w:t xml:space="preserve"> at measurement point 3</w:t>
      </w:r>
      <w:r w:rsidR="00C1398E" w:rsidRPr="00C1398E">
        <w:rPr>
          <w:rFonts w:ascii="Calibri" w:hAnsi="Calibri" w:cs="Calibri"/>
        </w:rPr>
        <w:t>. The action-focused aspect and the within-group comparison were not significantly different. Bars represent calculated means from the self-report survey. Error bars indicate 95% confidence intervals.</w:t>
      </w:r>
      <w:r w:rsidR="006E793B">
        <w:rPr>
          <w:rFonts w:ascii="Calibri" w:hAnsi="Calibri" w:cs="Calibri"/>
        </w:rPr>
        <w:t xml:space="preserve"> </w:t>
      </w:r>
      <w:r w:rsidR="006E793B">
        <w:rPr>
          <w:rFonts w:ascii="Calibri" w:hAnsi="Calibri" w:cs="Calibri"/>
        </w:rPr>
        <w:t xml:space="preserve">Data labels n </w:t>
      </w:r>
      <w:r w:rsidR="006E793B">
        <w:rPr>
          <w:rFonts w:ascii="Calibri" w:hAnsi="Calibri" w:cs="Calibri"/>
        </w:rPr>
        <w:t>indicate</w:t>
      </w:r>
      <w:r w:rsidR="006E793B">
        <w:rPr>
          <w:rFonts w:ascii="Calibri" w:hAnsi="Calibri" w:cs="Calibri"/>
        </w:rPr>
        <w:t xml:space="preserve"> sample size.</w:t>
      </w:r>
      <w:r w:rsidR="006E793B" w:rsidRPr="001B5505">
        <w:rPr>
          <w:rFonts w:ascii="Calibri" w:hAnsi="Calibri" w:cs="Calibri"/>
        </w:rPr>
        <w:t xml:space="preserve"> Stars indicate the level of significance obtained from the Wilcoxon signed rank test comparing the groups. See Table XX for the meaning of the number of stars. </w:t>
      </w:r>
      <w:r w:rsidR="009106EE" w:rsidRPr="00840A2C">
        <w:rPr>
          <w:rFonts w:ascii="Calibri" w:hAnsi="Calibri" w:cs="Calibri"/>
        </w:rPr>
        <w:br w:type="page"/>
      </w:r>
    </w:p>
    <w:p w14:paraId="17E10361" w14:textId="77777777" w:rsidR="00D95459" w:rsidRPr="00840A2C" w:rsidRDefault="00D95459" w:rsidP="00D95459">
      <w:pPr>
        <w:pStyle w:val="Heading1"/>
        <w:rPr>
          <w:rFonts w:ascii="Calibri" w:hAnsi="Calibri" w:cs="Calibri"/>
        </w:rPr>
      </w:pPr>
      <w:bookmarkStart w:id="39" w:name="_Toc173164305"/>
      <w:r w:rsidRPr="00840A2C">
        <w:rPr>
          <w:rFonts w:ascii="Calibri" w:hAnsi="Calibri" w:cs="Calibri"/>
        </w:rPr>
        <w:lastRenderedPageBreak/>
        <w:t>Discussion</w:t>
      </w:r>
      <w:bookmarkEnd w:id="39"/>
    </w:p>
    <w:p w14:paraId="2E4B55BD" w14:textId="77777777" w:rsidR="00D95459" w:rsidRPr="00840A2C" w:rsidRDefault="00D95459" w:rsidP="00D95459">
      <w:pPr>
        <w:pStyle w:val="Heading2"/>
        <w:rPr>
          <w:rFonts w:ascii="Calibri" w:hAnsi="Calibri" w:cs="Calibri"/>
        </w:rPr>
      </w:pPr>
      <w:bookmarkStart w:id="40" w:name="_Toc173164306"/>
      <w:r w:rsidRPr="00840A2C">
        <w:rPr>
          <w:rFonts w:ascii="Calibri" w:hAnsi="Calibri" w:cs="Calibri"/>
        </w:rPr>
        <w:t>Overview</w:t>
      </w:r>
      <w:bookmarkEnd w:id="40"/>
    </w:p>
    <w:p w14:paraId="061DBEEC" w14:textId="24067D99" w:rsidR="004E0D5E" w:rsidRDefault="004E0D5E" w:rsidP="00D95459">
      <w:pPr>
        <w:jc w:val="both"/>
        <w:rPr>
          <w:rFonts w:ascii="Calibri" w:hAnsi="Calibri" w:cs="Calibri"/>
          <w:sz w:val="24"/>
          <w:szCs w:val="24"/>
        </w:rPr>
      </w:pPr>
      <w:r w:rsidRPr="004E0D5E">
        <w:rPr>
          <w:rFonts w:ascii="Calibri" w:hAnsi="Calibri" w:cs="Calibri"/>
          <w:sz w:val="24"/>
          <w:szCs w:val="24"/>
        </w:rPr>
        <w:t xml:space="preserve">My analysis of 208 self-reported surveys reveals complex heterogeneity of the influence of an innovative ESD intervention on changes in sustainability competencies. On the one hand, contrary to my predictions, I found that one year </w:t>
      </w:r>
      <w:r w:rsidR="00750637">
        <w:rPr>
          <w:rFonts w:ascii="Calibri" w:hAnsi="Calibri" w:cs="Calibri"/>
          <w:sz w:val="24"/>
          <w:szCs w:val="24"/>
        </w:rPr>
        <w:t>post-</w:t>
      </w:r>
      <w:r w:rsidRPr="004E0D5E">
        <w:rPr>
          <w:rFonts w:ascii="Calibri" w:hAnsi="Calibri" w:cs="Calibri"/>
          <w:sz w:val="24"/>
          <w:szCs w:val="24"/>
        </w:rPr>
        <w:t>intervention, sustainability attitudes and behaviours did not increase for either the involved or the control group (Figure XX), suggesting a rejection of my alternative hypothesis of a positive relationship. On the other hand, in line with my predictions, I was able to show that the involved group (n=7) reported overall higher sustainability attitudes and behaviour</w:t>
      </w:r>
      <w:r w:rsidR="00750637">
        <w:rPr>
          <w:rFonts w:ascii="Calibri" w:hAnsi="Calibri" w:cs="Calibri"/>
          <w:sz w:val="24"/>
          <w:szCs w:val="24"/>
        </w:rPr>
        <w:t>s</w:t>
      </w:r>
      <w:r w:rsidRPr="004E0D5E">
        <w:rPr>
          <w:rFonts w:ascii="Calibri" w:hAnsi="Calibri" w:cs="Calibri"/>
          <w:sz w:val="24"/>
          <w:szCs w:val="24"/>
        </w:rPr>
        <w:t xml:space="preserve"> than the control group one year </w:t>
      </w:r>
      <w:r w:rsidR="00750637">
        <w:rPr>
          <w:rFonts w:ascii="Calibri" w:hAnsi="Calibri" w:cs="Calibri"/>
          <w:sz w:val="24"/>
          <w:szCs w:val="24"/>
        </w:rPr>
        <w:t>post-</w:t>
      </w:r>
      <w:r w:rsidRPr="004E0D5E">
        <w:rPr>
          <w:rFonts w:ascii="Calibri" w:hAnsi="Calibri" w:cs="Calibri"/>
          <w:sz w:val="24"/>
          <w:szCs w:val="24"/>
        </w:rPr>
        <w:t xml:space="preserve">intervention (Figure XX), indicating positive effects of an innovative ESD intervention on changes in sustainability competencies. Yet, the differences between the groups were already present </w:t>
      </w:r>
      <w:r w:rsidR="00750637">
        <w:rPr>
          <w:rFonts w:ascii="Calibri" w:hAnsi="Calibri" w:cs="Calibri"/>
          <w:sz w:val="24"/>
          <w:szCs w:val="24"/>
        </w:rPr>
        <w:t>pre-</w:t>
      </w:r>
      <w:r w:rsidRPr="004E0D5E">
        <w:rPr>
          <w:rFonts w:ascii="Calibri" w:hAnsi="Calibri" w:cs="Calibri"/>
          <w:sz w:val="24"/>
          <w:szCs w:val="24"/>
        </w:rPr>
        <w:t>intervention (Figure XX). This highlights the importance of long-term empirical data collection when analysing the impact of ESD interventions. Careful consideration should be given to the generality of the findings due to the very small sample size (n=7) of involved students at measurement</w:t>
      </w:r>
      <w:r w:rsidR="00750637">
        <w:rPr>
          <w:rFonts w:ascii="Calibri" w:hAnsi="Calibri" w:cs="Calibri"/>
          <w:sz w:val="24"/>
          <w:szCs w:val="24"/>
        </w:rPr>
        <w:t xml:space="preserve"> point 3</w:t>
      </w:r>
      <w:r w:rsidRPr="004E0D5E">
        <w:rPr>
          <w:rFonts w:ascii="Calibri" w:hAnsi="Calibri" w:cs="Calibri"/>
          <w:sz w:val="24"/>
          <w:szCs w:val="24"/>
        </w:rPr>
        <w:t>. I found a strong positive relationship between the sustainability attitudes and behaviours scales operationalised with the Theory of Planned Behaviour and those operationalised with the efficacy beliefs construct (Figure XX), suggesting mutual validation of the two scales to capture the same latent constructs of sustainability competencies and an indication of validation through prediction of an impact-relevant behaviour</w:t>
      </w:r>
      <w:r>
        <w:rPr>
          <w:rFonts w:ascii="Calibri" w:hAnsi="Calibri" w:cs="Calibri"/>
          <w:sz w:val="24"/>
          <w:szCs w:val="24"/>
        </w:rPr>
        <w:t xml:space="preserve">. </w:t>
      </w:r>
      <w:r w:rsidRPr="004E0D5E">
        <w:rPr>
          <w:rFonts w:ascii="Calibri" w:hAnsi="Calibri" w:cs="Calibri"/>
          <w:sz w:val="24"/>
          <w:szCs w:val="24"/>
        </w:rPr>
        <w:t>I found no differences between personal and collective efficacy beliefs within and between the involved and control groups (Figure XX)</w:t>
      </w:r>
      <w:r w:rsidR="00750637">
        <w:rPr>
          <w:rFonts w:ascii="Calibri" w:hAnsi="Calibri" w:cs="Calibri"/>
          <w:sz w:val="24"/>
          <w:szCs w:val="24"/>
        </w:rPr>
        <w:t xml:space="preserve"> at the third measurement point</w:t>
      </w:r>
      <w:r w:rsidRPr="004E0D5E">
        <w:rPr>
          <w:rFonts w:ascii="Calibri" w:hAnsi="Calibri" w:cs="Calibri"/>
          <w:sz w:val="24"/>
          <w:szCs w:val="24"/>
        </w:rPr>
        <w:t>, highlighting the need to include collective efficacy as a goal dimension in ESD intervention designs. In line with my predictions, I found that the involved students reported higher aim-focused efficacy beliefs (Figure XX), indicating the stabilisation of the formation of sustainability intentions, while also highlighting the importance of considering external barriers. The lack of sufficient data prevented me from conducting more statistically robust tests and leads to severe limitations on the generalisability of the results, highlighting the challenges of collecting comprehensive data in school contexts. Measuring the outcome of ESD interventions requires many considerations and trade-offs - by using a quantitative, longitudinal, treatment-control group, outcome-focused approach, I uncovered heterogeneous responses of students' sustainability competencies, aiming to contribute to ongoing improvements in the measurability of sustainability competencies and pointing to the potential of innovative ESD interventions.</w:t>
      </w:r>
    </w:p>
    <w:p w14:paraId="48FF4250" w14:textId="77777777" w:rsidR="00702B60" w:rsidRDefault="00702B60" w:rsidP="00D95459">
      <w:pPr>
        <w:jc w:val="both"/>
        <w:rPr>
          <w:rFonts w:ascii="Calibri" w:hAnsi="Calibri" w:cs="Calibri"/>
          <w:sz w:val="24"/>
          <w:szCs w:val="24"/>
        </w:rPr>
      </w:pPr>
      <w:r w:rsidRPr="00702B60">
        <w:rPr>
          <w:rFonts w:ascii="Calibri" w:hAnsi="Calibri" w:cs="Calibri"/>
          <w:sz w:val="24"/>
          <w:szCs w:val="24"/>
        </w:rPr>
        <w:t xml:space="preserve">The measurement of sustainability competencies has been criticised for various reasons, which have important implications for the interpretation of the results. A major discussion within the field of ESD measurement and research is context sensitivity. Behavioural outcomes can vary significantly between different contexts and cultures. An intervention that promotes sustainable behaviour in one setting may not have the same effect in another due to different social norms, economic conditions and cultural values. This variability calls into question the universality of behavioural outcomes. In the use of indicators, there is an inherent trade-off between the desire to achieve a global scope to allow comparisons to be made, and the need for context specificity. In thinking globally, I have not researched beyond the Western perspective, given resource limitations and the scope of this study. All of the underlying </w:t>
      </w:r>
      <w:r w:rsidRPr="00702B60">
        <w:rPr>
          <w:rFonts w:ascii="Calibri" w:hAnsi="Calibri" w:cs="Calibri"/>
          <w:sz w:val="24"/>
          <w:szCs w:val="24"/>
        </w:rPr>
        <w:lastRenderedPageBreak/>
        <w:t xml:space="preserve">theories come from a Western context, as does most of the empirical research of the studies cited. Given the dominance of Western research, one should be cautious about the global claim of the indicators and their relevance in different (including non-Western) contexts. A very first step, as I see it, in trying to overcome the Western hegemony in research is to state one's own positionality and to contextualise the research, as I have tried to do </w:t>
      </w:r>
      <w:proofErr w:type="spellStart"/>
      <w:r w:rsidRPr="00702B60">
        <w:rPr>
          <w:rFonts w:ascii="Calibri" w:hAnsi="Calibri" w:cs="Calibri"/>
          <w:sz w:val="24"/>
          <w:szCs w:val="24"/>
        </w:rPr>
        <w:t>hereIn</w:t>
      </w:r>
      <w:proofErr w:type="spellEnd"/>
      <w:r w:rsidRPr="00702B60">
        <w:rPr>
          <w:rFonts w:ascii="Calibri" w:hAnsi="Calibri" w:cs="Calibri"/>
          <w:sz w:val="24"/>
          <w:szCs w:val="24"/>
        </w:rPr>
        <w:t xml:space="preserve"> addition to the limited empirical and theoretical basis of this study in the Western literature, this study is also based on only one school in Freiburg, which calls into question the generalisability of the findings. To allow for long-term data collection, I used a scale developed by Pauli (2023) for her master's thesis, operationalised through the Theory of Planned Behaviour, to capture sustainability attitudes and behaviours. Although Pauli tried to adapt some of the scales to students, I would argue that they have limited suitability for young people and students, as many of the questions used are neither age appropriate nor necessarily in the hands of students, especially the behavioural intentions questions (e.g. I support an increase in fuel taxes to reduce fossil fuel consumption OR I mainly drive or am driven by a car or motor scooter). In terms of using indicators for young people and students, there are better alternatives, for example in the </w:t>
      </w:r>
      <w:proofErr w:type="spellStart"/>
      <w:r w:rsidRPr="00702B60">
        <w:rPr>
          <w:rFonts w:ascii="Calibri" w:hAnsi="Calibri" w:cs="Calibri"/>
          <w:sz w:val="24"/>
          <w:szCs w:val="24"/>
        </w:rPr>
        <w:t>ProBiKlima</w:t>
      </w:r>
      <w:proofErr w:type="spellEnd"/>
      <w:r w:rsidRPr="00702B60">
        <w:rPr>
          <w:rFonts w:ascii="Calibri" w:hAnsi="Calibri" w:cs="Calibri"/>
          <w:sz w:val="24"/>
          <w:szCs w:val="24"/>
        </w:rPr>
        <w:t xml:space="preserve"> project (REF). Furthermore, the context and therefore the project-specific objectives need to be stated. The objectives of the KRS project were only partly aimed at improving students' competencies in terms of sustainability attitudes and behaviours. Rather, the focus was also on improving democratic education (KRS). As the scales I used did not capture these dimensions at all, the analysis is limited. While I consider my critical reflections on the usefulness of the indicators used in this study as a contribution to SC measurement research, the empirical data from this study is very limited and not very generalisable.</w:t>
      </w:r>
    </w:p>
    <w:p w14:paraId="03EE4BA7" w14:textId="5CD1778D" w:rsidR="00D95459" w:rsidRPr="00840A2C" w:rsidRDefault="0055277D" w:rsidP="00D95459">
      <w:pPr>
        <w:jc w:val="both"/>
        <w:rPr>
          <w:rFonts w:ascii="Calibri" w:hAnsi="Calibri" w:cs="Calibri"/>
          <w:i/>
          <w:iCs/>
          <w:color w:val="222222"/>
          <w:shd w:val="clear" w:color="auto" w:fill="FFFFFF"/>
        </w:rPr>
      </w:pPr>
      <w:r w:rsidRPr="0055277D">
        <w:rPr>
          <w:rFonts w:ascii="Calibri" w:hAnsi="Calibri" w:cs="Calibri"/>
          <w:sz w:val="24"/>
          <w:szCs w:val="24"/>
        </w:rPr>
        <w:t>A key criticism of the measurement of sustainability competenc</w:t>
      </w:r>
      <w:r w:rsidR="006315A1">
        <w:rPr>
          <w:rFonts w:ascii="Calibri" w:hAnsi="Calibri" w:cs="Calibri"/>
          <w:sz w:val="24"/>
          <w:szCs w:val="24"/>
        </w:rPr>
        <w:t>i</w:t>
      </w:r>
      <w:r w:rsidRPr="0055277D">
        <w:rPr>
          <w:rFonts w:ascii="Calibri" w:hAnsi="Calibri" w:cs="Calibri"/>
          <w:sz w:val="24"/>
          <w:szCs w:val="24"/>
        </w:rPr>
        <w:t xml:space="preserve">es is the challenge of adequately operationalising ESD and its outcomes, including related goals. The method and tool for operationalising sustainability competencies aim at equipping students with core competencies for shaping a sustainable future. However, this raises questions about evaluation, definition and the need for openness in the ESD concept to remain adaptable to future sustainability challenges. As Wals et al. conclude, 'the main point is that there is no single model of education and learning for environmental sustainability, nor should there be' (Wals, 2017). Maintaining an adaptive and flexible approach to ESD should not hinder empirical research efforts to verify the effectiveness of ESD programmes. Evaluating and improving ESD interventions is necessary to ensure that they enable learners to shape a sustainable future. This compatibility between ESD and empirical research is crucial, especially when distinguishing between ESD1 (instrumental) and ESD2 (emancipatory) approaches. While ESD1 focuses on specific behavioural outcomes, ESD2 emphasises the process of learning and critical engagement rather than predetermined outcomes. Similarly, the debate continues as to whether behavioural change should be the outcome of studies, given the complexity of behaviour, its multiple influences, including factors outside the individual, especially for young people. To try to address these critiques, I applied the Triple-A framework of efficacy beliefs, which offers a promising approach to navigating the instrumental vs. emancipatory debate by focusing on whether agents believe they can achieve their self-selected goals, rather than prescribing specific behaviours. This framework inherently incorporates external factors, with higher efficacy occurring when individuals believe they can </w:t>
      </w:r>
      <w:r w:rsidRPr="0055277D">
        <w:rPr>
          <w:rFonts w:ascii="Calibri" w:hAnsi="Calibri" w:cs="Calibri"/>
          <w:sz w:val="24"/>
          <w:szCs w:val="24"/>
        </w:rPr>
        <w:lastRenderedPageBreak/>
        <w:t>effect change</w:t>
      </w:r>
      <w:r w:rsidR="00D95459" w:rsidRPr="00840A2C">
        <w:rPr>
          <w:rFonts w:ascii="Calibri" w:hAnsi="Calibri" w:cs="Calibri"/>
          <w:sz w:val="24"/>
          <w:szCs w:val="24"/>
        </w:rPr>
        <w:t xml:space="preserve">. </w:t>
      </w:r>
      <w:r w:rsidRPr="0055277D">
        <w:rPr>
          <w:rFonts w:ascii="Calibri" w:hAnsi="Calibri" w:cs="Calibri"/>
          <w:sz w:val="24"/>
          <w:szCs w:val="24"/>
        </w:rPr>
        <w:t>Empowerment research further challenges scholars to consider changes in actual power and agency, not just self-reported outcomes, and highlights the importance of real-world impacts on collective social and environmental goals (Cattaneo &amp; Chapman, 2010; Cattaneo et al., 2014; Drury et al., 2005; Zimmerman, 1995; Louis, La Macchia, et al., 2016). The inclusion of personal efficacy beliefs and collective efficacy as outcome indicators can address some criticisms of non-instrumental ESD by capturing the complexity of human motivations and broader educational goals. While behavioural change remains an important indicator, it should be complemented by measures that promote critical thinking, empowerment and intrinsic motivation. This comprehensive approach ensures that interventions not only change behaviour, but also cultivate the underlying values and beliefs necessary for sustained and meaningful engagement with sustainability issues. Although my research on sustainability competencies is limited by data availability, it can contribute to the debate on appropriate indicators of sustainability competencies by including students' efficacy beliefs. Assessing these efficacy beliefs over time and in relation to project development would provide valuable insights. Despite the cautious interpretation of my findings due to the limited data, this research contributes to the understanding of sustainability competencies, their continuous development and ways to measure them, thus helping to identify effective strategies for ESD interventions.</w:t>
      </w:r>
    </w:p>
    <w:p w14:paraId="67D8FF23" w14:textId="6FC42965" w:rsidR="00D95459" w:rsidRPr="00840A2C" w:rsidRDefault="00D95459" w:rsidP="00D95459">
      <w:pPr>
        <w:pStyle w:val="Heading2"/>
        <w:rPr>
          <w:rFonts w:ascii="Calibri" w:hAnsi="Calibri" w:cs="Calibri"/>
        </w:rPr>
      </w:pPr>
      <w:bookmarkStart w:id="41" w:name="_Toc173164307"/>
      <w:r w:rsidRPr="00840A2C">
        <w:rPr>
          <w:rFonts w:ascii="Calibri" w:hAnsi="Calibri" w:cs="Calibri"/>
        </w:rPr>
        <w:t>Sustainability competencies as sustainability attitude</w:t>
      </w:r>
      <w:r w:rsidR="00236133">
        <w:rPr>
          <w:rFonts w:ascii="Calibri" w:hAnsi="Calibri" w:cs="Calibri"/>
        </w:rPr>
        <w:t>s</w:t>
      </w:r>
      <w:r w:rsidRPr="00840A2C">
        <w:rPr>
          <w:rFonts w:ascii="Calibri" w:hAnsi="Calibri" w:cs="Calibri"/>
        </w:rPr>
        <w:t xml:space="preserve"> and sustainability behaviour</w:t>
      </w:r>
      <w:r w:rsidR="00236133">
        <w:rPr>
          <w:rFonts w:ascii="Calibri" w:hAnsi="Calibri" w:cs="Calibri"/>
        </w:rPr>
        <w:t>s</w:t>
      </w:r>
      <w:r w:rsidRPr="00840A2C">
        <w:rPr>
          <w:rFonts w:ascii="Calibri" w:hAnsi="Calibri" w:cs="Calibri"/>
        </w:rPr>
        <w:t xml:space="preserve"> (TPB-based) (Research Question 1)</w:t>
      </w:r>
      <w:bookmarkEnd w:id="41"/>
    </w:p>
    <w:p w14:paraId="2E210994" w14:textId="63310B69" w:rsidR="00121C9F" w:rsidRDefault="00121C9F" w:rsidP="00D95459">
      <w:pPr>
        <w:jc w:val="both"/>
        <w:rPr>
          <w:rFonts w:ascii="Calibri" w:hAnsi="Calibri" w:cs="Calibri"/>
          <w:sz w:val="24"/>
          <w:szCs w:val="24"/>
        </w:rPr>
      </w:pPr>
      <w:r w:rsidRPr="00121C9F">
        <w:rPr>
          <w:rFonts w:ascii="Calibri" w:hAnsi="Calibri" w:cs="Calibri"/>
          <w:sz w:val="24"/>
          <w:szCs w:val="24"/>
        </w:rPr>
        <w:t xml:space="preserve">Contrary to my prediction, I found that one year after the ESD intervention, sustainability attitudes and behaviours did not increase for either the involved or the control group (Figure XX). On the other hand, in line with my predictions, I demonstrated that the involved group (n=7) reported statistically higher sustainability attitudes and behaviours (cumulative SA/SB and SB) than the control group one year after the intervention (Figure XX), possibly indicating positive effects of an innovative ESD intervention. For all scales, I observed a peak at the second measurement point (immediately </w:t>
      </w:r>
      <w:r w:rsidR="006C07E3">
        <w:rPr>
          <w:rFonts w:ascii="Calibri" w:hAnsi="Calibri" w:cs="Calibri"/>
          <w:sz w:val="24"/>
          <w:szCs w:val="24"/>
        </w:rPr>
        <w:t>post-</w:t>
      </w:r>
      <w:r w:rsidRPr="00121C9F">
        <w:rPr>
          <w:rFonts w:ascii="Calibri" w:hAnsi="Calibri" w:cs="Calibri"/>
          <w:sz w:val="24"/>
          <w:szCs w:val="24"/>
        </w:rPr>
        <w:t>intervention) for the involved group, with scores significantly higher than those of the control group (Figure XX). At the same time, the cumulative SA/SB and SB were reported to be even significantly higher at the first measurement point (at the beginning of the ESD intervention), which raises the question of attributing sustainability competenc</w:t>
      </w:r>
      <w:r w:rsidR="006315A1">
        <w:rPr>
          <w:rFonts w:ascii="Calibri" w:hAnsi="Calibri" w:cs="Calibri"/>
          <w:sz w:val="24"/>
          <w:szCs w:val="24"/>
        </w:rPr>
        <w:t>i</w:t>
      </w:r>
      <w:r w:rsidRPr="00121C9F">
        <w:rPr>
          <w:rFonts w:ascii="Calibri" w:hAnsi="Calibri" w:cs="Calibri"/>
          <w:sz w:val="24"/>
          <w:szCs w:val="24"/>
        </w:rPr>
        <w:t>es to the ESD intervention (Figure XX). This doubt is reinforced by the fact that SA and SB peaked for the involved group, but then fell back to levels similar to those at the beginning of the intervention. There could be several reasons for the observed results. Firstly, the path from an educational intervention to changes in SA and SB remains complex and difficult to predict. Research suggests that sustainability attitudes decrease as students get older (</w:t>
      </w:r>
      <w:proofErr w:type="spellStart"/>
      <w:r w:rsidRPr="00121C9F">
        <w:rPr>
          <w:rFonts w:ascii="Calibri" w:hAnsi="Calibri" w:cs="Calibri"/>
          <w:sz w:val="24"/>
          <w:szCs w:val="24"/>
        </w:rPr>
        <w:t>Krettenauer</w:t>
      </w:r>
      <w:proofErr w:type="spellEnd"/>
      <w:r w:rsidRPr="00121C9F">
        <w:rPr>
          <w:rFonts w:ascii="Calibri" w:hAnsi="Calibri" w:cs="Calibri"/>
          <w:sz w:val="24"/>
          <w:szCs w:val="24"/>
        </w:rPr>
        <w:t>, 2017, BUGEN), which could potentially counteract the effects of the intervention. Looking at the effectiveness of other ESD interventions, a meta-study from 2021 found that ESD interventions led to increased environmental sensitivity [71], reconsideration of preconceptions [78], improved ability to solve complex problems related to the environment [75], increased likelihood of identifying environmental issues as personal concerns [73], and relative maintenance of newly acquired positive practices [76] (SOSSE).</w:t>
      </w:r>
      <w:r>
        <w:rPr>
          <w:rFonts w:ascii="Calibri" w:hAnsi="Calibri" w:cs="Calibri"/>
          <w:sz w:val="24"/>
          <w:szCs w:val="24"/>
        </w:rPr>
        <w:t xml:space="preserve"> </w:t>
      </w:r>
      <w:r w:rsidRPr="00121C9F">
        <w:rPr>
          <w:rFonts w:ascii="Calibri" w:hAnsi="Calibri" w:cs="Calibri"/>
          <w:sz w:val="24"/>
          <w:szCs w:val="24"/>
        </w:rPr>
        <w:t xml:space="preserve">Most of these studies focused on small groups and used different operationalisations, making comparisons difficult. There is a consensus in the literature on the need for long-term, longitudinal impact studies that </w:t>
      </w:r>
      <w:proofErr w:type="gramStart"/>
      <w:r w:rsidRPr="00121C9F">
        <w:rPr>
          <w:rFonts w:ascii="Calibri" w:hAnsi="Calibri" w:cs="Calibri"/>
          <w:sz w:val="24"/>
          <w:szCs w:val="24"/>
        </w:rPr>
        <w:t>take into account</w:t>
      </w:r>
      <w:proofErr w:type="gramEnd"/>
      <w:r w:rsidRPr="00121C9F">
        <w:rPr>
          <w:rFonts w:ascii="Calibri" w:hAnsi="Calibri" w:cs="Calibri"/>
          <w:sz w:val="24"/>
          <w:szCs w:val="24"/>
        </w:rPr>
        <w:t xml:space="preserve"> other </w:t>
      </w:r>
      <w:r w:rsidRPr="00121C9F">
        <w:rPr>
          <w:rFonts w:ascii="Calibri" w:hAnsi="Calibri" w:cs="Calibri"/>
          <w:sz w:val="24"/>
          <w:szCs w:val="24"/>
        </w:rPr>
        <w:lastRenderedPageBreak/>
        <w:t>types of concrete ESD outcomes that can be realised in a sometimes more distant horizon than what current studies can cover (especially activism) (REF SOSSE?). There is no quantitative empirical research on the effectiveness of innovative ESD interventions such as the KRS project (MONI). My findings highlight the importance of conducting sustainability measurement based on long-term empirical and quasi-experimental designs when assessing the effectiveness of (innovative) ESD interventions.</w:t>
      </w:r>
    </w:p>
    <w:p w14:paraId="20BC932E" w14:textId="3CE24D1E" w:rsidR="00D95459" w:rsidRPr="00840A2C" w:rsidRDefault="002862D0" w:rsidP="00D95459">
      <w:pPr>
        <w:jc w:val="both"/>
        <w:rPr>
          <w:rFonts w:ascii="Calibri" w:hAnsi="Calibri" w:cs="Calibri"/>
          <w:sz w:val="24"/>
          <w:szCs w:val="24"/>
        </w:rPr>
      </w:pPr>
      <w:r w:rsidRPr="002862D0">
        <w:rPr>
          <w:rFonts w:ascii="Calibri" w:hAnsi="Calibri" w:cs="Calibri"/>
          <w:sz w:val="24"/>
          <w:szCs w:val="24"/>
        </w:rPr>
        <w:t>The observed findings could also be due to factors that influenced students' SA and SB more than the ESD intervention itself. A recent long-term study (BUGEN), based on the ESD goals in local education plans (and not on a specific ESD intervention), found significant predictors of SA and SB to be average school grade, sustainability-related attitudes at the beginning of the school year, participation in Fridays for Future, knowledge of the concept of sustainability (only predictive of SA) and grade level (only predictive of SA), which I did not take into account. Other factors found to influence SA and SB were the social desirability (REF) of the response options and the influence of the media, which may have a greater influence than ESD interventions, especially in this age group (REF). Extracurricular learning environments (e.g. friends, family, social media) have a strong influence during adolescence, so the effectiveness of school-based ESD may be limited (REF). Furthermore, the role of the teacher or, in this case, the project conduc</w:t>
      </w:r>
      <w:r>
        <w:rPr>
          <w:rFonts w:ascii="Calibri" w:hAnsi="Calibri" w:cs="Calibri"/>
          <w:sz w:val="24"/>
          <w:szCs w:val="24"/>
        </w:rPr>
        <w:t>to</w:t>
      </w:r>
      <w:r w:rsidRPr="002862D0">
        <w:rPr>
          <w:rFonts w:ascii="Calibri" w:hAnsi="Calibri" w:cs="Calibri"/>
          <w:sz w:val="24"/>
          <w:szCs w:val="24"/>
        </w:rPr>
        <w:t>r, could influence sustainability competencies. Research has shown that there seems to be a negative relationship between teachers' attitudes towards sustainability and environmental awareness, leading to less SB among students. It can also only be assumed that if the teacher makes too pointed statements about his or her own environmental and sustainability awareness, this could possibly lead to reactance in the students' own attitudes (BUGEN). All these factors could explain why there was no increase in SA and SB over time for either the involved or the control group. To explain the decline of the involved group from</w:t>
      </w:r>
      <w:r w:rsidR="006C07E3">
        <w:rPr>
          <w:rFonts w:ascii="Calibri" w:hAnsi="Calibri" w:cs="Calibri"/>
          <w:sz w:val="24"/>
          <w:szCs w:val="24"/>
        </w:rPr>
        <w:t xml:space="preserve"> immediately </w:t>
      </w:r>
      <w:r w:rsidR="00750637">
        <w:rPr>
          <w:rFonts w:ascii="Calibri" w:hAnsi="Calibri" w:cs="Calibri"/>
          <w:sz w:val="24"/>
          <w:szCs w:val="24"/>
        </w:rPr>
        <w:t>post-intervention</w:t>
      </w:r>
      <w:r w:rsidRPr="002862D0">
        <w:rPr>
          <w:rFonts w:ascii="Calibri" w:hAnsi="Calibri" w:cs="Calibri"/>
          <w:sz w:val="24"/>
          <w:szCs w:val="24"/>
        </w:rPr>
        <w:t xml:space="preserve"> to a level similar to </w:t>
      </w:r>
      <w:r w:rsidR="00750637">
        <w:rPr>
          <w:rFonts w:ascii="Calibri" w:hAnsi="Calibri" w:cs="Calibri"/>
          <w:sz w:val="24"/>
          <w:szCs w:val="24"/>
        </w:rPr>
        <w:t xml:space="preserve">pre-intervention </w:t>
      </w:r>
      <w:r w:rsidRPr="002862D0">
        <w:rPr>
          <w:rFonts w:ascii="Calibri" w:hAnsi="Calibri" w:cs="Calibri"/>
          <w:sz w:val="24"/>
          <w:szCs w:val="24"/>
        </w:rPr>
        <w:t xml:space="preserve">at </w:t>
      </w:r>
      <w:r w:rsidR="00750637">
        <w:rPr>
          <w:rFonts w:ascii="Calibri" w:hAnsi="Calibri" w:cs="Calibri"/>
          <w:sz w:val="24"/>
          <w:szCs w:val="24"/>
        </w:rPr>
        <w:t>one year post-intervention</w:t>
      </w:r>
      <w:r w:rsidRPr="002862D0">
        <w:rPr>
          <w:rFonts w:ascii="Calibri" w:hAnsi="Calibri" w:cs="Calibri"/>
          <w:sz w:val="24"/>
          <w:szCs w:val="24"/>
        </w:rPr>
        <w:t>, this could also be due to frustration based on feedback from the environment. Research has shown that when basic psychological needs for relatedness (belonging), competence (efficacy), and autonomy (self-determination) are not met and need frustration occurs, this could lead to a decrease in pro-environmental behaviour (</w:t>
      </w:r>
      <w:proofErr w:type="spellStart"/>
      <w:r w:rsidRPr="002862D0">
        <w:rPr>
          <w:rFonts w:ascii="Calibri" w:hAnsi="Calibri" w:cs="Calibri"/>
          <w:sz w:val="24"/>
          <w:szCs w:val="24"/>
        </w:rPr>
        <w:t>WUllenkord</w:t>
      </w:r>
      <w:proofErr w:type="spellEnd"/>
      <w:r w:rsidRPr="002862D0">
        <w:rPr>
          <w:rFonts w:ascii="Calibri" w:hAnsi="Calibri" w:cs="Calibri"/>
          <w:sz w:val="24"/>
          <w:szCs w:val="24"/>
        </w:rPr>
        <w:t>). As my study did not investigate the extent to which the school implemented the roadmap, the lack of implementation could have led to negative feelings among the students involved. My findings highlight the urgent need for whole-institution approaches (REF) to ESD and the design of ESD interventions.</w:t>
      </w:r>
    </w:p>
    <w:p w14:paraId="7D67118A" w14:textId="4C4F476B" w:rsidR="00D95459" w:rsidRPr="00840A2C" w:rsidRDefault="00456A5A" w:rsidP="00D95459">
      <w:pPr>
        <w:pStyle w:val="Heading2"/>
        <w:rPr>
          <w:rFonts w:ascii="Calibri" w:hAnsi="Calibri" w:cs="Calibri"/>
        </w:rPr>
      </w:pPr>
      <w:bookmarkStart w:id="42" w:name="_Toc173164308"/>
      <w:r w:rsidRPr="00840A2C">
        <w:rPr>
          <w:rFonts w:ascii="Calibri" w:hAnsi="Calibri" w:cs="Calibri"/>
        </w:rPr>
        <w:t>Sustainability</w:t>
      </w:r>
      <w:r w:rsidR="00D95459" w:rsidRPr="00840A2C">
        <w:rPr>
          <w:rFonts w:ascii="Calibri" w:hAnsi="Calibri" w:cs="Calibri"/>
        </w:rPr>
        <w:t xml:space="preserve"> attitude</w:t>
      </w:r>
      <w:r w:rsidR="00236133">
        <w:rPr>
          <w:rFonts w:ascii="Calibri" w:hAnsi="Calibri" w:cs="Calibri"/>
        </w:rPr>
        <w:t>s</w:t>
      </w:r>
      <w:r w:rsidR="00D95459" w:rsidRPr="00840A2C">
        <w:rPr>
          <w:rFonts w:ascii="Calibri" w:hAnsi="Calibri" w:cs="Calibri"/>
        </w:rPr>
        <w:t>/ sustainability behaviour</w:t>
      </w:r>
      <w:r w:rsidR="00236133">
        <w:rPr>
          <w:rFonts w:ascii="Calibri" w:hAnsi="Calibri" w:cs="Calibri"/>
        </w:rPr>
        <w:t>s</w:t>
      </w:r>
      <w:r w:rsidR="00D95459" w:rsidRPr="00840A2C">
        <w:rPr>
          <w:rFonts w:ascii="Calibri" w:hAnsi="Calibri" w:cs="Calibri"/>
        </w:rPr>
        <w:t xml:space="preserve"> (TPB-based) and efficacy beliefs (Research Question 2)</w:t>
      </w:r>
      <w:bookmarkEnd w:id="42"/>
    </w:p>
    <w:p w14:paraId="12E9909B" w14:textId="3FCA0C0E" w:rsidR="00046BC1" w:rsidRPr="00046BC1" w:rsidRDefault="00046BC1" w:rsidP="00046BC1">
      <w:pPr>
        <w:jc w:val="both"/>
        <w:rPr>
          <w:sz w:val="24"/>
          <w:szCs w:val="24"/>
        </w:rPr>
      </w:pPr>
      <w:r w:rsidRPr="00046BC1">
        <w:rPr>
          <w:rStyle w:val="--l"/>
          <w:sz w:val="24"/>
          <w:szCs w:val="24"/>
        </w:rPr>
        <w:t>I found a strong positive relationship between the scales of sustainability attitudes and behaviours operationalised with the Theory of Planned Behaviour and the scales operationalised with the construct of efficacy beliefs (Figure XX). This suggests that they capture the same latent construct of sustainability competenc</w:t>
      </w:r>
      <w:r w:rsidR="006315A1">
        <w:rPr>
          <w:rStyle w:val="--l"/>
          <w:sz w:val="24"/>
          <w:szCs w:val="24"/>
        </w:rPr>
        <w:t>i</w:t>
      </w:r>
      <w:r w:rsidRPr="00046BC1">
        <w:rPr>
          <w:rStyle w:val="--l"/>
          <w:sz w:val="24"/>
          <w:szCs w:val="24"/>
        </w:rPr>
        <w:t>e</w:t>
      </w:r>
      <w:r w:rsidR="006315A1">
        <w:rPr>
          <w:rStyle w:val="--l"/>
          <w:sz w:val="24"/>
          <w:szCs w:val="24"/>
        </w:rPr>
        <w:t>s</w:t>
      </w:r>
      <w:r w:rsidRPr="00046BC1">
        <w:rPr>
          <w:rStyle w:val="--l"/>
          <w:sz w:val="24"/>
          <w:szCs w:val="24"/>
        </w:rPr>
        <w:t xml:space="preserve"> and can be used as a first step in a mutual validation of the scales. In a possible second step of validation, the (voluntary and self-determined) participation of the surveyed students in the expert group (which makes them the involved group in this study) could possibly be used to draw conclusions about environmental activism resulting from a high level of environmental attitudes. Participation in </w:t>
      </w:r>
      <w:r w:rsidRPr="00046BC1">
        <w:rPr>
          <w:rStyle w:val="--l"/>
          <w:sz w:val="24"/>
          <w:szCs w:val="24"/>
        </w:rPr>
        <w:lastRenderedPageBreak/>
        <w:t>this group can be interpreted as a behavioural manifestation aimed at promoting a more sustainable school, which consequently serves to achieve ESD goals. Participation in the involved group was recorded at the first measurement point of the project with a simple question about this activity. In this case, self-reported behaviour was considered a valid proxy for actual behaviour. The data showed that students in the involved group had higher SA/SB than students who were not involved (FIGURE RQ1). N</w:t>
      </w:r>
      <w:r w:rsidRPr="00046BC1">
        <w:rPr>
          <w:rStyle w:val="--r"/>
          <w:sz w:val="24"/>
          <w:szCs w:val="24"/>
        </w:rPr>
        <w:t>ormally</w:t>
      </w:r>
      <w:r w:rsidRPr="00046BC1">
        <w:rPr>
          <w:rStyle w:val="--l"/>
          <w:sz w:val="24"/>
          <w:szCs w:val="24"/>
        </w:rPr>
        <w:t>, validation by predicting impact-relevant behaviour is done by checking SA and then, at a second measurement point, seeing if the higher SA translates into actual behaviour. Given that in this study the group was formed but had not yet begun its work at the first measurement point</w:t>
      </w:r>
      <w:r w:rsidR="007B71E9">
        <w:rPr>
          <w:rStyle w:val="--l"/>
          <w:sz w:val="24"/>
          <w:szCs w:val="24"/>
        </w:rPr>
        <w:t xml:space="preserve"> (pre-intervention)</w:t>
      </w:r>
      <w:r w:rsidRPr="00046BC1">
        <w:rPr>
          <w:rStyle w:val="--l"/>
          <w:sz w:val="24"/>
          <w:szCs w:val="24"/>
        </w:rPr>
        <w:t>, it could be argued that their high SA led to actual behaviour by the time they joined the group. The question remains to what extent socially desirable responses played a role, as being part of the group and perceiving oneself as such, even if the work had not yet started, could have influenced their results. With caution, participation in the expert group could be seen as validation by predicting impact-relevant behaviour. Nevertheless, by validating the scales, the competence differences assessed by this instrument may indicate meaningful differences between students that may have a real impact on their future behaviour. To the best of my knowledge, I found no validation procedures in the literature for either of these two scales. My findings highlight the importance of ongoing and critical validation of the indicators and scales used to determine whether the measurement is meeting its objectives and is able to predict actual behaviour.</w:t>
      </w:r>
    </w:p>
    <w:p w14:paraId="344CB0DA" w14:textId="77777777" w:rsidR="00D95459" w:rsidRPr="00840A2C" w:rsidRDefault="00D95459" w:rsidP="00D95459">
      <w:pPr>
        <w:pStyle w:val="Heading2"/>
        <w:rPr>
          <w:rFonts w:ascii="Calibri" w:hAnsi="Calibri" w:cs="Calibri"/>
        </w:rPr>
      </w:pPr>
      <w:bookmarkStart w:id="43" w:name="_Toc173164309"/>
      <w:r w:rsidRPr="00840A2C">
        <w:rPr>
          <w:rFonts w:ascii="Calibri" w:hAnsi="Calibri" w:cs="Calibri"/>
        </w:rPr>
        <w:t>Sustainability competencies as efficacy beliefs (Research Question 3)</w:t>
      </w:r>
      <w:bookmarkEnd w:id="43"/>
    </w:p>
    <w:p w14:paraId="088E52DA" w14:textId="77777777" w:rsidR="004E3A35" w:rsidRDefault="00D95459" w:rsidP="004E3A35">
      <w:pPr>
        <w:pStyle w:val="Heading3"/>
        <w:rPr>
          <w:rFonts w:ascii="Calibri" w:hAnsi="Calibri" w:cs="Calibri"/>
        </w:rPr>
      </w:pPr>
      <w:bookmarkStart w:id="44" w:name="_Toc173164310"/>
      <w:r w:rsidRPr="00840A2C">
        <w:rPr>
          <w:rFonts w:ascii="Calibri" w:hAnsi="Calibri" w:cs="Calibri"/>
        </w:rPr>
        <w:t>Collective efficacy beliefs as outcomes</w:t>
      </w:r>
      <w:bookmarkEnd w:id="44"/>
    </w:p>
    <w:p w14:paraId="772E36C3" w14:textId="5466B7DD" w:rsidR="00D95459" w:rsidRPr="004E3A35" w:rsidRDefault="004E3A35" w:rsidP="004E3A35">
      <w:pPr>
        <w:jc w:val="both"/>
        <w:rPr>
          <w:sz w:val="24"/>
          <w:szCs w:val="24"/>
        </w:rPr>
      </w:pPr>
      <w:r w:rsidRPr="004E3A35">
        <w:rPr>
          <w:rStyle w:val="--l"/>
          <w:sz w:val="24"/>
          <w:szCs w:val="24"/>
        </w:rPr>
        <w:t>C</w:t>
      </w:r>
      <w:r w:rsidRPr="004E3A35">
        <w:rPr>
          <w:rStyle w:val="--r"/>
          <w:sz w:val="24"/>
          <w:szCs w:val="24"/>
        </w:rPr>
        <w:t>ontrary</w:t>
      </w:r>
      <w:r w:rsidRPr="004E3A35">
        <w:rPr>
          <w:rStyle w:val="--l"/>
          <w:sz w:val="24"/>
          <w:szCs w:val="24"/>
        </w:rPr>
        <w:t xml:space="preserve"> to my predictions, I found no differences between personal and collective efficacy </w:t>
      </w:r>
      <w:r w:rsidRPr="004E3A35">
        <w:rPr>
          <w:sz w:val="24"/>
          <w:szCs w:val="24"/>
        </w:rPr>
        <w:t xml:space="preserve">beliefs within and between the involved and control groups (Figure XX). Although all the mean scores, including those of the control group, were very similar, interestingly I found that for the involved group the </w:t>
      </w:r>
      <w:r w:rsidR="00661228">
        <w:rPr>
          <w:sz w:val="24"/>
          <w:szCs w:val="24"/>
        </w:rPr>
        <w:t xml:space="preserve">personal </w:t>
      </w:r>
      <w:r w:rsidRPr="004E3A35">
        <w:rPr>
          <w:sz w:val="24"/>
          <w:szCs w:val="24"/>
        </w:rPr>
        <w:t xml:space="preserve">efficacy beliefs were higher than the collective efficacy beliefs (although the differences were not statistically significant). There could be several reasons for the observed results. On the one hand, both personal and collective efficacy beliefs could have been mutually reinforcing, resulting in no detectable difference between them. Studies have found that individuals can derive personal benefits (e.g. efficacy beliefs) from social groups because groups can make them feel personally capable and in control [31,32]). Indeed, </w:t>
      </w:r>
      <w:proofErr w:type="spellStart"/>
      <w:r w:rsidRPr="004E3A35">
        <w:rPr>
          <w:sz w:val="24"/>
          <w:szCs w:val="24"/>
        </w:rPr>
        <w:t>Jugert</w:t>
      </w:r>
      <w:proofErr w:type="spellEnd"/>
      <w:r w:rsidRPr="004E3A35">
        <w:rPr>
          <w:sz w:val="24"/>
          <w:szCs w:val="24"/>
        </w:rPr>
        <w:t xml:space="preserve"> et al [12] were able to show that collective efficacy made individuals feel in control of their outcomes: People's intention to act was enhanced by a sense of efficacy transferred from the group to the self. Similarly, using a qualitative research approach, Cocking and Drury [11] found that collective efficacy led to a sense of personal empowerment. Thus, collective and personal efficacy are strong and closely intertwined predictors of pro-environmental behaviour and are mutually reinforcing. On the other hand, from a theoretical perspective, the participatory and innovative design of the ESD intervention may have led to an increase in the collective efficacy beliefs of the group involved. Bandura (1997) suggests that efficacy is enhanced when individuals acquire the specific skills necessary for pro-environmental behaviour and are verbally encouraged about their ability to perform such actions.</w:t>
      </w:r>
      <w:r w:rsidRPr="004E3A35">
        <w:rPr>
          <w:sz w:val="24"/>
          <w:szCs w:val="24"/>
        </w:rPr>
        <w:t xml:space="preserve"> </w:t>
      </w:r>
      <w:r w:rsidRPr="004E3A35">
        <w:rPr>
          <w:sz w:val="24"/>
          <w:szCs w:val="24"/>
        </w:rPr>
        <w:t xml:space="preserve">These sources of efficacy are effective when individuals evaluate the pro-environmental effectiveness of their own groups. Consequently, when a group successfully completes a task and receives positive reinforcement for its pro-environmental efforts, its members are likely </w:t>
      </w:r>
      <w:r w:rsidRPr="004E3A35">
        <w:rPr>
          <w:sz w:val="24"/>
          <w:szCs w:val="24"/>
        </w:rPr>
        <w:lastRenderedPageBreak/>
        <w:t>to have a stronger belief in their ability to achieve the desired outcomes. Commitment to collective efforts is essential to fostering a belief that their actions can impact their environment. This increased belief, in turn, can lead to a greater willingness to engage in pro-environmental behaviour (Chen). Given the findings that the involved group did not express more collective efficacy beliefs than the control group, questions arise about the relevance of the chosen group, the desirability of the aims asked in the survey, but also the success of their efforts and the extent of positive external reinforcement. The advantage of differentiation, i.e. the possibility to self-categorise the agent, is undermined by the fact that in a quantitative survey without a pilot study the relevant self-categorisations could not be found out. Empirically, there is very little research that distinguishes between personal and collective efficacy. The very few studies that have made this distinction between personal and collective efficacy beliefs have found that collective efficacy is significantly stronger when the task difficulty is moderate - rather than easy or difficult.</w:t>
      </w:r>
      <w:r w:rsidR="00D95459" w:rsidRPr="004E3A35">
        <w:rPr>
          <w:sz w:val="24"/>
          <w:szCs w:val="24"/>
        </w:rPr>
        <w:t xml:space="preserve"> </w:t>
      </w:r>
      <w:r w:rsidRPr="004E3A35">
        <w:rPr>
          <w:sz w:val="24"/>
          <w:szCs w:val="24"/>
        </w:rPr>
        <w:t xml:space="preserve">Behaviours that are easy to perform tend to have a lower environmental impact. People may perceive that actions that are too easy (e.g. avoiding plastic bags) are unlikely to make a significant difference to environmental problems, even if they are widely practiced. In other words, when actions are too simple, the potential success may not lead to a sense of collective efficacy. This could be an indication that the aim of reducing the school's CO2 emissions, led by a student initiative, was considered too difficult a task by the students and/or would have required more support and positive reinforcement from their environment. Furthermore, participative efficacy may play a role as a moderator between personal and collective efficacy and is concerned with how well a group can achieve its goal together, influenced by group size and group cohesion (REF). It also raises the question of the extent to which collective efficacy beliefs were the aim of this particular </w:t>
      </w:r>
      <w:r w:rsidR="00F476F0" w:rsidRPr="004E3A35">
        <w:rPr>
          <w:sz w:val="24"/>
          <w:szCs w:val="24"/>
        </w:rPr>
        <w:t>project and</w:t>
      </w:r>
      <w:r w:rsidRPr="004E3A35">
        <w:rPr>
          <w:sz w:val="24"/>
          <w:szCs w:val="24"/>
        </w:rPr>
        <w:t xml:space="preserve"> were therefore supported and reinforced by the school and the project partners. My findings highlight the relevance of collective efficacy as an outcome indicator of ESD interventions, both in the design of ESD interventions, but also as a relevant indicator for measuring sustainability competencies.</w:t>
      </w:r>
    </w:p>
    <w:p w14:paraId="19AB329D" w14:textId="77777777" w:rsidR="00982277" w:rsidRDefault="00D95459" w:rsidP="00982277">
      <w:pPr>
        <w:pStyle w:val="Heading3"/>
        <w:rPr>
          <w:rFonts w:ascii="Calibri" w:hAnsi="Calibri" w:cs="Calibri"/>
        </w:rPr>
      </w:pPr>
      <w:bookmarkStart w:id="45" w:name="_Toc173164311"/>
      <w:r w:rsidRPr="00840A2C">
        <w:rPr>
          <w:rFonts w:ascii="Calibri" w:hAnsi="Calibri" w:cs="Calibri"/>
        </w:rPr>
        <w:t>Aim-focussed efficacy beliefs as outcomes</w:t>
      </w:r>
      <w:bookmarkEnd w:id="45"/>
    </w:p>
    <w:p w14:paraId="55D31149" w14:textId="63B038C6" w:rsidR="00D95459" w:rsidRPr="00982277" w:rsidRDefault="00982277" w:rsidP="00982277">
      <w:pPr>
        <w:jc w:val="both"/>
        <w:rPr>
          <w:rFonts w:ascii="Calibri" w:hAnsi="Calibri" w:cs="Calibri"/>
          <w:sz w:val="24"/>
          <w:szCs w:val="24"/>
        </w:rPr>
      </w:pPr>
      <w:r w:rsidRPr="00982277">
        <w:rPr>
          <w:rStyle w:val="--l"/>
          <w:sz w:val="24"/>
          <w:szCs w:val="24"/>
        </w:rPr>
        <w:t>I</w:t>
      </w:r>
      <w:r w:rsidRPr="00982277">
        <w:rPr>
          <w:rStyle w:val="--r"/>
          <w:sz w:val="24"/>
          <w:szCs w:val="24"/>
        </w:rPr>
        <w:t>n</w:t>
      </w:r>
      <w:r w:rsidRPr="00982277">
        <w:rPr>
          <w:rStyle w:val="--l"/>
          <w:sz w:val="24"/>
          <w:szCs w:val="24"/>
        </w:rPr>
        <w:t xml:space="preserve"> line with my predictions, I found that the involved students reported statistically higher aim-focused efficacy beliefs than the control group (Figure XX). This suggests that the involved group had demonstrated intention formation. At the same time, the lower action-focused efficacy beliefs scores of the involved group may also have some interesting implications. Action-focused efficacy refers to the belief in one's ability to perform certain actions, whereas aim-focused efficacy refers to the belief in one's ability to achieve desired outcomes. These two facets are interrelated; effective action often leads to aim attainment, and belief in aim attainment can motivate individuals to take necessary action. Given the suggestion that action-focused efficacy is more related to the perception of actual constraints such as time, money, and social resources, this finding highlights the potential external barriers that the involved group encountered, which moderated their beliefs in their ability to carry out their actions. From a methodological point of view, it could also be that the actions chosen for the survey were not relevant to either group. This aspect could not be tested and identified in a pilot study. As the Triple-A framework allows the combination of very concrete actions with very abstract (collective) aims, the testing of these concrete actions becomes more relevant. There is little empirical research on aim-focused versus action-focused efficacy beliefs. </w:t>
      </w:r>
      <w:r w:rsidRPr="00982277">
        <w:rPr>
          <w:rStyle w:val="--l"/>
          <w:sz w:val="24"/>
          <w:szCs w:val="24"/>
        </w:rPr>
        <w:lastRenderedPageBreak/>
        <w:t>Hornsey et al (2006) found that aim content significantly influenced how efficacy predicted action intentions for members and non-members of a protest group. This suggests that the relevance and desirability of the aim are crucial to understanding how efficacy beliefs are translated into intentions and actions (Fishbach and Ferguson, 2007). To assess the effect of the ESD intervention on aim- or action-focused efficacy beliefs, it would have been necessary to measure efficacy beliefs over time. Assessing efficacy beliefs over time and in relation to the development and implementation of the project would be an interesting direction for future research. Furthermore, differentiating the links between agents, actions and aims allows better predictions about which characteristics of efficacy make it more or less predictive of relevant social and environmental outcome variables. This differentiation could also inform the design of ESD, depending on the desired outcome of more action or aim orientation. My findings highlight the importance of differentiating between action-focused and aim-focused efficacy beliefs as an outcome indicator of ESD interventions to inform the design of ESD interventions and also to understand potential external factors faced by individuals.</w:t>
      </w:r>
    </w:p>
    <w:p w14:paraId="13F30F74" w14:textId="77777777" w:rsidR="00845F82" w:rsidRDefault="00D95459" w:rsidP="00845F82">
      <w:pPr>
        <w:pStyle w:val="Heading2"/>
      </w:pPr>
      <w:bookmarkStart w:id="46" w:name="_Toc173164312"/>
      <w:r w:rsidRPr="00845F82">
        <w:t>Study limitations</w:t>
      </w:r>
      <w:bookmarkEnd w:id="46"/>
    </w:p>
    <w:p w14:paraId="0DDDBE22" w14:textId="34E01785" w:rsidR="00845F82" w:rsidRPr="00845F82" w:rsidRDefault="00845F82" w:rsidP="00845F82">
      <w:pPr>
        <w:jc w:val="both"/>
        <w:rPr>
          <w:sz w:val="24"/>
          <w:szCs w:val="24"/>
        </w:rPr>
      </w:pPr>
      <w:r w:rsidRPr="00845F82">
        <w:rPr>
          <w:rStyle w:val="--l"/>
          <w:sz w:val="24"/>
          <w:szCs w:val="24"/>
        </w:rPr>
        <w:t>A</w:t>
      </w:r>
      <w:r w:rsidRPr="00845F82">
        <w:rPr>
          <w:rStyle w:val="--r"/>
          <w:sz w:val="24"/>
          <w:szCs w:val="24"/>
        </w:rPr>
        <w:t>nalyses</w:t>
      </w:r>
      <w:r w:rsidRPr="00845F82">
        <w:rPr>
          <w:rStyle w:val="--l"/>
          <w:sz w:val="24"/>
          <w:szCs w:val="24"/>
        </w:rPr>
        <w:t xml:space="preserve"> of students' sustainability competencies can be limited by insufficient sample size, limited temporal and geographical scope of the data, and limited empirical validation of the theoretical frameworks used. The lack of data, which prevented me from answering one of my original research questions regarding the participatory nature of the project, highlighted the need for more comprehensive data collection. The generalisability of the empirical findings is severely limited by the small sample size of students involved at the third measurement point (n=7). The small sample size also affects the statistical power and reliability of the findings. Larger sample sizes generally provide more accurate and generalisable results, reducing the margin of error and increasing confidence in the findings. Furthermore, I argue that the scales used to operationalise sustainability attitudes and behaviours had a limited fit with the context. However, they provided an opportunity to collect longitudinal empirical data. Unfortunately, no prior data were available for the efficacy belief scales, which would be an interesting future direction. Non-Western contexts, theories and empirical evidence were under-represented, limiting applicability to other contexts. Finally, the Triple-A framework, being newly developed, still lacks strong empirical evidence for the distinctions it makes, with potential moderators of the relationship between different efficacy links still missing (REF). Recognising heterogeneous effects, including complex behaviours, and analysing what is already practised, highlights previously overlooked research questions and helps researchers to make more strategic choices in the study of efficacy beliefs. The analysis of students' sustainability competencies and their attribution to ESD interventions can benefit from a more comprehensive study design and scope of data, as well as broader theoretical and empirical contexts.</w:t>
      </w:r>
    </w:p>
    <w:p w14:paraId="296E10DB" w14:textId="77777777" w:rsidR="00845F82" w:rsidRDefault="00D95459" w:rsidP="00845F82">
      <w:pPr>
        <w:pStyle w:val="Heading2"/>
      </w:pPr>
      <w:bookmarkStart w:id="47" w:name="_Toc173164313"/>
      <w:r w:rsidRPr="00845F82">
        <w:t>Future directions</w:t>
      </w:r>
      <w:bookmarkEnd w:id="47"/>
    </w:p>
    <w:p w14:paraId="43E03533" w14:textId="4809577C" w:rsidR="00845F82" w:rsidRPr="00845F82" w:rsidRDefault="00845F82" w:rsidP="00845F82">
      <w:pPr>
        <w:jc w:val="both"/>
        <w:rPr>
          <w:sz w:val="24"/>
          <w:szCs w:val="24"/>
        </w:rPr>
      </w:pPr>
      <w:r w:rsidRPr="00845F82">
        <w:rPr>
          <w:rStyle w:val="--l"/>
          <w:sz w:val="24"/>
          <w:szCs w:val="24"/>
        </w:rPr>
        <w:t>M</w:t>
      </w:r>
      <w:r w:rsidRPr="00845F82">
        <w:rPr>
          <w:rStyle w:val="--r"/>
          <w:sz w:val="24"/>
          <w:szCs w:val="24"/>
        </w:rPr>
        <w:t>easuring</w:t>
      </w:r>
      <w:r w:rsidRPr="00845F82">
        <w:rPr>
          <w:rStyle w:val="--l"/>
          <w:sz w:val="24"/>
          <w:szCs w:val="24"/>
        </w:rPr>
        <w:t xml:space="preserve"> students' sustainability competencies and attributing them to ESD interventions requires going beyond previous studies that are based on limited study designs, focus on traditional learning methods or are limited in their relevance to measure what matters. Studying ESD interventions in a quasi-experimental design and collecting long-term empirical </w:t>
      </w:r>
      <w:r w:rsidRPr="00845F82">
        <w:rPr>
          <w:rStyle w:val="--l"/>
          <w:sz w:val="24"/>
          <w:szCs w:val="24"/>
        </w:rPr>
        <w:lastRenderedPageBreak/>
        <w:t>data will provide a more nuanced view of the effectiveness of ESD interventions. Focusing on promising innovative learning and teaching methods could provide the evidence needed to challenge existing learning approaches that have so far proved insufficient to address global challenges. A better understanding of which sustainability competencies can have a real impact, without instrumentalising students, will lead to more human agency. For example, measuring efficacy beliefs over time could be an interesting future direction. Consequently, the development of indicators and outcomes is more complex and relates to the researcher/educator's definition of development education, as discussed earlier. This focus on product outcomes misses the specificity of ESD, where learning outcomes may take the form of questioning and activism rather than immediate or short-term goals. Continuous development of relevant indicators is needed. Qualitative methods of ESD research could begin to address these challenges by integrating different research fields such as environmental psychology, environmental sociology, science education and empirical education sciences. The analysis of sustainability competencies with a comprehensive study design will allow the development of better educational policies.</w:t>
      </w:r>
    </w:p>
    <w:p w14:paraId="73522B2D" w14:textId="324F3FF4" w:rsidR="000716E6" w:rsidRPr="00845F82" w:rsidRDefault="000716E6" w:rsidP="00845F82">
      <w:pPr>
        <w:jc w:val="both"/>
        <w:rPr>
          <w:rFonts w:ascii="Calibri" w:eastAsiaTheme="majorEastAsia" w:hAnsi="Calibri" w:cs="Calibri"/>
          <w:color w:val="2E74B5" w:themeColor="accent1" w:themeShade="BF"/>
          <w:sz w:val="36"/>
          <w:szCs w:val="36"/>
        </w:rPr>
      </w:pPr>
    </w:p>
    <w:p w14:paraId="54C3B6C5" w14:textId="77777777" w:rsidR="000716E6" w:rsidRPr="00840A2C" w:rsidRDefault="000716E6">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2959CC26" w14:textId="25554EFB" w:rsidR="00D95459" w:rsidRPr="00840A2C" w:rsidRDefault="00D95459" w:rsidP="00D95459">
      <w:pPr>
        <w:pStyle w:val="Heading1"/>
        <w:rPr>
          <w:rFonts w:ascii="Calibri" w:hAnsi="Calibri" w:cs="Calibri"/>
        </w:rPr>
      </w:pPr>
      <w:bookmarkStart w:id="48" w:name="_Toc173164314"/>
      <w:r w:rsidRPr="00840A2C">
        <w:rPr>
          <w:rFonts w:ascii="Calibri" w:hAnsi="Calibri" w:cs="Calibri"/>
        </w:rPr>
        <w:lastRenderedPageBreak/>
        <w:t>Conclusions</w:t>
      </w:r>
      <w:bookmarkEnd w:id="48"/>
    </w:p>
    <w:p w14:paraId="5A645F00" w14:textId="6691D5C6" w:rsidR="00D95459" w:rsidRPr="00840A2C" w:rsidRDefault="00C75B9C" w:rsidP="00C75B9C">
      <w:pPr>
        <w:jc w:val="both"/>
        <w:rPr>
          <w:rFonts w:ascii="Calibri" w:eastAsiaTheme="majorEastAsia" w:hAnsi="Calibri" w:cs="Calibri"/>
          <w:color w:val="2E74B5" w:themeColor="accent1" w:themeShade="BF"/>
          <w:sz w:val="32"/>
          <w:szCs w:val="32"/>
        </w:rPr>
      </w:pPr>
      <w:r w:rsidRPr="00C75B9C">
        <w:rPr>
          <w:rFonts w:ascii="Calibri" w:hAnsi="Calibri" w:cs="Calibri"/>
          <w:sz w:val="24"/>
          <w:szCs w:val="24"/>
        </w:rPr>
        <w:t>My analysis revealed complex relationships between students’ sustainability competencies and innovative ESD interventions over time, with the involved group demonstrating higher sustainability attitudes and behaviours one year after the intervention compared to the control group, despite having displayed differences even at the start of the ESD intervention. These findings highlight the potential of innovative learning and teaching methods within ESD interventions, such as self-structured learning and group work (MONI?). I support the latest research advocating for the importance of using long-term empirical data (REF) and more robust experimental research designs (REF) to uncover longer-term dynamics that reveal more complex learning outcomes (REF EWM?). I further underscored the added value of incorporating efficacy beliefs into the objectives of ESD interventions, as well as in the measurement of sustainability competencies. To fully understand learning outcomes, including real-world behavioural changes, it is insufficient to rely solely on self-reported behaviour intentions and attitudes based on an instrumental understanding of ESD and educational approaches. More nuanced research that distinguishes the capacity for collective agency, as well as the desirability of self-chosen aims</w:t>
      </w:r>
      <w:r w:rsidRPr="00C75B9C">
        <w:rPr>
          <w:rFonts w:ascii="Calibri" w:hAnsi="Calibri" w:cs="Calibri"/>
          <w:sz w:val="24"/>
          <w:szCs w:val="24"/>
        </w:rPr>
        <w:t xml:space="preserve"> and potential external barriers</w:t>
      </w:r>
      <w:r w:rsidRPr="00C75B9C">
        <w:rPr>
          <w:rFonts w:ascii="Calibri" w:hAnsi="Calibri" w:cs="Calibri"/>
          <w:sz w:val="24"/>
          <w:szCs w:val="24"/>
        </w:rPr>
        <w:t xml:space="preserve">, is necessary. This continued development and empirical research can potentially expand upon the Triple A framework. My findings underscore the complexity of measuring sustainability competencies and the heterogeneity of students’ responses to them. Consequently, I support calls for more innovative ESD design as a promising avenue for fostering human agency. Accurately quantifying sustainability competencies in relation to ESD interventions will enhance predictions for more effective educational </w:t>
      </w:r>
      <w:r w:rsidRPr="00C75B9C">
        <w:rPr>
          <w:rFonts w:ascii="Calibri" w:hAnsi="Calibri" w:cs="Calibri"/>
          <w:sz w:val="24"/>
          <w:szCs w:val="24"/>
        </w:rPr>
        <w:t>policymaking</w:t>
      </w:r>
      <w:r w:rsidRPr="00C75B9C">
        <w:rPr>
          <w:rFonts w:ascii="Calibri" w:hAnsi="Calibri" w:cs="Calibri"/>
          <w:sz w:val="24"/>
          <w:szCs w:val="24"/>
        </w:rPr>
        <w:t xml:space="preserve"> in the context of our rapidly changing Anthropocene.</w:t>
      </w:r>
      <w:r w:rsidR="00D95459" w:rsidRPr="00840A2C">
        <w:rPr>
          <w:rFonts w:ascii="Calibri" w:hAnsi="Calibri" w:cs="Calibri"/>
        </w:rPr>
        <w:br w:type="page"/>
      </w:r>
    </w:p>
    <w:p w14:paraId="7E4DCEE2" w14:textId="1F7B5B25" w:rsidR="00492A4D" w:rsidRDefault="00CA1EEE" w:rsidP="002A4741">
      <w:pPr>
        <w:pStyle w:val="Heading1"/>
        <w:rPr>
          <w:rFonts w:ascii="Calibri" w:hAnsi="Calibri" w:cs="Calibri"/>
        </w:rPr>
      </w:pPr>
      <w:bookmarkStart w:id="49" w:name="_Toc173164315"/>
      <w:r w:rsidRPr="00840A2C">
        <w:rPr>
          <w:rFonts w:ascii="Calibri" w:hAnsi="Calibri" w:cs="Calibri"/>
        </w:rPr>
        <w:lastRenderedPageBreak/>
        <w:t>Appendices</w:t>
      </w:r>
      <w:bookmarkEnd w:id="49"/>
    </w:p>
    <w:p w14:paraId="48052AD5" w14:textId="11CB9A50" w:rsidR="00F51808" w:rsidRPr="00F51808" w:rsidRDefault="00F51808" w:rsidP="00F51808">
      <w:r>
        <w:t>STILL MISSING</w:t>
      </w:r>
    </w:p>
    <w:p w14:paraId="10402E0C" w14:textId="5938E016" w:rsidR="00E84BE6" w:rsidRPr="00840A2C" w:rsidRDefault="00E84BE6" w:rsidP="00E84BE6">
      <w:pPr>
        <w:pStyle w:val="Heading2"/>
        <w:rPr>
          <w:rFonts w:ascii="Calibri" w:hAnsi="Calibri" w:cs="Calibri"/>
        </w:rPr>
      </w:pPr>
      <w:bookmarkStart w:id="50" w:name="_Toc173164316"/>
      <w:r w:rsidRPr="00840A2C">
        <w:rPr>
          <w:rFonts w:ascii="Calibri" w:hAnsi="Calibri" w:cs="Calibri"/>
        </w:rPr>
        <w:t>Declaration of consent by parents/ info etc</w:t>
      </w:r>
      <w:bookmarkEnd w:id="50"/>
    </w:p>
    <w:p w14:paraId="46940F85" w14:textId="77777777" w:rsidR="00D9514E" w:rsidRPr="00840A2C" w:rsidRDefault="00D9514E" w:rsidP="00D9514E">
      <w:pPr>
        <w:rPr>
          <w:rFonts w:ascii="Calibri" w:hAnsi="Calibri" w:cs="Calibri"/>
        </w:rPr>
      </w:pPr>
    </w:p>
    <w:p w14:paraId="270CBC88" w14:textId="77777777" w:rsidR="00AC680C" w:rsidRPr="00840A2C" w:rsidRDefault="00AC680C">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01CF1FB3" w14:textId="5FFDCF76" w:rsidR="00E84BE6" w:rsidRPr="00840A2C" w:rsidRDefault="00D9514E" w:rsidP="00D9514E">
      <w:pPr>
        <w:pStyle w:val="Heading1"/>
        <w:rPr>
          <w:rFonts w:ascii="Calibri" w:hAnsi="Calibri" w:cs="Calibri"/>
        </w:rPr>
      </w:pPr>
      <w:bookmarkStart w:id="51" w:name="_Toc173164317"/>
      <w:r w:rsidRPr="00840A2C">
        <w:rPr>
          <w:rFonts w:ascii="Calibri" w:hAnsi="Calibri" w:cs="Calibri"/>
        </w:rPr>
        <w:lastRenderedPageBreak/>
        <w:t>Declaration of submission of the Master thesis</w:t>
      </w:r>
      <w:bookmarkEnd w:id="51"/>
    </w:p>
    <w:p w14:paraId="180435CD" w14:textId="2ED44C9F" w:rsidR="00D9514E" w:rsidRPr="00840A2C" w:rsidRDefault="00D9514E" w:rsidP="00D9514E">
      <w:pPr>
        <w:rPr>
          <w:rFonts w:ascii="Calibri" w:hAnsi="Calibri" w:cs="Calibri"/>
        </w:rPr>
      </w:pPr>
      <w:r w:rsidRPr="00840A2C">
        <w:rPr>
          <w:rFonts w:ascii="Calibri" w:hAnsi="Calibri" w:cs="Calibri"/>
        </w:rPr>
        <w:t>I hereby declare that I have written the submitted Master thesis independently, have not used any sources and aids other than those specified and have labelled all content taken from other works as such. The Master thesis submitted is not or was not the subject of another examination procedure, neither in its entirety nor in significant parts.</w:t>
      </w:r>
    </w:p>
    <w:p w14:paraId="0325EB0E" w14:textId="77777777" w:rsidR="00FC77C2" w:rsidRPr="00840A2C" w:rsidRDefault="00FC77C2" w:rsidP="00D9514E">
      <w:pPr>
        <w:rPr>
          <w:rFonts w:ascii="Calibri" w:hAnsi="Calibri" w:cs="Calibri"/>
        </w:rPr>
      </w:pPr>
    </w:p>
    <w:p w14:paraId="6D964A6A" w14:textId="24CBFE59" w:rsidR="00FC77C2" w:rsidRPr="00840A2C" w:rsidRDefault="00FC77C2" w:rsidP="00D9514E">
      <w:pPr>
        <w:rPr>
          <w:rFonts w:ascii="Calibri" w:hAnsi="Calibri" w:cs="Calibri"/>
        </w:rPr>
      </w:pPr>
      <w:r w:rsidRPr="00840A2C">
        <w:rPr>
          <w:rFonts w:ascii="Calibri" w:hAnsi="Calibri" w:cs="Calibri"/>
        </w:rPr>
        <w:t>______________________________</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_______________________________</w:t>
      </w:r>
    </w:p>
    <w:p w14:paraId="1E5AC5D6" w14:textId="3BB0B188" w:rsidR="00D9514E" w:rsidRPr="00840A2C" w:rsidRDefault="00FC77C2" w:rsidP="00D9514E">
      <w:pPr>
        <w:rPr>
          <w:rFonts w:ascii="Calibri" w:hAnsi="Calibri" w:cs="Calibri"/>
        </w:rPr>
      </w:pPr>
      <w:r w:rsidRPr="00840A2C">
        <w:rPr>
          <w:rFonts w:ascii="Calibri" w:hAnsi="Calibri" w:cs="Calibri"/>
        </w:rPr>
        <w:t>Place, date</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 xml:space="preserve"> Signature</w:t>
      </w:r>
    </w:p>
    <w:p w14:paraId="7360931C" w14:textId="77777777" w:rsidR="00D9514E" w:rsidRPr="00840A2C" w:rsidRDefault="00D9514E" w:rsidP="00D9514E">
      <w:pPr>
        <w:rPr>
          <w:rFonts w:ascii="Calibri" w:hAnsi="Calibri" w:cs="Calibri"/>
        </w:rPr>
      </w:pPr>
    </w:p>
    <w:p w14:paraId="3F9AA70A" w14:textId="77777777" w:rsidR="00D9514E" w:rsidRPr="00840A2C" w:rsidRDefault="00D9514E" w:rsidP="00E84BE6">
      <w:pPr>
        <w:rPr>
          <w:rFonts w:ascii="Calibri" w:hAnsi="Calibri" w:cs="Calibri"/>
        </w:rPr>
      </w:pPr>
    </w:p>
    <w:sectPr w:rsidR="00D9514E" w:rsidRPr="00840A2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609D0" w14:textId="77777777" w:rsidR="00DF4F5B" w:rsidRDefault="00DF4F5B" w:rsidP="00944D6D">
      <w:pPr>
        <w:spacing w:after="0" w:line="240" w:lineRule="auto"/>
      </w:pPr>
      <w:r>
        <w:separator/>
      </w:r>
    </w:p>
  </w:endnote>
  <w:endnote w:type="continuationSeparator" w:id="0">
    <w:p w14:paraId="36335A0A" w14:textId="77777777" w:rsidR="00DF4F5B" w:rsidRDefault="00DF4F5B" w:rsidP="00944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FFD6" w14:textId="77777777" w:rsidR="00944D6D" w:rsidRDefault="00944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78415"/>
      <w:docPartObj>
        <w:docPartGallery w:val="Page Numbers (Bottom of Page)"/>
        <w:docPartUnique/>
      </w:docPartObj>
    </w:sdtPr>
    <w:sdtEndPr>
      <w:rPr>
        <w:noProof/>
      </w:rPr>
    </w:sdtEndPr>
    <w:sdtContent>
      <w:p w14:paraId="0BE4F9BC" w14:textId="6B17A09D" w:rsidR="00944D6D" w:rsidRDefault="00944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2BA99" w14:textId="77777777" w:rsidR="00944D6D" w:rsidRDefault="00944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4FCD9" w14:textId="77777777" w:rsidR="00944D6D" w:rsidRDefault="00944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1247E" w14:textId="77777777" w:rsidR="00DF4F5B" w:rsidRDefault="00DF4F5B" w:rsidP="00944D6D">
      <w:pPr>
        <w:spacing w:after="0" w:line="240" w:lineRule="auto"/>
      </w:pPr>
      <w:r>
        <w:separator/>
      </w:r>
    </w:p>
  </w:footnote>
  <w:footnote w:type="continuationSeparator" w:id="0">
    <w:p w14:paraId="5BA0A25B" w14:textId="77777777" w:rsidR="00DF4F5B" w:rsidRDefault="00DF4F5B" w:rsidP="00944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6DCC" w14:textId="77777777" w:rsidR="00944D6D" w:rsidRDefault="00944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FB951" w14:textId="77777777" w:rsidR="00944D6D" w:rsidRDefault="00944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F402D" w14:textId="77777777" w:rsidR="00944D6D" w:rsidRDefault="0094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1"/>
  </w:num>
  <w:num w:numId="2" w16cid:durableId="1185171118">
    <w:abstractNumId w:val="4"/>
  </w:num>
  <w:num w:numId="3" w16cid:durableId="1333142728">
    <w:abstractNumId w:val="5"/>
  </w:num>
  <w:num w:numId="4" w16cid:durableId="1136683489">
    <w:abstractNumId w:val="0"/>
  </w:num>
  <w:num w:numId="5" w16cid:durableId="1509714377">
    <w:abstractNumId w:val="3"/>
  </w:num>
  <w:num w:numId="6" w16cid:durableId="160622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04199"/>
    <w:rsid w:val="0001058F"/>
    <w:rsid w:val="0001721A"/>
    <w:rsid w:val="0003587A"/>
    <w:rsid w:val="00046BC1"/>
    <w:rsid w:val="00047FFC"/>
    <w:rsid w:val="000716E6"/>
    <w:rsid w:val="000742FE"/>
    <w:rsid w:val="00083F0C"/>
    <w:rsid w:val="00085CF5"/>
    <w:rsid w:val="000C5D3A"/>
    <w:rsid w:val="000E75D1"/>
    <w:rsid w:val="000F0EAA"/>
    <w:rsid w:val="001024AF"/>
    <w:rsid w:val="001151DD"/>
    <w:rsid w:val="00121C9F"/>
    <w:rsid w:val="00123FD9"/>
    <w:rsid w:val="0016589A"/>
    <w:rsid w:val="00180811"/>
    <w:rsid w:val="00181C4C"/>
    <w:rsid w:val="001867AD"/>
    <w:rsid w:val="001B091C"/>
    <w:rsid w:val="001B384F"/>
    <w:rsid w:val="001B5505"/>
    <w:rsid w:val="001C0B70"/>
    <w:rsid w:val="001D2045"/>
    <w:rsid w:val="001D7024"/>
    <w:rsid w:val="001E1651"/>
    <w:rsid w:val="0023586A"/>
    <w:rsid w:val="00236133"/>
    <w:rsid w:val="0024274F"/>
    <w:rsid w:val="00285C0A"/>
    <w:rsid w:val="002862D0"/>
    <w:rsid w:val="002A4741"/>
    <w:rsid w:val="002B3B0A"/>
    <w:rsid w:val="002C225D"/>
    <w:rsid w:val="002C2F69"/>
    <w:rsid w:val="002D3412"/>
    <w:rsid w:val="002E518C"/>
    <w:rsid w:val="0030754A"/>
    <w:rsid w:val="00323F1C"/>
    <w:rsid w:val="00331819"/>
    <w:rsid w:val="0033792E"/>
    <w:rsid w:val="00341E32"/>
    <w:rsid w:val="003456E4"/>
    <w:rsid w:val="00395A6C"/>
    <w:rsid w:val="003A1A6D"/>
    <w:rsid w:val="003B3F50"/>
    <w:rsid w:val="003B5CC5"/>
    <w:rsid w:val="003C45AA"/>
    <w:rsid w:val="00406B61"/>
    <w:rsid w:val="00435392"/>
    <w:rsid w:val="0044568A"/>
    <w:rsid w:val="0045279A"/>
    <w:rsid w:val="00456A5A"/>
    <w:rsid w:val="00467ED5"/>
    <w:rsid w:val="004912B1"/>
    <w:rsid w:val="004918DF"/>
    <w:rsid w:val="00492A4D"/>
    <w:rsid w:val="004B0BD5"/>
    <w:rsid w:val="004E0D5E"/>
    <w:rsid w:val="004E2EAA"/>
    <w:rsid w:val="004E3A35"/>
    <w:rsid w:val="004E6AB3"/>
    <w:rsid w:val="004E73AE"/>
    <w:rsid w:val="00502665"/>
    <w:rsid w:val="00543767"/>
    <w:rsid w:val="0055277D"/>
    <w:rsid w:val="00553518"/>
    <w:rsid w:val="0056190C"/>
    <w:rsid w:val="00566A9D"/>
    <w:rsid w:val="00576E9D"/>
    <w:rsid w:val="0057785D"/>
    <w:rsid w:val="005A01EA"/>
    <w:rsid w:val="005A0524"/>
    <w:rsid w:val="005A5388"/>
    <w:rsid w:val="005C25AC"/>
    <w:rsid w:val="005E5695"/>
    <w:rsid w:val="006123EF"/>
    <w:rsid w:val="006315A1"/>
    <w:rsid w:val="0064000B"/>
    <w:rsid w:val="00646899"/>
    <w:rsid w:val="00646BFE"/>
    <w:rsid w:val="00661228"/>
    <w:rsid w:val="006877C3"/>
    <w:rsid w:val="006A0FA0"/>
    <w:rsid w:val="006A59E7"/>
    <w:rsid w:val="006C07E3"/>
    <w:rsid w:val="006C0C0B"/>
    <w:rsid w:val="006C2B07"/>
    <w:rsid w:val="006D2F8D"/>
    <w:rsid w:val="006D55B7"/>
    <w:rsid w:val="006E083F"/>
    <w:rsid w:val="006E793B"/>
    <w:rsid w:val="006E7E3B"/>
    <w:rsid w:val="006F5E43"/>
    <w:rsid w:val="0070095E"/>
    <w:rsid w:val="00701520"/>
    <w:rsid w:val="00702B60"/>
    <w:rsid w:val="007261A6"/>
    <w:rsid w:val="00726949"/>
    <w:rsid w:val="007317D1"/>
    <w:rsid w:val="00750637"/>
    <w:rsid w:val="0076350A"/>
    <w:rsid w:val="00770C6A"/>
    <w:rsid w:val="0078441F"/>
    <w:rsid w:val="00793B55"/>
    <w:rsid w:val="007A15DD"/>
    <w:rsid w:val="007B5E3A"/>
    <w:rsid w:val="007B71E9"/>
    <w:rsid w:val="007C6166"/>
    <w:rsid w:val="007D5870"/>
    <w:rsid w:val="007E7BE5"/>
    <w:rsid w:val="007F4FEF"/>
    <w:rsid w:val="00801737"/>
    <w:rsid w:val="0083606C"/>
    <w:rsid w:val="00840A2C"/>
    <w:rsid w:val="00845F82"/>
    <w:rsid w:val="0087467F"/>
    <w:rsid w:val="00881694"/>
    <w:rsid w:val="00891972"/>
    <w:rsid w:val="0089322C"/>
    <w:rsid w:val="00895C5C"/>
    <w:rsid w:val="008A6985"/>
    <w:rsid w:val="008B713B"/>
    <w:rsid w:val="008D1FE9"/>
    <w:rsid w:val="008E3071"/>
    <w:rsid w:val="00905D8D"/>
    <w:rsid w:val="009106EE"/>
    <w:rsid w:val="0093738F"/>
    <w:rsid w:val="00944D6D"/>
    <w:rsid w:val="009455E0"/>
    <w:rsid w:val="00946D98"/>
    <w:rsid w:val="0095213D"/>
    <w:rsid w:val="0096539E"/>
    <w:rsid w:val="00980F4B"/>
    <w:rsid w:val="00982277"/>
    <w:rsid w:val="00984871"/>
    <w:rsid w:val="009859B2"/>
    <w:rsid w:val="009B0373"/>
    <w:rsid w:val="009C031D"/>
    <w:rsid w:val="009C522A"/>
    <w:rsid w:val="009D0AB3"/>
    <w:rsid w:val="009E3E18"/>
    <w:rsid w:val="009F18A6"/>
    <w:rsid w:val="00A00C05"/>
    <w:rsid w:val="00A13455"/>
    <w:rsid w:val="00A169CD"/>
    <w:rsid w:val="00A16A4D"/>
    <w:rsid w:val="00A37622"/>
    <w:rsid w:val="00A401E2"/>
    <w:rsid w:val="00A65005"/>
    <w:rsid w:val="00A9358D"/>
    <w:rsid w:val="00A9454A"/>
    <w:rsid w:val="00AA3BB8"/>
    <w:rsid w:val="00AC2F27"/>
    <w:rsid w:val="00AC53F2"/>
    <w:rsid w:val="00AC680C"/>
    <w:rsid w:val="00AE4F63"/>
    <w:rsid w:val="00B1028E"/>
    <w:rsid w:val="00B13AC2"/>
    <w:rsid w:val="00B178A8"/>
    <w:rsid w:val="00B245C4"/>
    <w:rsid w:val="00B24BE3"/>
    <w:rsid w:val="00B27233"/>
    <w:rsid w:val="00B37BBC"/>
    <w:rsid w:val="00B40C75"/>
    <w:rsid w:val="00B469E6"/>
    <w:rsid w:val="00B52140"/>
    <w:rsid w:val="00B554F7"/>
    <w:rsid w:val="00B664B1"/>
    <w:rsid w:val="00B75956"/>
    <w:rsid w:val="00B7692A"/>
    <w:rsid w:val="00BB71E0"/>
    <w:rsid w:val="00BC4E5B"/>
    <w:rsid w:val="00BE4542"/>
    <w:rsid w:val="00BF3D33"/>
    <w:rsid w:val="00C001B8"/>
    <w:rsid w:val="00C1398E"/>
    <w:rsid w:val="00C16A95"/>
    <w:rsid w:val="00C22D30"/>
    <w:rsid w:val="00C3254D"/>
    <w:rsid w:val="00C4659A"/>
    <w:rsid w:val="00C54964"/>
    <w:rsid w:val="00C720ED"/>
    <w:rsid w:val="00C72AE5"/>
    <w:rsid w:val="00C7451B"/>
    <w:rsid w:val="00C75B9C"/>
    <w:rsid w:val="00C769C1"/>
    <w:rsid w:val="00C9268B"/>
    <w:rsid w:val="00CA1EEE"/>
    <w:rsid w:val="00CA4D91"/>
    <w:rsid w:val="00CA6C52"/>
    <w:rsid w:val="00CC7C06"/>
    <w:rsid w:val="00D05DDB"/>
    <w:rsid w:val="00D564AF"/>
    <w:rsid w:val="00D64864"/>
    <w:rsid w:val="00D90CC4"/>
    <w:rsid w:val="00D9514E"/>
    <w:rsid w:val="00D95459"/>
    <w:rsid w:val="00DB07CD"/>
    <w:rsid w:val="00DB14F4"/>
    <w:rsid w:val="00DB4F6B"/>
    <w:rsid w:val="00DE4607"/>
    <w:rsid w:val="00DF4F5B"/>
    <w:rsid w:val="00DF5021"/>
    <w:rsid w:val="00E20FB8"/>
    <w:rsid w:val="00E23BB9"/>
    <w:rsid w:val="00E44BDA"/>
    <w:rsid w:val="00E66E54"/>
    <w:rsid w:val="00E84BE6"/>
    <w:rsid w:val="00E944F0"/>
    <w:rsid w:val="00E949B7"/>
    <w:rsid w:val="00EA13F4"/>
    <w:rsid w:val="00EB4453"/>
    <w:rsid w:val="00EC0F31"/>
    <w:rsid w:val="00ED4686"/>
    <w:rsid w:val="00EE37D4"/>
    <w:rsid w:val="00EE4EDA"/>
    <w:rsid w:val="00EE53E8"/>
    <w:rsid w:val="00EF2C2E"/>
    <w:rsid w:val="00EF726A"/>
    <w:rsid w:val="00F314A3"/>
    <w:rsid w:val="00F32E58"/>
    <w:rsid w:val="00F476F0"/>
    <w:rsid w:val="00F47D9B"/>
    <w:rsid w:val="00F51808"/>
    <w:rsid w:val="00F573E2"/>
    <w:rsid w:val="00F97A7B"/>
    <w:rsid w:val="00FB0589"/>
    <w:rsid w:val="00FC0418"/>
    <w:rsid w:val="00FC77C2"/>
    <w:rsid w:val="00FD5518"/>
    <w:rsid w:val="00FE553C"/>
    <w:rsid w:val="00FE7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20"/>
    <w:rPr>
      <w:lang w:val="en-GB"/>
    </w:rPr>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69E6"/>
    <w:pPr>
      <w:keepNext/>
      <w:keepLines/>
      <w:spacing w:before="80" w:after="40"/>
      <w:outlineLvl w:val="3"/>
    </w:pPr>
    <w:rPr>
      <w:rFonts w:eastAsiaTheme="majorEastAsia" w:cstheme="majorBidi"/>
      <w:i/>
      <w:iCs/>
      <w:color w:val="2E74B5" w:themeColor="accent1" w:themeShade="BF"/>
      <w:kern w:val="2"/>
      <w:lang w:eastAsia="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 w:type="character" w:customStyle="1" w:styleId="Heading3Char">
    <w:name w:val="Heading 3 Char"/>
    <w:basedOn w:val="DefaultParagraphFont"/>
    <w:link w:val="Heading3"/>
    <w:uiPriority w:val="9"/>
    <w:rsid w:val="00A93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69E6"/>
    <w:rPr>
      <w:rFonts w:eastAsiaTheme="majorEastAsia" w:cstheme="majorBidi"/>
      <w:i/>
      <w:iCs/>
      <w:color w:val="2E74B5" w:themeColor="accent1" w:themeShade="BF"/>
      <w:kern w:val="2"/>
      <w:lang w:val="en-GB" w:eastAsia="en-GB"/>
      <w14:ligatures w14:val="standardContextual"/>
    </w:rPr>
  </w:style>
  <w:style w:type="paragraph" w:styleId="NormalWeb">
    <w:name w:val="Normal (Web)"/>
    <w:basedOn w:val="Normal"/>
    <w:uiPriority w:val="99"/>
    <w:unhideWhenUsed/>
    <w:rsid w:val="00B469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85C0A"/>
    <w:pPr>
      <w:spacing w:after="0" w:line="240" w:lineRule="auto"/>
    </w:pPr>
    <w:rPr>
      <w:rFonts w:eastAsia="Times New Roman" w:hAnsi="Times New Roman" w:cs="Times New Roman"/>
      <w:kern w:val="2"/>
      <w:lang w:val="en-GB"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5C0A"/>
    <w:pPr>
      <w:autoSpaceDE w:val="0"/>
      <w:autoSpaceDN w:val="0"/>
      <w:adjustRightInd w:val="0"/>
      <w:spacing w:after="0" w:line="240" w:lineRule="auto"/>
    </w:pPr>
    <w:rPr>
      <w:rFonts w:ascii="Calibri" w:eastAsia="Times New Roman" w:hAnsi="Calibri" w:cs="Calibri"/>
      <w:color w:val="000000"/>
      <w:sz w:val="24"/>
      <w:szCs w:val="24"/>
      <w:lang w:val="en-GB" w:eastAsia="en-GB"/>
      <w14:ligatures w14:val="standardContextual"/>
    </w:rPr>
  </w:style>
  <w:style w:type="character" w:customStyle="1" w:styleId="katex-mathml">
    <w:name w:val="katex-mathml"/>
    <w:basedOn w:val="DefaultParagraphFont"/>
    <w:rsid w:val="00285C0A"/>
  </w:style>
  <w:style w:type="character" w:customStyle="1" w:styleId="mord">
    <w:name w:val="mord"/>
    <w:basedOn w:val="DefaultParagraphFont"/>
    <w:rsid w:val="00285C0A"/>
  </w:style>
  <w:style w:type="character" w:customStyle="1" w:styleId="vlist-s">
    <w:name w:val="vlist-s"/>
    <w:basedOn w:val="DefaultParagraphFont"/>
    <w:rsid w:val="00285C0A"/>
  </w:style>
  <w:style w:type="character" w:customStyle="1" w:styleId="mrel">
    <w:name w:val="mrel"/>
    <w:basedOn w:val="DefaultParagraphFont"/>
    <w:rsid w:val="00285C0A"/>
  </w:style>
  <w:style w:type="paragraph" w:styleId="TOC3">
    <w:name w:val="toc 3"/>
    <w:basedOn w:val="Normal"/>
    <w:next w:val="Normal"/>
    <w:autoRedefine/>
    <w:uiPriority w:val="39"/>
    <w:unhideWhenUsed/>
    <w:rsid w:val="002E518C"/>
    <w:pPr>
      <w:spacing w:after="100"/>
      <w:ind w:left="440"/>
    </w:pPr>
  </w:style>
  <w:style w:type="character" w:customStyle="1" w:styleId="--l">
    <w:name w:val="--l"/>
    <w:basedOn w:val="DefaultParagraphFont"/>
    <w:rsid w:val="00046BC1"/>
  </w:style>
  <w:style w:type="character" w:customStyle="1" w:styleId="--r">
    <w:name w:val="--r"/>
    <w:basedOn w:val="DefaultParagraphFont"/>
    <w:rsid w:val="00046BC1"/>
  </w:style>
  <w:style w:type="paragraph" w:styleId="Header">
    <w:name w:val="header"/>
    <w:basedOn w:val="Normal"/>
    <w:link w:val="HeaderChar"/>
    <w:uiPriority w:val="99"/>
    <w:unhideWhenUsed/>
    <w:rsid w:val="00944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D6D"/>
    <w:rPr>
      <w:lang w:val="en-GB"/>
    </w:rPr>
  </w:style>
  <w:style w:type="paragraph" w:styleId="Footer">
    <w:name w:val="footer"/>
    <w:basedOn w:val="Normal"/>
    <w:link w:val="FooterChar"/>
    <w:uiPriority w:val="99"/>
    <w:unhideWhenUsed/>
    <w:rsid w:val="0094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D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4308">
      <w:bodyDiv w:val="1"/>
      <w:marLeft w:val="0"/>
      <w:marRight w:val="0"/>
      <w:marTop w:val="0"/>
      <w:marBottom w:val="0"/>
      <w:divBdr>
        <w:top w:val="none" w:sz="0" w:space="0" w:color="auto"/>
        <w:left w:val="none" w:sz="0" w:space="0" w:color="auto"/>
        <w:bottom w:val="none" w:sz="0" w:space="0" w:color="auto"/>
        <w:right w:val="none" w:sz="0" w:space="0" w:color="auto"/>
      </w:divBdr>
    </w:div>
    <w:div w:id="254020523">
      <w:bodyDiv w:val="1"/>
      <w:marLeft w:val="0"/>
      <w:marRight w:val="0"/>
      <w:marTop w:val="0"/>
      <w:marBottom w:val="0"/>
      <w:divBdr>
        <w:top w:val="none" w:sz="0" w:space="0" w:color="auto"/>
        <w:left w:val="none" w:sz="0" w:space="0" w:color="auto"/>
        <w:bottom w:val="none" w:sz="0" w:space="0" w:color="auto"/>
        <w:right w:val="none" w:sz="0" w:space="0" w:color="auto"/>
      </w:divBdr>
    </w:div>
    <w:div w:id="1246451629">
      <w:bodyDiv w:val="1"/>
      <w:marLeft w:val="0"/>
      <w:marRight w:val="0"/>
      <w:marTop w:val="0"/>
      <w:marBottom w:val="0"/>
      <w:divBdr>
        <w:top w:val="none" w:sz="0" w:space="0" w:color="auto"/>
        <w:left w:val="none" w:sz="0" w:space="0" w:color="auto"/>
        <w:bottom w:val="none" w:sz="0" w:space="0" w:color="auto"/>
        <w:right w:val="none" w:sz="0" w:space="0" w:color="auto"/>
      </w:divBdr>
    </w:div>
    <w:div w:id="1267469059">
      <w:bodyDiv w:val="1"/>
      <w:marLeft w:val="0"/>
      <w:marRight w:val="0"/>
      <w:marTop w:val="0"/>
      <w:marBottom w:val="0"/>
      <w:divBdr>
        <w:top w:val="none" w:sz="0" w:space="0" w:color="auto"/>
        <w:left w:val="none" w:sz="0" w:space="0" w:color="auto"/>
        <w:bottom w:val="none" w:sz="0" w:space="0" w:color="auto"/>
        <w:right w:val="none" w:sz="0" w:space="0" w:color="auto"/>
      </w:divBdr>
    </w:div>
    <w:div w:id="1486051846">
      <w:bodyDiv w:val="1"/>
      <w:marLeft w:val="0"/>
      <w:marRight w:val="0"/>
      <w:marTop w:val="0"/>
      <w:marBottom w:val="0"/>
      <w:divBdr>
        <w:top w:val="none" w:sz="0" w:space="0" w:color="auto"/>
        <w:left w:val="none" w:sz="0" w:space="0" w:color="auto"/>
        <w:bottom w:val="none" w:sz="0" w:space="0" w:color="auto"/>
        <w:right w:val="none" w:sz="0" w:space="0" w:color="auto"/>
      </w:divBdr>
    </w:div>
    <w:div w:id="1501308883">
      <w:bodyDiv w:val="1"/>
      <w:marLeft w:val="0"/>
      <w:marRight w:val="0"/>
      <w:marTop w:val="0"/>
      <w:marBottom w:val="0"/>
      <w:divBdr>
        <w:top w:val="none" w:sz="0" w:space="0" w:color="auto"/>
        <w:left w:val="none" w:sz="0" w:space="0" w:color="auto"/>
        <w:bottom w:val="none" w:sz="0" w:space="0" w:color="auto"/>
        <w:right w:val="none" w:sz="0" w:space="0" w:color="auto"/>
      </w:divBdr>
    </w:div>
    <w:div w:id="1508130626">
      <w:bodyDiv w:val="1"/>
      <w:marLeft w:val="0"/>
      <w:marRight w:val="0"/>
      <w:marTop w:val="0"/>
      <w:marBottom w:val="0"/>
      <w:divBdr>
        <w:top w:val="none" w:sz="0" w:space="0" w:color="auto"/>
        <w:left w:val="none" w:sz="0" w:space="0" w:color="auto"/>
        <w:bottom w:val="none" w:sz="0" w:space="0" w:color="auto"/>
        <w:right w:val="none" w:sz="0" w:space="0" w:color="auto"/>
      </w:divBdr>
    </w:div>
    <w:div w:id="1611471482">
      <w:bodyDiv w:val="1"/>
      <w:marLeft w:val="0"/>
      <w:marRight w:val="0"/>
      <w:marTop w:val="0"/>
      <w:marBottom w:val="0"/>
      <w:divBdr>
        <w:top w:val="none" w:sz="0" w:space="0" w:color="auto"/>
        <w:left w:val="none" w:sz="0" w:space="0" w:color="auto"/>
        <w:bottom w:val="none" w:sz="0" w:space="0" w:color="auto"/>
        <w:right w:val="none" w:sz="0" w:space="0" w:color="auto"/>
      </w:divBdr>
    </w:div>
    <w:div w:id="18984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45520</Words>
  <Characters>259466</Characters>
  <Application>Microsoft Office Word</Application>
  <DocSecurity>0</DocSecurity>
  <Lines>2162</Lines>
  <Paragraphs>608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2</cp:revision>
  <dcterms:created xsi:type="dcterms:W3CDTF">2024-07-31T08:06:00Z</dcterms:created>
  <dcterms:modified xsi:type="dcterms:W3CDTF">2024-07-31T08:06:00Z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id="7tBiljGj"/&gt;&lt;style id="http://www.zotero.org/styles/apa" locale="en-GB" hasBibliography="1" bibliographyStyleHasBeenSet="0"/&gt;&lt;prefs&gt;&lt;pref name="fieldType" value="Field"/&gt;&lt;/prefs&gt;&lt;/data&gt;</vt:lpwstr>
  </property>
</Properties>
</file>