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spacing w:after="200" w:before="0" w:line="312" w:lineRule="auto"/>
        <w:ind w:left="0" w:right="-6.259842519683616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rdgrp2q5tem8" w:id="0"/>
      <w:bookmarkEnd w:id="0"/>
      <w:r w:rsidDel="00000000" w:rsidR="00000000" w:rsidRPr="00000000">
        <w:rPr>
          <w:rFonts w:ascii="Rubik" w:cs="Rubik" w:eastAsia="Rubik" w:hAnsi="Rubik"/>
          <w:color w:val="666666"/>
          <w:sz w:val="36"/>
          <w:szCs w:val="3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12" w:lineRule="auto"/>
        <w:rPr>
          <w:rFonts w:ascii="Rajdhani" w:cs="Rajdhani" w:eastAsia="Rajdhani" w:hAnsi="Rajdhani"/>
          <w:b w:val="1"/>
          <w:color w:val="000000"/>
          <w:sz w:val="50"/>
          <w:szCs w:val="50"/>
        </w:rPr>
      </w:pPr>
      <w:bookmarkStart w:colFirst="0" w:colLast="0" w:name="_heading=h.30j0zll" w:id="1"/>
      <w:bookmarkEnd w:id="1"/>
      <w:r w:rsidDel="00000000" w:rsidR="00000000" w:rsidRPr="00000000">
        <w:rPr>
          <w:rFonts w:ascii="Rubik" w:cs="Rubik" w:eastAsia="Rubik" w:hAnsi="Rubik"/>
          <w:b w:val="1"/>
          <w:color w:val="000000"/>
          <w:sz w:val="50"/>
          <w:szCs w:val="50"/>
          <w:rtl w:val="0"/>
        </w:rPr>
        <w:t xml:space="preserve">Patrón Proxy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12" w:lineRule="auto"/>
        <w:rPr>
          <w:rFonts w:ascii="Rajdhani" w:cs="Rajdhani" w:eastAsia="Rajdhani" w:hAnsi="Rajdhani"/>
          <w:b w:val="1"/>
          <w:color w:val="434343"/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before="0" w:line="312" w:lineRule="auto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Realizar el diagrama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UML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programar en Java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implementando patrón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Proxy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según el siguiente enunciado. A tener en cuenta: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spacing w:after="200" w:before="0" w:line="276" w:lineRule="auto"/>
        <w:ind w:left="720" w:hanging="360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Ejercicio individual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200" w:before="0" w:line="276" w:lineRule="auto"/>
        <w:ind w:left="720" w:hanging="360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Nivel de complejidad: intermedio 🔥🔥</w:t>
      </w:r>
    </w:p>
    <w:p w:rsidR="00000000" w:rsidDel="00000000" w:rsidP="00000000" w:rsidRDefault="00000000" w:rsidRPr="00000000" w14:paraId="00000007">
      <w:pPr>
        <w:spacing w:after="120" w:before="360" w:line="312" w:lineRule="auto"/>
        <w:ind w:left="0" w:firstLine="0"/>
        <w:jc w:val="both"/>
        <w:rPr>
          <w:rFonts w:ascii="Rajdhani" w:cs="Rajdhani" w:eastAsia="Rajdhani" w:hAnsi="Rajdhani"/>
          <w:b w:val="1"/>
          <w:sz w:val="34"/>
          <w:szCs w:val="34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before="0" w:line="331.20000000000005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El servicio de Spotify pago permite descargar canciones para escuchar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offline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Cuando un usuario solicita descargar una canción, el servicio de Spotify comprueba si es un usuario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premium,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para darle acceso a esta funcionalidad. Los usuarios tienen un identificador y un Enum con el tipo de usuario (“Free”, “Premium”).</w:t>
      </w:r>
    </w:p>
    <w:p w:rsidR="00000000" w:rsidDel="00000000" w:rsidP="00000000" w:rsidRDefault="00000000" w:rsidRPr="00000000" w14:paraId="00000009">
      <w:pPr>
        <w:pageBreakBefore w:val="0"/>
        <w:spacing w:after="200" w:before="0" w:line="331.20000000000005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Implementar una clase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servicioDescarga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que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permita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descargar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una canción y mediante el patrón proxy comprobar si es posible hacerlo. </w:t>
      </w:r>
    </w:p>
    <w:p w:rsidR="00000000" w:rsidDel="00000000" w:rsidP="00000000" w:rsidRDefault="00000000" w:rsidRPr="00000000" w14:paraId="0000000A">
      <w:pPr>
        <w:pageBreakBefore w:val="0"/>
        <w:spacing w:after="200" w:before="0" w:line="331.20000000000005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Crear los casos de prueba necesarios para garantizar la calidad del método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descargar()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pacing w:after="200" w:before="0" w:line="331.20000000000005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¡Muchos éxitos!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8" w:w="11906" w:orient="portrait"/>
      <w:pgMar w:bottom="1440.0000000000002" w:top="1440.0000000000002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ubik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ajdhani">
    <w:embedRegular w:fontKey="{00000000-0000-0000-0000-000000000000}" r:id="rId21" w:subsetted="0"/>
    <w:embedBold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</w:t>
    </w:r>
    <w:r w:rsidDel="00000000" w:rsidR="00000000" w:rsidRPr="00000000">
      <w:rPr>
        <w:sz w:val="34"/>
        <w:szCs w:val="34"/>
        <w:rtl w:val="0"/>
      </w:rPr>
      <w:t xml:space="preserve">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1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spacing w:after="200" w:before="0" w:line="312" w:lineRule="auto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5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-6349</wp:posOffset>
          </wp:positionV>
          <wp:extent cx="7753350" cy="1182688"/>
          <wp:effectExtent b="0" l="0" r="0" t="0"/>
          <wp:wrapSquare wrapText="bothSides" distB="0" distT="0" distL="0" distR="0"/>
          <wp:docPr id="4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753350" cy="11826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5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ubikSemiBold-boldItalic.ttf"/><Relationship Id="rId11" Type="http://schemas.openxmlformats.org/officeDocument/2006/relationships/font" Target="fonts/RubikLight-italic.ttf"/><Relationship Id="rId22" Type="http://schemas.openxmlformats.org/officeDocument/2006/relationships/font" Target="fonts/Rajdhani-bold.ttf"/><Relationship Id="rId10" Type="http://schemas.openxmlformats.org/officeDocument/2006/relationships/font" Target="fonts/RubikLight-bold.ttf"/><Relationship Id="rId21" Type="http://schemas.openxmlformats.org/officeDocument/2006/relationships/font" Target="fonts/Rajdhani-regular.ttf"/><Relationship Id="rId13" Type="http://schemas.openxmlformats.org/officeDocument/2006/relationships/font" Target="fonts/Rubik-regular.ttf"/><Relationship Id="rId12" Type="http://schemas.openxmlformats.org/officeDocument/2006/relationships/font" Target="fonts/RubikLight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Light-regular.ttf"/><Relationship Id="rId15" Type="http://schemas.openxmlformats.org/officeDocument/2006/relationships/font" Target="fonts/Rubik-italic.ttf"/><Relationship Id="rId14" Type="http://schemas.openxmlformats.org/officeDocument/2006/relationships/font" Target="fonts/Rubik-bold.ttf"/><Relationship Id="rId17" Type="http://schemas.openxmlformats.org/officeDocument/2006/relationships/font" Target="fonts/RubikSemiBold-regular.ttf"/><Relationship Id="rId16" Type="http://schemas.openxmlformats.org/officeDocument/2006/relationships/font" Target="fonts/Rubik-boldItalic.ttf"/><Relationship Id="rId5" Type="http://schemas.openxmlformats.org/officeDocument/2006/relationships/font" Target="fonts/Roboto-regular.ttf"/><Relationship Id="rId19" Type="http://schemas.openxmlformats.org/officeDocument/2006/relationships/font" Target="fonts/RubikSemiBold-italic.ttf"/><Relationship Id="rId6" Type="http://schemas.openxmlformats.org/officeDocument/2006/relationships/font" Target="fonts/Roboto-bold.ttf"/><Relationship Id="rId18" Type="http://schemas.openxmlformats.org/officeDocument/2006/relationships/font" Target="fonts/RubikSemiBold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Eq64kTCNEcqGPl7JrgdWb/1e+A==">CgMxLjAyDmgucmRncnAycTV0ZW04MgloLjMwajB6bGwyCWguMWZvYjl0ZTgAciExbUpCUUFnNWwyYU1KbHpqcEpJZWhxdW9BWENHbjIxNnM=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