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D4" w:rsidRPr="0054337B" w:rsidRDefault="0099034D" w:rsidP="0099034D">
      <w:pPr>
        <w:jc w:val="center"/>
        <w:rPr>
          <w:color w:val="2F5496" w:themeColor="accent1" w:themeShade="BF"/>
          <w:sz w:val="24"/>
          <w:szCs w:val="24"/>
        </w:rPr>
      </w:pPr>
      <w:r w:rsidRPr="00F46E57">
        <w:rPr>
          <w:color w:val="2F5496" w:themeColor="accent1" w:themeShade="BF"/>
          <w:sz w:val="72"/>
          <w:u w:val="single"/>
        </w:rPr>
        <w:t>TPN:1 Índice de Masa Corporal</w:t>
      </w:r>
      <w:r w:rsidR="0054337B">
        <w:rPr>
          <w:color w:val="2F5496" w:themeColor="accent1" w:themeShade="BF"/>
          <w:sz w:val="72"/>
          <w:u w:val="single"/>
        </w:rPr>
        <w:br/>
      </w:r>
    </w:p>
    <w:p w:rsidR="00163F59" w:rsidRPr="0054337B" w:rsidRDefault="0054337B" w:rsidP="00163F59">
      <w:pPr>
        <w:rPr>
          <w:b/>
          <w:color w:val="000000" w:themeColor="text1"/>
          <w:sz w:val="24"/>
          <w:u w:val="single"/>
        </w:rPr>
      </w:pPr>
      <w:r w:rsidRPr="0054337B">
        <w:rPr>
          <w:b/>
          <w:color w:val="000000" w:themeColor="text1"/>
          <w:sz w:val="28"/>
          <w:u w:val="single"/>
        </w:rPr>
        <w:t>Alumno:</w:t>
      </w:r>
      <w:r w:rsidRPr="0054337B">
        <w:rPr>
          <w:color w:val="000000" w:themeColor="text1"/>
          <w:sz w:val="28"/>
        </w:rPr>
        <w:t xml:space="preserve"> </w:t>
      </w:r>
      <w:proofErr w:type="spellStart"/>
      <w:r w:rsidRPr="0054337B">
        <w:rPr>
          <w:color w:val="000000" w:themeColor="text1"/>
          <w:sz w:val="28"/>
        </w:rPr>
        <w:t>Juarez</w:t>
      </w:r>
      <w:proofErr w:type="spellEnd"/>
      <w:r w:rsidRPr="0054337B">
        <w:rPr>
          <w:color w:val="000000" w:themeColor="text1"/>
          <w:sz w:val="28"/>
        </w:rPr>
        <w:t>, Daniel Alejandro</w:t>
      </w:r>
      <w:r w:rsidRPr="0054337B">
        <w:rPr>
          <w:b/>
          <w:color w:val="000000" w:themeColor="text1"/>
          <w:sz w:val="28"/>
          <w:u w:val="single"/>
        </w:rPr>
        <w:br/>
        <w:t xml:space="preserve">Curso: </w:t>
      </w:r>
      <w:r w:rsidRPr="0054337B">
        <w:rPr>
          <w:color w:val="000000" w:themeColor="text1"/>
          <w:sz w:val="28"/>
        </w:rPr>
        <w:t>1R5</w:t>
      </w:r>
      <w:r w:rsidRPr="0054337B">
        <w:rPr>
          <w:b/>
          <w:color w:val="000000" w:themeColor="text1"/>
          <w:sz w:val="28"/>
          <w:u w:val="single"/>
        </w:rPr>
        <w:br/>
        <w:t xml:space="preserve">Legajo: </w:t>
      </w:r>
      <w:r w:rsidRPr="0054337B">
        <w:rPr>
          <w:color w:val="000000" w:themeColor="text1"/>
          <w:sz w:val="28"/>
        </w:rPr>
        <w:t>79111</w:t>
      </w:r>
      <w:r w:rsidRPr="0054337B">
        <w:rPr>
          <w:b/>
          <w:color w:val="000000" w:themeColor="text1"/>
          <w:sz w:val="28"/>
          <w:u w:val="single"/>
        </w:rPr>
        <w:br/>
        <w:t xml:space="preserve">Carrera: </w:t>
      </w:r>
      <w:r w:rsidRPr="0054337B">
        <w:rPr>
          <w:color w:val="000000" w:themeColor="text1"/>
          <w:sz w:val="28"/>
        </w:rPr>
        <w:t>Ingeniería Electrónica</w:t>
      </w:r>
      <w:r w:rsidRPr="0054337B">
        <w:rPr>
          <w:b/>
          <w:color w:val="000000" w:themeColor="text1"/>
          <w:sz w:val="28"/>
          <w:u w:val="single"/>
        </w:rPr>
        <w:br/>
        <w:t xml:space="preserve">Materia: </w:t>
      </w:r>
      <w:proofErr w:type="spellStart"/>
      <w:r w:rsidRPr="0054337B">
        <w:rPr>
          <w:color w:val="000000" w:themeColor="text1"/>
          <w:sz w:val="28"/>
        </w:rPr>
        <w:t>Informatica</w:t>
      </w:r>
      <w:proofErr w:type="spellEnd"/>
      <w:r w:rsidRPr="0054337B">
        <w:rPr>
          <w:color w:val="000000" w:themeColor="text1"/>
          <w:sz w:val="28"/>
        </w:rPr>
        <w:t xml:space="preserve"> 1</w:t>
      </w:r>
      <w:r w:rsidRPr="0054337B">
        <w:rPr>
          <w:b/>
          <w:color w:val="000000" w:themeColor="text1"/>
          <w:sz w:val="28"/>
          <w:u w:val="single"/>
        </w:rPr>
        <w:br/>
        <w:t xml:space="preserve">Año: </w:t>
      </w:r>
      <w:r w:rsidRPr="0054337B">
        <w:rPr>
          <w:color w:val="000000" w:themeColor="text1"/>
          <w:sz w:val="28"/>
        </w:rPr>
        <w:t>2019</w:t>
      </w:r>
      <w:r w:rsidRPr="0054337B">
        <w:rPr>
          <w:b/>
          <w:color w:val="000000" w:themeColor="text1"/>
          <w:sz w:val="28"/>
          <w:u w:val="single"/>
        </w:rPr>
        <w:br/>
      </w:r>
      <w:r>
        <w:rPr>
          <w:b/>
          <w:color w:val="000000" w:themeColor="text1"/>
          <w:sz w:val="24"/>
          <w:u w:val="single"/>
        </w:rPr>
        <w:br/>
      </w:r>
      <w:r>
        <w:rPr>
          <w:b/>
          <w:color w:val="000000" w:themeColor="text1"/>
          <w:sz w:val="24"/>
          <w:u w:val="single"/>
        </w:rPr>
        <w:br/>
      </w:r>
      <w:r w:rsidR="00163F59" w:rsidRPr="00D14CCF">
        <w:rPr>
          <w:b/>
          <w:color w:val="000000" w:themeColor="text1"/>
          <w:sz w:val="24"/>
          <w:u w:val="single"/>
        </w:rPr>
        <w:t>Índice de Masa Corporal (IMC):</w:t>
      </w:r>
      <w:r w:rsidR="00163F59">
        <w:rPr>
          <w:color w:val="000000" w:themeColor="text1"/>
          <w:sz w:val="24"/>
        </w:rPr>
        <w:t xml:space="preserve"> </w:t>
      </w:r>
      <w:r w:rsidR="00D14CCF">
        <w:rPr>
          <w:color w:val="000000" w:themeColor="text1"/>
          <w:sz w:val="24"/>
        </w:rPr>
        <w:t>E</w:t>
      </w:r>
      <w:r w:rsidR="00163F59" w:rsidRPr="00163F59">
        <w:rPr>
          <w:color w:val="000000" w:themeColor="text1"/>
          <w:sz w:val="24"/>
        </w:rPr>
        <w:t>s una razón matemática que asocia la masa y la talla de un individuo.</w:t>
      </w:r>
      <w:r w:rsidR="00163F59">
        <w:rPr>
          <w:color w:val="000000" w:themeColor="text1"/>
          <w:sz w:val="24"/>
        </w:rPr>
        <w:t xml:space="preserve"> </w:t>
      </w:r>
      <w:r w:rsidR="00163F59" w:rsidRPr="00163F59">
        <w:rPr>
          <w:color w:val="000000" w:themeColor="text1"/>
          <w:sz w:val="24"/>
        </w:rPr>
        <w:t>Hay que destacar que no se pueden aplicar los mismos valores de IMC en niños y adolescentes debido a su constante aumento de estatura y desarrollo corporal, por lo que se obtiene un IMC respecto a su edad y sexo.</w:t>
      </w:r>
      <w:r w:rsidR="00163F59">
        <w:rPr>
          <w:color w:val="000000" w:themeColor="text1"/>
          <w:sz w:val="24"/>
        </w:rPr>
        <w:t xml:space="preserve"> </w:t>
      </w:r>
      <w:r w:rsidR="00163F59" w:rsidRPr="00163F59">
        <w:rPr>
          <w:color w:val="000000" w:themeColor="text1"/>
          <w:sz w:val="24"/>
        </w:rPr>
        <w:t>Por ello, primero se deberá contar con la fecha de nacimiento y de medición para obtener la edad calculada y así ser más precisos al categorizar.</w:t>
      </w:r>
      <w:r w:rsidR="00163F59">
        <w:rPr>
          <w:color w:val="000000" w:themeColor="text1"/>
          <w:sz w:val="24"/>
        </w:rPr>
        <w:t xml:space="preserve"> </w:t>
      </w:r>
      <w:r w:rsidR="00163F59">
        <w:rPr>
          <w:color w:val="000000" w:themeColor="text1"/>
          <w:sz w:val="24"/>
        </w:rPr>
        <w:br/>
      </w:r>
      <w:r w:rsidR="00163F59" w:rsidRPr="00163F59">
        <w:rPr>
          <w:color w:val="000000" w:themeColor="text1"/>
          <w:sz w:val="24"/>
        </w:rPr>
        <w:t>Después se calculará el IMC con la misma fórmula que para el adulto, y después se comparará en tablas de crecimiento del CDC para el IMC por edad tanto para niños y niñas respectivamente para obtener la categoría del percentil. Dichos percentiles son una medida</w:t>
      </w:r>
      <w:r w:rsidR="00163F59">
        <w:rPr>
          <w:color w:val="000000" w:themeColor="text1"/>
          <w:sz w:val="24"/>
        </w:rPr>
        <w:t xml:space="preserve"> </w:t>
      </w:r>
      <w:r w:rsidR="00163F59" w:rsidRPr="00163F59">
        <w:rPr>
          <w:color w:val="000000" w:themeColor="text1"/>
          <w:sz w:val="24"/>
        </w:rPr>
        <w:t>que se utiliza con más frecuencia para evaluar el tamaño y los patrones de crecimiento de</w:t>
      </w:r>
      <w:r w:rsidR="00163F59">
        <w:rPr>
          <w:color w:val="000000" w:themeColor="text1"/>
          <w:sz w:val="24"/>
        </w:rPr>
        <w:t xml:space="preserve"> </w:t>
      </w:r>
      <w:r w:rsidR="00163F59" w:rsidRPr="00163F59">
        <w:rPr>
          <w:color w:val="000000" w:themeColor="text1"/>
          <w:sz w:val="24"/>
        </w:rPr>
        <w:t>niño</w:t>
      </w:r>
      <w:r w:rsidR="00163F59">
        <w:rPr>
          <w:color w:val="000000" w:themeColor="text1"/>
          <w:sz w:val="24"/>
        </w:rPr>
        <w:t>s</w:t>
      </w:r>
      <w:r w:rsidR="00163F59" w:rsidRPr="00163F59">
        <w:rPr>
          <w:color w:val="000000" w:themeColor="text1"/>
          <w:sz w:val="24"/>
        </w:rPr>
        <w:t xml:space="preserve"> en los Estados Unidos</w:t>
      </w:r>
      <w:r w:rsidR="0087773D">
        <w:rPr>
          <w:color w:val="000000" w:themeColor="text1"/>
          <w:sz w:val="24"/>
        </w:rPr>
        <w:t>.</w:t>
      </w:r>
      <w:r w:rsidR="00163F59" w:rsidRPr="00163F59">
        <w:rPr>
          <w:color w:val="000000" w:themeColor="text1"/>
          <w:sz w:val="24"/>
        </w:rPr>
        <w:t xml:space="preserve"> El percentil indica la posición relativa del número del IMC del niño entre niños del mismo sexo y edad. Las tablas de crecimiento muestran las categorías del nivel de peso que se usan con niños y adolescentes (bajo peso, peso saludable, sobrepeso y obeso)</w:t>
      </w:r>
    </w:p>
    <w:p w:rsidR="00163F59" w:rsidRPr="00D14CCF" w:rsidRDefault="00F46E57" w:rsidP="00D14CCF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84D1E8">
            <wp:simplePos x="0" y="0"/>
            <wp:positionH relativeFrom="column">
              <wp:posOffset>339090</wp:posOffset>
            </wp:positionH>
            <wp:positionV relativeFrom="paragraph">
              <wp:posOffset>158750</wp:posOffset>
            </wp:positionV>
            <wp:extent cx="4295775" cy="24003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CCF">
        <w:rPr>
          <w:color w:val="2F5496" w:themeColor="accent1" w:themeShade="BF"/>
          <w:sz w:val="24"/>
          <w:szCs w:val="24"/>
        </w:rPr>
        <w:t xml:space="preserve">                                                       </w:t>
      </w:r>
      <w:r w:rsidR="00D14CCF" w:rsidRPr="00D14CCF">
        <w:rPr>
          <w:b/>
          <w:color w:val="000000" w:themeColor="text1"/>
          <w:sz w:val="24"/>
          <w:szCs w:val="24"/>
        </w:rPr>
        <w:t>Tabla del IMC</w:t>
      </w:r>
    </w:p>
    <w:p w:rsidR="0099034D" w:rsidRDefault="0099034D" w:rsidP="0099034D">
      <w:pPr>
        <w:jc w:val="center"/>
        <w:rPr>
          <w:color w:val="2F5496" w:themeColor="accent1" w:themeShade="BF"/>
          <w:sz w:val="144"/>
        </w:rPr>
      </w:pPr>
    </w:p>
    <w:p w:rsidR="00D14CCF" w:rsidRPr="00F46E57" w:rsidRDefault="0054337B" w:rsidP="00D14CCF">
      <w:pPr>
        <w:rPr>
          <w:rFonts w:eastAsiaTheme="minorEastAsia"/>
          <w:sz w:val="24"/>
          <w:szCs w:val="24"/>
        </w:rPr>
      </w:pPr>
      <w:r>
        <w:rPr>
          <w:sz w:val="144"/>
        </w:rPr>
        <w:lastRenderedPageBreak/>
        <w:t xml:space="preserve">                        </w:t>
      </w:r>
      <w:r w:rsidR="00D14CCF" w:rsidRPr="00D14CCF">
        <w:rPr>
          <w:b/>
          <w:sz w:val="24"/>
          <w:szCs w:val="24"/>
          <w:u w:val="single"/>
        </w:rPr>
        <w:t>Cálculo de (IMC):</w:t>
      </w:r>
      <w:r w:rsidR="00D14CCF">
        <w:rPr>
          <w:sz w:val="24"/>
          <w:szCs w:val="24"/>
        </w:rPr>
        <w:t xml:space="preserve"> Se calcula con la siguiente operación </w:t>
      </w:r>
      <w:r w:rsidR="00D14CCF">
        <w:rPr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IMC)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masa [Kg]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estatura²[m²]</m:t>
              </m:r>
            </m:den>
          </m:f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  <w:r w:rsidR="00D14CCF">
        <w:rPr>
          <w:b/>
          <w:sz w:val="24"/>
          <w:szCs w:val="24"/>
          <w:u w:val="single"/>
        </w:rPr>
        <w:t>Ej:</w:t>
      </w:r>
      <w:r w:rsidR="00D14CCF">
        <w:rPr>
          <w:sz w:val="24"/>
          <w:szCs w:val="24"/>
        </w:rPr>
        <w:t xml:space="preserve"> Cálculo mi propio (IMC)</w:t>
      </w:r>
      <w:r w:rsidR="00D14CCF">
        <w:rPr>
          <w:sz w:val="24"/>
          <w:szCs w:val="24"/>
        </w:rPr>
        <w:br/>
      </w:r>
      <w:r w:rsidR="00D14CCF">
        <w:rPr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IMC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67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Kg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1.62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=25.05 Kg/m²</m:t>
          </m:r>
        </m:oMath>
      </m:oMathPara>
    </w:p>
    <w:p w:rsidR="00F46E57" w:rsidRPr="009A1C7C" w:rsidRDefault="009A1C7C" w:rsidP="00F46E57">
      <w:pPr>
        <w:rPr>
          <w:i/>
          <w:sz w:val="24"/>
          <w:szCs w:val="24"/>
        </w:rPr>
      </w:pPr>
      <w:r>
        <w:rPr>
          <w:i/>
          <w:sz w:val="24"/>
          <w:szCs w:val="24"/>
        </w:rPr>
        <w:t>“</w:t>
      </w:r>
      <w:r w:rsidRPr="009A1C7C">
        <w:rPr>
          <w:i/>
          <w:sz w:val="24"/>
          <w:szCs w:val="24"/>
        </w:rPr>
        <w:t xml:space="preserve">El cálculo de mi IMC me da como resultado </w:t>
      </w:r>
      <m:oMath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25.05 Kg/m²</m:t>
        </m:r>
      </m:oMath>
      <w:r>
        <w:rPr>
          <w:rFonts w:eastAsiaTheme="minorEastAsia"/>
          <w:i/>
          <w:sz w:val="24"/>
          <w:szCs w:val="24"/>
        </w:rPr>
        <w:t>”</w:t>
      </w:r>
      <w:bookmarkStart w:id="0" w:name="_GoBack"/>
      <w:bookmarkEnd w:id="0"/>
    </w:p>
    <w:sectPr w:rsidR="00F46E57" w:rsidRPr="009A1C7C" w:rsidSect="0054337B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D"/>
    <w:rsid w:val="00163F59"/>
    <w:rsid w:val="00200DD4"/>
    <w:rsid w:val="0054337B"/>
    <w:rsid w:val="0087773D"/>
    <w:rsid w:val="0099034D"/>
    <w:rsid w:val="009A1C7C"/>
    <w:rsid w:val="00D14CCF"/>
    <w:rsid w:val="00F4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C96FD"/>
  <w15:chartTrackingRefBased/>
  <w15:docId w15:val="{08D8AF09-D1C5-4E3C-AD92-547A8AA8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129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8591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2019-04-28T18:19:00Z</dcterms:created>
  <dcterms:modified xsi:type="dcterms:W3CDTF">2019-04-28T19:27:00Z</dcterms:modified>
</cp:coreProperties>
</file>