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174F" w14:textId="77777777" w:rsidR="00C22058" w:rsidRDefault="00000000">
      <w:pPr>
        <w:pStyle w:val="Heading1"/>
      </w:pPr>
      <w:r>
        <w:rPr>
          <w:sz w:val="24"/>
        </w:rPr>
        <w:t>Figure 2: Regional differences in neuronal response profiles to fear conditioning stimuli</w:t>
      </w:r>
    </w:p>
    <w:p w14:paraId="437D1E1F" w14:textId="7733FF85" w:rsidR="00C22058" w:rsidRDefault="00000000">
      <w:pPr>
        <w:jc w:val="both"/>
      </w:pPr>
      <w:r>
        <w:rPr>
          <w:b/>
          <w:sz w:val="20"/>
        </w:rPr>
        <w:t xml:space="preserve">(A) </w:t>
      </w:r>
      <w:r>
        <w:rPr>
          <w:sz w:val="20"/>
        </w:rPr>
        <w:t xml:space="preserve">Example single-neuron rasters for CS (left) and US (right) stimuli. Top to bottom: CS-selective neuron, US-selective neuron, multisensory neuron, and inhibited neuron. Red vertical lines mark stimulus onset. </w:t>
      </w:r>
      <w:r>
        <w:rPr>
          <w:b/>
          <w:sz w:val="20"/>
        </w:rPr>
        <w:t xml:space="preserve">(B) </w:t>
      </w:r>
      <w:r>
        <w:rPr>
          <w:sz w:val="20"/>
        </w:rPr>
        <w:t>Population responses across four brain regions (LA, BA, Astria, CeA). Columns 1-2: Z-scored heatmaps for CS and US trials, sorted by</w:t>
      </w:r>
      <w:r w:rsidR="00066506">
        <w:rPr>
          <w:sz w:val="20"/>
        </w:rPr>
        <w:t xml:space="preserve"> stimulus preference</w:t>
      </w:r>
      <w:r>
        <w:rPr>
          <w:sz w:val="20"/>
        </w:rPr>
        <w:t xml:space="preserve">. Column 3: Stacked bar charts showing cluster proportions (CS-selective: red, US-selective: blue, multisensory: purple, non-responsive: gray, inhibited: green). Columns 4-5: Average firing rate (Hz) for CS and US trials, showing mean response for each cluster with Savitzky-Golay smoothing (201 bins). </w:t>
      </w:r>
      <w:r>
        <w:rPr>
          <w:b/>
          <w:sz w:val="20"/>
        </w:rPr>
        <w:t xml:space="preserve">(C) </w:t>
      </w:r>
      <w:r>
        <w:rPr>
          <w:sz w:val="20"/>
        </w:rPr>
        <w:t xml:space="preserve">Chi-square test p-value matrix comparing cluster distributions across regions. Grayscale intensity indicates significance level: darker gray for p&lt;0.001, lighter gray for p&lt;0.05, white for p≥0.05. Text shows exact p-values and significance markers (***p&lt;0.001, **p&lt;0.01, *p&lt;0.05). </w:t>
      </w:r>
      <w:r>
        <w:rPr>
          <w:b/>
          <w:sz w:val="20"/>
        </w:rPr>
        <w:t xml:space="preserve">(D) </w:t>
      </w:r>
      <w:r>
        <w:rPr>
          <w:sz w:val="20"/>
        </w:rPr>
        <w:t>Comparison of US-evoked excitatory response metrics across LA, BA, and Astria. Three bar graphs show ΔnSpikes, ΔFR (Hz), and response length (ms) for US-selective and multisensory neurons. Individual data points shown as circles, bars represent mean ± SEM. Statistical comparisons use Kruskal-Wallis test with post-hoc pairwise Mann-Whitney U tests.</w:t>
      </w:r>
    </w:p>
    <w:sectPr w:rsidR="00C220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910262">
    <w:abstractNumId w:val="8"/>
  </w:num>
  <w:num w:numId="2" w16cid:durableId="905384354">
    <w:abstractNumId w:val="6"/>
  </w:num>
  <w:num w:numId="3" w16cid:durableId="1130594302">
    <w:abstractNumId w:val="5"/>
  </w:num>
  <w:num w:numId="4" w16cid:durableId="1294407500">
    <w:abstractNumId w:val="4"/>
  </w:num>
  <w:num w:numId="5" w16cid:durableId="766654522">
    <w:abstractNumId w:val="7"/>
  </w:num>
  <w:num w:numId="6" w16cid:durableId="1047685451">
    <w:abstractNumId w:val="3"/>
  </w:num>
  <w:num w:numId="7" w16cid:durableId="335304073">
    <w:abstractNumId w:val="2"/>
  </w:num>
  <w:num w:numId="8" w16cid:durableId="2029523200">
    <w:abstractNumId w:val="1"/>
  </w:num>
  <w:num w:numId="9" w16cid:durableId="114177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506"/>
    <w:rsid w:val="0015074B"/>
    <w:rsid w:val="0029639D"/>
    <w:rsid w:val="00307FBD"/>
    <w:rsid w:val="00326F90"/>
    <w:rsid w:val="00AA1D8D"/>
    <w:rsid w:val="00B47730"/>
    <w:rsid w:val="00C22058"/>
    <w:rsid w:val="00CB0664"/>
    <w:rsid w:val="00EA76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FE3E0"/>
  <w14:defaultImageDpi w14:val="300"/>
  <w15:docId w15:val="{2271C9E0-C7F7-48BC-983A-FD5FB132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1207</Characters>
  <Application>Microsoft Office Word</Application>
  <DocSecurity>0</DocSecurity>
  <Lines>15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Magyar, Daniel Laszlo</cp:lastModifiedBy>
  <cp:revision>2</cp:revision>
  <dcterms:created xsi:type="dcterms:W3CDTF">2025-11-14T21:41:00Z</dcterms:created>
  <dcterms:modified xsi:type="dcterms:W3CDTF">2025-11-14T21:41:00Z</dcterms:modified>
  <cp:category/>
</cp:coreProperties>
</file>