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C004" w14:textId="77777777" w:rsidR="008D3BD0" w:rsidRPr="00C40D1D" w:rsidRDefault="00000000">
      <w:pPr>
        <w:pStyle w:val="Heading1"/>
        <w:rPr>
          <w:sz w:val="20"/>
          <w:szCs w:val="20"/>
        </w:rPr>
      </w:pPr>
      <w:bookmarkStart w:id="0" w:name="_Hlk214036118"/>
      <w:r w:rsidRPr="00C40D1D">
        <w:rPr>
          <w:sz w:val="20"/>
          <w:szCs w:val="20"/>
        </w:rPr>
        <w:t>Figure 3: Regional comparison of CS-selective, US-selective, and multisensory neurons</w:t>
      </w:r>
    </w:p>
    <w:p w14:paraId="331A2E46" w14:textId="77777777" w:rsidR="008D3BD0" w:rsidRPr="00C40D1D" w:rsidRDefault="00000000">
      <w:pPr>
        <w:rPr>
          <w:sz w:val="20"/>
          <w:szCs w:val="20"/>
        </w:rPr>
      </w:pPr>
      <w:r w:rsidRPr="00C40D1D">
        <w:rPr>
          <w:b/>
          <w:sz w:val="20"/>
          <w:szCs w:val="20"/>
        </w:rPr>
        <w:t xml:space="preserve">(A) </w:t>
      </w:r>
      <w:r w:rsidRPr="00C40D1D">
        <w:rPr>
          <w:sz w:val="20"/>
          <w:szCs w:val="20"/>
        </w:rPr>
        <w:t xml:space="preserve">LA heatmaps showing z-scored PSTHs for CS (left), US (middle), and CS+US (right) stimuli. Neurons sorted by cluster (CS-selective, US-selective, multisensory, non-responsive, inhibited) based on CS and US responses only. Color scale shows z-score normalized to baseline (99th percentile). Black lines separate clusters. </w:t>
      </w:r>
      <w:r w:rsidRPr="00C40D1D">
        <w:rPr>
          <w:b/>
          <w:sz w:val="20"/>
          <w:szCs w:val="20"/>
        </w:rPr>
        <w:t xml:space="preserve">(B) </w:t>
      </w:r>
      <w:r w:rsidRPr="00C40D1D">
        <w:rPr>
          <w:sz w:val="20"/>
          <w:szCs w:val="20"/>
        </w:rPr>
        <w:t xml:space="preserve">LA lineplots showing population average firing rates (Hz) for CS-selective (red), US-selective (blue), and multisensory (purple) neurons. Each cluster displayed separately (stacked rows) for CS, US, and CS+US stimuli. Scalebar: 20 Hz. </w:t>
      </w:r>
      <w:r w:rsidRPr="00C40D1D">
        <w:rPr>
          <w:b/>
          <w:sz w:val="20"/>
          <w:szCs w:val="20"/>
        </w:rPr>
        <w:t xml:space="preserve">(C) </w:t>
      </w:r>
      <w:r w:rsidRPr="00C40D1D">
        <w:rPr>
          <w:sz w:val="20"/>
          <w:szCs w:val="20"/>
        </w:rPr>
        <w:t xml:space="preserve">LA bar charts </w:t>
      </w:r>
      <w:proofErr w:type="gramStart"/>
      <w:r w:rsidRPr="00C40D1D">
        <w:rPr>
          <w:sz w:val="20"/>
          <w:szCs w:val="20"/>
        </w:rPr>
        <w:t>showing</w:t>
      </w:r>
      <w:proofErr w:type="gramEnd"/>
      <w:r w:rsidRPr="00C40D1D">
        <w:rPr>
          <w:sz w:val="20"/>
          <w:szCs w:val="20"/>
        </w:rPr>
        <w:t xml:space="preserve"> delta firing rate (ΔFR) comparing CS, US, and CS+US responses within each cluster. Bars show mean ± SEM. Statistical comparisons use Wilcoxon signed-rank test (*p&lt;0.05, **p&lt;</w:t>
      </w:r>
      <w:proofErr w:type="gramStart"/>
      <w:r w:rsidRPr="00C40D1D">
        <w:rPr>
          <w:sz w:val="20"/>
          <w:szCs w:val="20"/>
        </w:rPr>
        <w:t>0.01, *</w:t>
      </w:r>
      <w:proofErr w:type="gramEnd"/>
      <w:r w:rsidRPr="00C40D1D">
        <w:rPr>
          <w:sz w:val="20"/>
          <w:szCs w:val="20"/>
        </w:rPr>
        <w:t xml:space="preserve">**p&lt;0.001). </w:t>
      </w:r>
      <w:r w:rsidRPr="00C40D1D">
        <w:rPr>
          <w:b/>
          <w:sz w:val="20"/>
          <w:szCs w:val="20"/>
        </w:rPr>
        <w:t xml:space="preserve">(D) </w:t>
      </w:r>
      <w:r w:rsidRPr="00C40D1D">
        <w:rPr>
          <w:sz w:val="20"/>
          <w:szCs w:val="20"/>
        </w:rPr>
        <w:t xml:space="preserve">AStria heatmaps, same format as panel A. </w:t>
      </w:r>
      <w:r w:rsidRPr="00C40D1D">
        <w:rPr>
          <w:b/>
          <w:sz w:val="20"/>
          <w:szCs w:val="20"/>
        </w:rPr>
        <w:t xml:space="preserve">(E) </w:t>
      </w:r>
      <w:r w:rsidRPr="00C40D1D">
        <w:rPr>
          <w:sz w:val="20"/>
          <w:szCs w:val="20"/>
        </w:rPr>
        <w:t xml:space="preserve">AStria lineplots, same format as panel B. </w:t>
      </w:r>
      <w:r w:rsidRPr="00C40D1D">
        <w:rPr>
          <w:b/>
          <w:sz w:val="20"/>
          <w:szCs w:val="20"/>
        </w:rPr>
        <w:t xml:space="preserve">(F) </w:t>
      </w:r>
      <w:r w:rsidRPr="00C40D1D">
        <w:rPr>
          <w:sz w:val="20"/>
          <w:szCs w:val="20"/>
        </w:rPr>
        <w:t xml:space="preserve">AStria bar charts, same format as panel C. </w:t>
      </w:r>
      <w:r w:rsidRPr="00C40D1D">
        <w:rPr>
          <w:b/>
          <w:sz w:val="20"/>
          <w:szCs w:val="20"/>
        </w:rPr>
        <w:t xml:space="preserve">(G) </w:t>
      </w:r>
      <w:r w:rsidRPr="00C40D1D">
        <w:rPr>
          <w:sz w:val="20"/>
          <w:szCs w:val="20"/>
        </w:rPr>
        <w:t xml:space="preserve">Pie charts showing proportions of CS-selective, US-selective, and multisensory neurons in LA (left) and AStria (right). Percentages indicate fraction of responsive neurons in each category. Legend shows cluster color coding. </w:t>
      </w:r>
      <w:r w:rsidRPr="00C40D1D">
        <w:rPr>
          <w:b/>
          <w:sz w:val="20"/>
          <w:szCs w:val="20"/>
        </w:rPr>
        <w:t xml:space="preserve">(H) </w:t>
      </w:r>
      <w:r w:rsidRPr="00C40D1D">
        <w:rPr>
          <w:sz w:val="20"/>
          <w:szCs w:val="20"/>
        </w:rPr>
        <w:t>Across region comparison of delta peak firing rate (ΔFR) for CS (left), US (middle), and CS+US (right) responsive neurons comparing LA vs AStria. Individual data points shown as grey circles with jitter. Bars show mean ± SEM. Statistical comparison using Wilcoxon rank-sum test (*p&lt;0.05, **p&lt;0.01, ***p&lt;0.001, n.s.=not significant). Y-axis scaled to 95th percentile to avoid compression from outliers.</w:t>
      </w:r>
      <w:bookmarkEnd w:id="0"/>
    </w:p>
    <w:sectPr w:rsidR="008D3BD0" w:rsidRPr="00C40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459202">
    <w:abstractNumId w:val="8"/>
  </w:num>
  <w:num w:numId="2" w16cid:durableId="1101953063">
    <w:abstractNumId w:val="6"/>
  </w:num>
  <w:num w:numId="3" w16cid:durableId="1610314835">
    <w:abstractNumId w:val="5"/>
  </w:num>
  <w:num w:numId="4" w16cid:durableId="412314178">
    <w:abstractNumId w:val="4"/>
  </w:num>
  <w:num w:numId="5" w16cid:durableId="1682707191">
    <w:abstractNumId w:val="7"/>
  </w:num>
  <w:num w:numId="6" w16cid:durableId="953287024">
    <w:abstractNumId w:val="3"/>
  </w:num>
  <w:num w:numId="7" w16cid:durableId="1751386351">
    <w:abstractNumId w:val="2"/>
  </w:num>
  <w:num w:numId="8" w16cid:durableId="2021538935">
    <w:abstractNumId w:val="1"/>
  </w:num>
  <w:num w:numId="9" w16cid:durableId="55423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233"/>
    <w:rsid w:val="0015074B"/>
    <w:rsid w:val="0029639D"/>
    <w:rsid w:val="00307FBD"/>
    <w:rsid w:val="00326F90"/>
    <w:rsid w:val="008D3BD0"/>
    <w:rsid w:val="00AA1D8D"/>
    <w:rsid w:val="00B47730"/>
    <w:rsid w:val="00C40D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2FE35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1417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3</cp:revision>
  <dcterms:created xsi:type="dcterms:W3CDTF">2013-12-23T23:15:00Z</dcterms:created>
  <dcterms:modified xsi:type="dcterms:W3CDTF">2025-11-14T23:10:00Z</dcterms:modified>
  <cp:category/>
</cp:coreProperties>
</file>