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BCFC" w14:textId="77777777" w:rsidR="00DD36F2" w:rsidRPr="006F3E15" w:rsidRDefault="00000000">
      <w:pPr>
        <w:pStyle w:val="Heading1"/>
        <w:rPr>
          <w:sz w:val="20"/>
          <w:szCs w:val="20"/>
        </w:rPr>
      </w:pPr>
      <w:bookmarkStart w:id="0" w:name="_Hlk214047960"/>
      <w:r w:rsidRPr="006F3E15">
        <w:rPr>
          <w:sz w:val="20"/>
          <w:szCs w:val="20"/>
        </w:rPr>
        <w:t xml:space="preserve">Figure 4: Monosynaptic responses to fear conditioning </w:t>
      </w:r>
      <w:proofErr w:type="gramStart"/>
      <w:r w:rsidRPr="006F3E15">
        <w:rPr>
          <w:sz w:val="20"/>
          <w:szCs w:val="20"/>
        </w:rPr>
        <w:t>stimuli</w:t>
      </w:r>
      <w:proofErr w:type="gramEnd"/>
      <w:r w:rsidRPr="006F3E15">
        <w:rPr>
          <w:sz w:val="20"/>
          <w:szCs w:val="20"/>
        </w:rPr>
        <w:t xml:space="preserve"> in LA and AStria</w:t>
      </w:r>
    </w:p>
    <w:p w14:paraId="652AF359" w14:textId="77777777" w:rsidR="00DD36F2" w:rsidRPr="006F3E15" w:rsidRDefault="00000000">
      <w:pPr>
        <w:rPr>
          <w:sz w:val="20"/>
          <w:szCs w:val="20"/>
        </w:rPr>
      </w:pPr>
      <w:r w:rsidRPr="006F3E15">
        <w:rPr>
          <w:b/>
          <w:sz w:val="20"/>
          <w:szCs w:val="20"/>
        </w:rPr>
        <w:t xml:space="preserve">(A) </w:t>
      </w:r>
      <w:r w:rsidRPr="006F3E15">
        <w:rPr>
          <w:sz w:val="20"/>
          <w:szCs w:val="20"/>
        </w:rPr>
        <w:t xml:space="preserve">LA monosynaptic heatmaps showing z-scored PSTHs for CS (left), US (middle), and CS+US (right) stimuli. Only neurons with detected responses in the monosynaptic window (0-25ms post-stimulus) are shown, sorted by cluster (CS-selective, US-selective, multisensory). Color scale shows z-score normalized to baseline (99th percentile). Black lines separate clusters. </w:t>
      </w:r>
      <w:r w:rsidRPr="006F3E15">
        <w:rPr>
          <w:b/>
          <w:sz w:val="20"/>
          <w:szCs w:val="20"/>
        </w:rPr>
        <w:t xml:space="preserve">(B) </w:t>
      </w:r>
      <w:r w:rsidRPr="006F3E15">
        <w:rPr>
          <w:sz w:val="20"/>
          <w:szCs w:val="20"/>
        </w:rPr>
        <w:t>LA delta peak firing rate (ΔFR) bar charts comparing CS, US, and CS+US responses for each cluster. Stacked vertically: CS-selective (top), US-selective (middle), multisensory (bottom). Bars show mean ± SEM. Statistical comparisons use Wilcoxon signed-rank test (*p&lt;0.05, **p&lt;</w:t>
      </w:r>
      <w:proofErr w:type="gramStart"/>
      <w:r w:rsidRPr="006F3E15">
        <w:rPr>
          <w:sz w:val="20"/>
          <w:szCs w:val="20"/>
        </w:rPr>
        <w:t>0.01, *</w:t>
      </w:r>
      <w:proofErr w:type="gramEnd"/>
      <w:r w:rsidRPr="006F3E15">
        <w:rPr>
          <w:sz w:val="20"/>
          <w:szCs w:val="20"/>
        </w:rPr>
        <w:t xml:space="preserve">**p&lt;0.001). </w:t>
      </w:r>
      <w:r w:rsidRPr="006F3E15">
        <w:rPr>
          <w:b/>
          <w:sz w:val="20"/>
          <w:szCs w:val="20"/>
        </w:rPr>
        <w:t xml:space="preserve">(C) </w:t>
      </w:r>
      <w:r w:rsidRPr="006F3E15">
        <w:rPr>
          <w:sz w:val="20"/>
          <w:szCs w:val="20"/>
        </w:rPr>
        <w:t xml:space="preserve">AStria monosynaptic heatmaps, same format as panel A. </w:t>
      </w:r>
      <w:r w:rsidRPr="006F3E15">
        <w:rPr>
          <w:b/>
          <w:sz w:val="20"/>
          <w:szCs w:val="20"/>
        </w:rPr>
        <w:t xml:space="preserve">(D) </w:t>
      </w:r>
      <w:r w:rsidRPr="006F3E15">
        <w:rPr>
          <w:sz w:val="20"/>
          <w:szCs w:val="20"/>
        </w:rPr>
        <w:t xml:space="preserve">AStria delta peak firing rate bar charts, same format as panel B. </w:t>
      </w:r>
      <w:r w:rsidRPr="006F3E15">
        <w:rPr>
          <w:b/>
          <w:sz w:val="20"/>
          <w:szCs w:val="20"/>
        </w:rPr>
        <w:t xml:space="preserve">(E) </w:t>
      </w:r>
      <w:r w:rsidRPr="006F3E15">
        <w:rPr>
          <w:sz w:val="20"/>
          <w:szCs w:val="20"/>
        </w:rPr>
        <w:t xml:space="preserve">Pie charts showing proportions of CS-selective, US-selective, and multisensory neurons among monosynaptic responders in LA (left) and AStria (right). Percentages indicate fraction of monosynaptic neurons in each category. </w:t>
      </w:r>
      <w:r w:rsidRPr="006F3E15">
        <w:rPr>
          <w:b/>
          <w:sz w:val="20"/>
          <w:szCs w:val="20"/>
        </w:rPr>
        <w:t xml:space="preserve">(F) </w:t>
      </w:r>
      <w:r w:rsidRPr="006F3E15">
        <w:rPr>
          <w:sz w:val="20"/>
          <w:szCs w:val="20"/>
        </w:rPr>
        <w:t xml:space="preserve">Across region comparison of delta peak firing rate (ΔFR) for CS (left), US (middle), and CS+US (right) monosynaptic responders comparing LA vs AStria. Individual data points shown as grey circles with jitter. Bars show mean ± SEM. Statistical comparison using Wilcoxon rank-sum test (*p&lt;0.05, **p&lt;0.01, ***p&lt;0.001, n.s.=not significant). Y-axis scaled to 95th percentile to avoid compression from outliers. </w:t>
      </w:r>
      <w:r w:rsidRPr="006F3E15">
        <w:rPr>
          <w:b/>
          <w:sz w:val="20"/>
          <w:szCs w:val="20"/>
        </w:rPr>
        <w:t xml:space="preserve">(G) </w:t>
      </w:r>
      <w:r w:rsidRPr="006F3E15">
        <w:rPr>
          <w:sz w:val="20"/>
          <w:szCs w:val="20"/>
        </w:rPr>
        <w:t>Onset latency comparison for monosynaptic responses. Three panels show CS, US, and CS+US onset latencies (ms) comparing LA vs AStria. Bars show mean ± SEM. Statistical comparison using Wilcoxon rank-sum test (*p&lt;0.05, **p&lt;0.01, ***p&lt;0.001, n.s.=not significant).</w:t>
      </w:r>
      <w:bookmarkEnd w:id="0"/>
    </w:p>
    <w:sectPr w:rsidR="00DD36F2" w:rsidRPr="006F3E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925489">
    <w:abstractNumId w:val="8"/>
  </w:num>
  <w:num w:numId="2" w16cid:durableId="353698286">
    <w:abstractNumId w:val="6"/>
  </w:num>
  <w:num w:numId="3" w16cid:durableId="1210220128">
    <w:abstractNumId w:val="5"/>
  </w:num>
  <w:num w:numId="4" w16cid:durableId="2056999535">
    <w:abstractNumId w:val="4"/>
  </w:num>
  <w:num w:numId="5" w16cid:durableId="412049230">
    <w:abstractNumId w:val="7"/>
  </w:num>
  <w:num w:numId="6" w16cid:durableId="1137794428">
    <w:abstractNumId w:val="3"/>
  </w:num>
  <w:num w:numId="7" w16cid:durableId="2038575970">
    <w:abstractNumId w:val="2"/>
  </w:num>
  <w:num w:numId="8" w16cid:durableId="90249847">
    <w:abstractNumId w:val="1"/>
  </w:num>
  <w:num w:numId="9" w16cid:durableId="48478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FBD"/>
    <w:rsid w:val="00326F90"/>
    <w:rsid w:val="006F3E15"/>
    <w:rsid w:val="00AA1D8D"/>
    <w:rsid w:val="00B47730"/>
    <w:rsid w:val="00CB0664"/>
    <w:rsid w:val="00DD36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B3919A"/>
  <w14:defaultImageDpi w14:val="300"/>
  <w15:docId w15:val="{2271C9E0-C7F7-48BC-983A-FD5FB132F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1528</Characters>
  <Application>Microsoft Office Word</Application>
  <DocSecurity>0</DocSecurity>
  <Lines>19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Magyar, Daniel Laszlo</cp:lastModifiedBy>
  <cp:revision>2</cp:revision>
  <dcterms:created xsi:type="dcterms:W3CDTF">2013-12-23T23:15:00Z</dcterms:created>
  <dcterms:modified xsi:type="dcterms:W3CDTF">2025-11-15T02:25:00Z</dcterms:modified>
  <cp:category/>
</cp:coreProperties>
</file>