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Figure 4: Monosynaptic onset latency analysis and statistical comparisons</w:t>
      </w:r>
    </w:p>
    <w:p>
      <w:r>
        <w:rPr>
          <w:b/>
          <w:sz w:val="20"/>
        </w:rPr>
        <w:t xml:space="preserve">(A) </w:t>
      </w:r>
      <w:r>
        <w:rPr>
          <w:sz w:val="20"/>
        </w:rPr>
        <w:t xml:space="preserve">Onset latency comparison between selective (CS-selective or US-selective) and multisensory (CS&amp;US) neurons. Six boxplots showing: LA CS-selective vs multisensory (CS latency), LA US-selective vs multisensory (US latency), LA CS&amp;US CS vs US latency, AStria CS-selective vs multisensory (CS latency), AStria US-selective vs multisensory (US latency), AStria CS&amp;US CS vs US latency. Box plots show median (center line), interquartile range (box), and full data range (whiskers). Statistical comparisons use Wilcoxon rank-sum test (*p&lt;0.05, **p&lt;0.01, ***p&lt;0.001, n.s.=not significant). </w:t>
      </w:r>
      <w:r>
        <w:rPr>
          <w:b/>
          <w:sz w:val="20"/>
        </w:rPr>
        <w:t xml:space="preserve">(B) </w:t>
      </w:r>
      <w:r>
        <w:rPr>
          <w:sz w:val="20"/>
        </w:rPr>
        <w:t xml:space="preserve">Permutation test validating regional differences in monosynaptic cluster distributions between LA and AStria. Histogram shows distribution of chi-square statistics from 10,000 permutations (grey bars) with observed chi-square value (red line). P-value indicates probability of observing the actual distribution under the null hypothesis of no regional differences. </w:t>
      </w:r>
      <w:r>
        <w:rPr>
          <w:b/>
          <w:sz w:val="20"/>
        </w:rPr>
        <w:t xml:space="preserve">(C) </w:t>
      </w:r>
      <w:r>
        <w:rPr>
          <w:sz w:val="20"/>
        </w:rPr>
        <w:t xml:space="preserve">Contingency table showing observed monosynaptic neuron counts for each cluster type (CS-selective, US-selective, CS&amp;US) in LA and AStria regions. </w:t>
      </w:r>
      <w:r>
        <w:rPr>
          <w:b/>
          <w:sz w:val="20"/>
        </w:rPr>
        <w:t xml:space="preserve">(D) </w:t>
      </w:r>
      <w:r>
        <w:rPr>
          <w:sz w:val="20"/>
        </w:rPr>
        <w:t xml:space="preserve">Statistical summary showing chi-square statistic, permutation p-value, Cramér's V effect size, and significance level (***p&lt;0.001, **p&lt;0.01, *p&lt;0.05, n.s.=not significant). </w:t>
      </w:r>
      <w:r>
        <w:rPr>
          <w:b/>
          <w:sz w:val="20"/>
        </w:rPr>
        <w:t xml:space="preserve">(E) </w:t>
      </w:r>
      <w:r>
        <w:rPr>
          <w:sz w:val="20"/>
        </w:rPr>
        <w:t>Kruskal-Wallis tests comparing CS vs US vs CS+US stimuli within each cluster for each region (6 panels total). Row 1: LA CS-sel, LA US-sel, LA CS&amp;US. Row 2: AStria CS-sel, AStria US-sel, AStria CS&amp;US. Each panel shows Kruskal-Wallis p-value with significance level (*p&lt;0.05, **p&lt;0.01, ***p&lt;0.001, n.s.=not significant) and post-hoc pairwise Wilcoxon signed-rank test results (CS-US, CS-Both, US-Both). Tests performed on monosynaptic ΔFR (Hz) metric from bar charts in main figure.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