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Figure 5: Light-inhibited neurons during optogenetic manipulation</w:t>
      </w:r>
    </w:p>
    <w:p>
      <w:r>
        <w:rPr>
          <w:b/>
          <w:sz w:val="20"/>
        </w:rPr>
        <w:t xml:space="preserve">(A) </w:t>
      </w:r>
      <w:r>
        <w:rPr>
          <w:sz w:val="20"/>
        </w:rPr>
        <w:t xml:space="preserve">Example raster plots from a single light-inhibited neuron (7th in LA heatmap) showing responses to CS and US stimuli. Four columns show CS no-light, CS light, US no-light, and US light conditions. Each row represents one trial with spike times shown as vertical marks. Red vertical line indicates stimulus onset. </w:t>
      </w:r>
      <w:r>
        <w:rPr>
          <w:b/>
          <w:sz w:val="20"/>
        </w:rPr>
        <w:t xml:space="preserve">(B) </w:t>
      </w:r>
      <w:r>
        <w:rPr>
          <w:sz w:val="20"/>
        </w:rPr>
        <w:t xml:space="preserve">LA heatmaps showing z-scored PSTHs for all light-inhibited neurons sorted by hierarchical clustering. Four panels show CS no-light, CS light, US no-light, and US light conditions. Color scale shows z-score normalized to baseline. Neurons sorted to maximize similarity in response patterns. </w:t>
      </w:r>
      <w:r>
        <w:rPr>
          <w:b/>
          <w:sz w:val="20"/>
        </w:rPr>
        <w:t xml:space="preserve">(C) </w:t>
      </w:r>
      <w:r>
        <w:rPr>
          <w:sz w:val="20"/>
        </w:rPr>
        <w:t xml:space="preserve">LA population average firing rate lineplots for light-inhibited neurons. Four panels show mean firing rate (Hz) over time for CS no-light (black), CS light (red), US no-light (black), and US light (red) conditions. Time axis centered at stimulus onset (0 ms). Shaded areas represent SEM. </w:t>
      </w:r>
      <w:r>
        <w:rPr>
          <w:b/>
          <w:sz w:val="20"/>
        </w:rPr>
        <w:t xml:space="preserve">(D) </w:t>
      </w:r>
      <w:r>
        <w:rPr>
          <w:sz w:val="20"/>
        </w:rPr>
        <w:t xml:space="preserve">AStria heatmaps showing z-scored PSTHs for all light-inhibited neurons, same format as panel B. </w:t>
      </w:r>
      <w:r>
        <w:rPr>
          <w:b/>
          <w:sz w:val="20"/>
        </w:rPr>
        <w:t xml:space="preserve">(E) </w:t>
      </w:r>
      <w:r>
        <w:rPr>
          <w:sz w:val="20"/>
        </w:rPr>
        <w:t>AStria population average firing rate lineplots for light-inhibited neurons, same format as panel C. Light-inhibited neurons identified using Wilcoxon ranksum test comparing recent baseline (−0.5 to 0s) vs earlier baseline (−5 to −0.5s) with criterion of p&lt;0.05 and ≥50% firing rate drop.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