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F5F9F" w14:textId="77A7A7BE" w:rsidR="004B75BF" w:rsidRPr="00023DF5" w:rsidRDefault="004B75BF" w:rsidP="00C71F9B">
      <w:pPr>
        <w:spacing w:line="240" w:lineRule="auto"/>
        <w:ind w:firstLine="708"/>
        <w:jc w:val="center"/>
        <w:rPr>
          <w:rFonts w:cs="Times New Roman"/>
          <w:b/>
          <w:bCs/>
          <w:lang w:val="es-ES"/>
        </w:rPr>
      </w:pPr>
      <w:bookmarkStart w:id="0" w:name="_Hlk159594098"/>
      <w:r>
        <w:rPr>
          <w:rFonts w:cs="Times New Roman"/>
          <w:b/>
          <w:bCs/>
          <w:lang w:val="es-ES"/>
        </w:rPr>
        <w:t xml:space="preserve">Comportamiento de las </w:t>
      </w:r>
      <w:bookmarkStart w:id="1" w:name="_Hlk159593595"/>
      <w:r>
        <w:rPr>
          <w:rFonts w:cs="Times New Roman"/>
          <w:b/>
          <w:bCs/>
          <w:lang w:val="es-ES"/>
        </w:rPr>
        <w:t>medidas de difusividad en sujetos con riesgo genético para enfermedad de Alzheimer</w:t>
      </w:r>
      <w:bookmarkEnd w:id="0"/>
      <w:bookmarkEnd w:id="1"/>
    </w:p>
    <w:p w14:paraId="31C444FC" w14:textId="5013F108" w:rsidR="004B75BF" w:rsidRPr="00023DF5" w:rsidRDefault="004B75BF" w:rsidP="004B75BF">
      <w:pPr>
        <w:spacing w:line="240" w:lineRule="auto"/>
        <w:jc w:val="center"/>
        <w:rPr>
          <w:rFonts w:cs="Times New Roman"/>
          <w:vertAlign w:val="superscript"/>
          <w:lang w:val="es-ES"/>
        </w:rPr>
      </w:pPr>
      <w:r w:rsidRPr="004B75BF">
        <w:rPr>
          <w:rFonts w:cs="Times New Roman"/>
          <w:u w:val="single"/>
          <w:lang w:val="es-ES"/>
        </w:rPr>
        <w:t>Juan Camilo Cano Londoño</w:t>
      </w:r>
      <w:r w:rsidRPr="004B75BF">
        <w:rPr>
          <w:rFonts w:cs="Times New Roman"/>
          <w:u w:val="single"/>
          <w:vertAlign w:val="superscript"/>
          <w:lang w:val="es-ES"/>
        </w:rPr>
        <w:t>1</w:t>
      </w:r>
      <w:r w:rsidRPr="00023DF5">
        <w:rPr>
          <w:rFonts w:cs="Times New Roman"/>
          <w:lang w:val="es-ES"/>
        </w:rPr>
        <w:t>, Carlos Andrés Tobón Quintero</w:t>
      </w:r>
      <w:r w:rsidRPr="00023DF5">
        <w:rPr>
          <w:rFonts w:cs="Times New Roman"/>
          <w:vertAlign w:val="superscript"/>
          <w:lang w:val="es-ES"/>
        </w:rPr>
        <w:t>1,</w:t>
      </w:r>
    </w:p>
    <w:p w14:paraId="51973284" w14:textId="3D55E2DA" w:rsidR="004B75BF" w:rsidRPr="00023DF5" w:rsidRDefault="004B75BF" w:rsidP="004B75BF">
      <w:pPr>
        <w:spacing w:line="240" w:lineRule="auto"/>
        <w:jc w:val="center"/>
        <w:rPr>
          <w:rFonts w:cs="Times New Roman"/>
          <w:lang w:val="es-ES"/>
        </w:rPr>
      </w:pPr>
      <w:r w:rsidRPr="00023DF5">
        <w:rPr>
          <w:rFonts w:cs="Times New Roman"/>
          <w:vertAlign w:val="superscript"/>
          <w:lang w:val="es-ES"/>
        </w:rPr>
        <w:t>1</w:t>
      </w:r>
      <w:r w:rsidRPr="00023DF5">
        <w:rPr>
          <w:rFonts w:cs="Times New Roman"/>
          <w:lang w:val="es-ES"/>
        </w:rPr>
        <w:t>Grupo Neuropsicología y Conducta, Facultad de Medicina, Universidad de Antioquia</w:t>
      </w:r>
      <w:r w:rsidR="00EC14DE">
        <w:rPr>
          <w:rFonts w:cs="Times New Roman"/>
          <w:lang w:val="es-ES"/>
        </w:rPr>
        <w:t xml:space="preserve"> </w:t>
      </w:r>
      <w:r w:rsidRPr="00023DF5">
        <w:rPr>
          <w:rFonts w:cs="Times New Roman"/>
          <w:lang w:val="es-ES"/>
        </w:rPr>
        <w:t>Medellín</w:t>
      </w:r>
    </w:p>
    <w:p w14:paraId="4B441FA7" w14:textId="28129673" w:rsidR="004B75BF" w:rsidRPr="00023DF5" w:rsidRDefault="004B75BF" w:rsidP="004B75BF">
      <w:pPr>
        <w:spacing w:line="240" w:lineRule="auto"/>
        <w:jc w:val="center"/>
        <w:rPr>
          <w:rFonts w:cs="Times New Roman"/>
          <w:lang w:val="es-ES"/>
        </w:rPr>
      </w:pPr>
      <w:r w:rsidRPr="00023DF5">
        <w:rPr>
          <w:rFonts w:cs="Times New Roman"/>
          <w:lang w:val="es-ES"/>
        </w:rPr>
        <w:t>Corporación de Ciencias Básicas Biomédicas</w:t>
      </w:r>
    </w:p>
    <w:p w14:paraId="0F7F16FF" w14:textId="77777777" w:rsidR="004B75BF" w:rsidRPr="00023DF5" w:rsidRDefault="004B75BF" w:rsidP="004B75BF">
      <w:pPr>
        <w:spacing w:line="240" w:lineRule="auto"/>
        <w:jc w:val="center"/>
        <w:rPr>
          <w:rFonts w:cs="Times New Roman"/>
          <w:lang w:val="es-ES"/>
        </w:rPr>
      </w:pPr>
      <w:r w:rsidRPr="00023DF5">
        <w:rPr>
          <w:rFonts w:cs="Times New Roman"/>
          <w:lang w:val="es-ES"/>
        </w:rPr>
        <w:t xml:space="preserve">Universidad de Antioquia </w:t>
      </w:r>
    </w:p>
    <w:p w14:paraId="19A1F980" w14:textId="77777777" w:rsidR="004B75BF" w:rsidRPr="00023DF5" w:rsidRDefault="004B75BF" w:rsidP="004B75BF">
      <w:pPr>
        <w:spacing w:line="240" w:lineRule="auto"/>
        <w:jc w:val="center"/>
        <w:rPr>
          <w:rStyle w:val="Hipervnculo"/>
          <w:rFonts w:cs="Times New Roman"/>
          <w:lang w:val="es-ES"/>
        </w:rPr>
      </w:pPr>
      <w:r w:rsidRPr="00023DF5">
        <w:rPr>
          <w:rFonts w:cs="Times New Roman"/>
          <w:lang w:val="es-ES"/>
        </w:rPr>
        <w:t xml:space="preserve">Correo: </w:t>
      </w:r>
      <w:hyperlink r:id="rId8" w:history="1">
        <w:r w:rsidRPr="00023DF5">
          <w:rPr>
            <w:rStyle w:val="Hipervnculo"/>
            <w:rFonts w:cs="Times New Roman"/>
            <w:lang w:val="es-ES"/>
          </w:rPr>
          <w:t>jcamilo.cano@udea.edu.co</w:t>
        </w:r>
      </w:hyperlink>
    </w:p>
    <w:p w14:paraId="63292DC8" w14:textId="226D8167" w:rsidR="00A53A05" w:rsidRDefault="00A53A05" w:rsidP="00EC14DE">
      <w:pPr>
        <w:jc w:val="center"/>
        <w:rPr>
          <w:b/>
          <w:bCs/>
          <w:lang w:val="es-ES"/>
        </w:rPr>
      </w:pPr>
      <w:r>
        <w:rPr>
          <w:b/>
          <w:bCs/>
          <w:lang w:val="es-ES"/>
        </w:rPr>
        <w:t>Resumen</w:t>
      </w:r>
    </w:p>
    <w:p w14:paraId="663BD426" w14:textId="77777777" w:rsidR="00437771" w:rsidRDefault="00A53A05" w:rsidP="00241749">
      <w:pPr>
        <w:rPr>
          <w:b/>
          <w:bCs/>
          <w:lang w:val="es-ES"/>
        </w:rPr>
      </w:pPr>
      <w:r>
        <w:rPr>
          <w:b/>
          <w:bCs/>
          <w:lang w:val="es-ES"/>
        </w:rPr>
        <w:t>Introducción</w:t>
      </w:r>
    </w:p>
    <w:p w14:paraId="12DCB9A0" w14:textId="5BA2EB10" w:rsidR="00241749" w:rsidRDefault="00241749" w:rsidP="00241749">
      <w:r w:rsidRPr="0005359F">
        <w:t>La enfermedad de Alzheimer</w:t>
      </w:r>
      <w:r w:rsidR="000B3B3F">
        <w:t xml:space="preserve"> </w:t>
      </w:r>
      <w:r w:rsidRPr="0005359F">
        <w:t>(EA) es una enfermedad neurodegenerativa</w:t>
      </w:r>
      <w:r w:rsidR="00FD77E5">
        <w:t>,</w:t>
      </w:r>
      <w:r w:rsidRPr="0005359F">
        <w:t xml:space="preserve"> considerada la causa más frecuente de demencia en el mundo</w:t>
      </w:r>
      <w:r w:rsidR="000B3B3F">
        <w:t xml:space="preserve"> </w:t>
      </w:r>
      <w:r w:rsidR="007340B1">
        <w:fldChar w:fldCharType="begin" w:fldLock="1"/>
      </w:r>
      <w:r w:rsidR="007340B1">
        <w:instrText>ADDIN CSL_CITATION {"citationItems":[{"id":"ITEM-1","itemData":{"DOI":"10.4067/S0717-92272003041200003","ISSN":"0717-9227","author":[{"dropping-particle":"","family":"Donoso","given":"Archibaldo","non-dropping-particle":"","parse-names":false,"suffix":""}],"container-title":"Revista chilena de neuro-psiquiatría","id":"ITEM-1","issued":{"date-parts":[["2003","11"]]},"page":"13-22","publisher":"Sociedad de Neurología, Psiquiatría y Neurocirugía","title":"La enfermedad de Alzheimer","type":"article-journal","volume":"41"},"uris":["http://www.mendeley.com/documents/?uuid=00cceed0-d384-35ee-b707-be941804ec0a"]},{"id":"ITEM-2","itemData":{"DOI":"10.3233/JAD-143006","author":[{"dropping-particle":"","family":"Lista","given":"Simone","non-dropping-particle":"","parse-names":false,"suffix":""},{"dropping-particle":"","family":"Bryant","given":"Sid E O","non-dropping-particle":"","parse-names":false,"suffix":""},{"dropping-particle":"","family":"Blennow","given":"Kaj","non-dropping-particle":"","parse-names":false,"suffix":""},{"dropping-particle":"","family":"Dubois","given":"Bruno","non-dropping-particle":"","parse-names":false,"suffix":""},{"dropping-particle":"","family":"Hugon","given":"Jacques","non-dropping-particle":"","parse-names":false,"suffix":""}],"id":"ITEM-2","issued":{"date-parts":[["2015"]]},"page":"291-317","title":"Biomarkers in Sporadic and Familial Alzheimer ’ s Disease","type":"article-journal","volume":"47"},"uris":["http://www.mendeley.com/documents/?uuid=7bbca357-2a3a-4ec3-9198-9d36e27a0215"]}],"mendeley":{"formattedCitation":"(1,2)","plainTextFormattedCitation":"(1,2)","previouslyFormattedCitation":"(1,2)"},"properties":{"noteIndex":0},"schema":"https://github.com/citation-style-language/schema/raw/master/csl-citation.json"}</w:instrText>
      </w:r>
      <w:r w:rsidR="007340B1">
        <w:fldChar w:fldCharType="separate"/>
      </w:r>
      <w:r w:rsidR="007340B1" w:rsidRPr="007340B1">
        <w:rPr>
          <w:noProof/>
        </w:rPr>
        <w:t>(1,2)</w:t>
      </w:r>
      <w:r w:rsidR="007340B1">
        <w:fldChar w:fldCharType="end"/>
      </w:r>
      <w:r w:rsidRPr="0005359F">
        <w:t xml:space="preserve">. </w:t>
      </w:r>
      <w:r w:rsidR="00FD77E5">
        <w:t>E</w:t>
      </w:r>
      <w:r w:rsidRPr="0005359F">
        <w:t xml:space="preserve">stá asociada a la acumulación de proteína beta amiloide en forma de placas seniles y proteína TAU hiperfosforilada. Esta última, es una proteína axonal que regula la estabilidad de los microtúbulos y funciones dependientes </w:t>
      </w:r>
      <w:r w:rsidR="00FD77E5">
        <w:t>de</w:t>
      </w:r>
      <w:r w:rsidRPr="0005359F">
        <w:t xml:space="preserve"> transporte del axón que</w:t>
      </w:r>
      <w:r w:rsidR="00FD77E5">
        <w:t xml:space="preserve"> al </w:t>
      </w:r>
      <w:r w:rsidRPr="0005359F">
        <w:t>hiperfosforila</w:t>
      </w:r>
      <w:r w:rsidR="00FD77E5">
        <w:t>rse</w:t>
      </w:r>
      <w:r w:rsidRPr="0005359F">
        <w:t xml:space="preserve"> produce </w:t>
      </w:r>
      <w:bookmarkStart w:id="2" w:name="_Hlk159594884"/>
      <w:r w:rsidRPr="0005359F">
        <w:t>neurotoxicidad por mecanismos de disfunción sináptica y estados excitotóxicos que inducen a la muerte neuronal</w:t>
      </w:r>
      <w:bookmarkEnd w:id="2"/>
      <w:r w:rsidR="004235C4">
        <w:t xml:space="preserve"> </w:t>
      </w:r>
      <w:r w:rsidR="007340B1">
        <w:fldChar w:fldCharType="begin" w:fldLock="1"/>
      </w:r>
      <w:r w:rsidR="009542FB">
        <w:instrText>ADDIN CSL_CITATION {"citationItems":[{"id":"ITEM-1","itemData":{"DOI":"10.1038/nrneurol.2017.162","ISSN":"17594766","abstract":"Most neurodegenerative diseases are proteinopathies, which are characterized by the aggregation of misfolded proteins. Although many proteins have an intrinsic propensity to aggregate, particularly when cellular clearance systems start to fail in the context of ageing, only a few form fibrillar aggregates. In Alzheimer disease, the peptide amyloid-β (Aβ) and the protein tau aggregate to form plaques and tangles, respectively, which comprise the histopathological hallmarks of this disease. This Review discusses the complexity of Aβ biogenesis, trafficking, post-translational modifications and aggregation states. Tau and its various isoforms, which are subject to a vast array of post-translational modifications, are also explored. The methodological advances that revealed this complexity are described. Finally, the toxic effects of distinct species of tau and Aβ are discussed, as well as the concept of protein 'strains', and how this knowledge can facilitate the development of early disease biomarkers for stratifying patients and validating new therapies. By targeting distinct species of Aβ and tau for therapeutic intervention, the way might be paved for personalized medicine and more-targeted treatment strategies.","author":[{"dropping-particle":"","family":"Polanco","given":"Juan Carlos","non-dropping-particle":"","parse-names":false,"suffix":""},{"dropping-particle":"","family":"Li","given":"Chuanzhou","non-dropping-particle":"","parse-names":false,"suffix":""},{"dropping-particle":"","family":"Bodea","given":"Liviu Gabriel","non-dropping-particle":"","parse-names":false,"suffix":""},{"dropping-particle":"","family":"Martinez-Marmol","given":"Ramon","non-dropping-particle":"","parse-names":false,"suffix":""},{"dropping-particle":"","family":"Meunier","given":"Frederic A.","non-dropping-particle":"","parse-names":false,"suffix":""},{"dropping-particle":"","family":"Götz","given":"Jürgen","non-dropping-particle":"","parse-names":false,"suffix":""}],"container-title":"Nature Reviews Neurology","id":"ITEM-1","issue":"1","issued":{"date-parts":[["2018"]]},"page":"22-40","publisher":"Nature Publishing Group","title":"Amyloid-β and tau complexity - Towards improved biomarkers and targeted therapies","type":"article-journal","volume":"14"},"uris":["http://www.mendeley.com/documents/?uuid=16c80eea-f5b5-46ac-b110-c6cbd43505e9"]},{"id":"ITEM-2","itemData":{"DOI":"10.1016/j.neurobiolaging.2017.04.024","ISSN":"15581497","abstract":"Pattern of diffusion tensor MRI (DTI) alterations were investigated in pathologically-staged Alzheimer's disease (AD) patients (n = 46). Patients with antemortem DTI studies and a range of AD pathology at autopsy were included. Patients with a high neurofibrillary tangle (NFT) stage (Braak IV–VI) had significantly elevated mean diffusivity (MD) in the crus of fornix and ventral cingulum tracts, precuneus, and entorhinal white matter on voxel-based analysis after adjusting for age and time from MRI to death (p &lt; 0.001). Higher MD and lower fractional anisotropy in the ventral cingulum tract, entorhinal, and precuneus white matter was associated with higher Braak NFT stage and clinical disease severity. There were no MD and fractional anisotropy differences among the low (none and sparse) and high (moderate and frequent) β-amyloid neuritic plaque groups. The NFT pathology of AD is associated with DTI alterations involving the medial temporal limbic connections and medial parietal white matter. This pattern of diffusion abnormalities is also associated with clinical disease severity.","author":[{"dropping-particle":"","family":"Kantarci","given":"Kejal","non-dropping-particle":"","parse-names":false,"suffix":""},{"dropping-particle":"","family":"Murray","given":"Melissa E.","non-dropping-particle":"","parse-names":false,"suffix":""},{"dropping-particle":"","family":"Schwarz","given":"Christopher G.","non-dropping-particle":"","parse-names":false,"suffix":""},{"dropping-particle":"","family":"Reid","given":"Robert I.","non-dropping-particle":"","parse-names":false,"suffix":""},{"dropping-particle":"","family":"Przybelski","given":"Scott A.","non-dropping-particle":"","parse-names":false,"suffix":""},{"dropping-particle":"","family":"Lesnick","given":"Timothy","non-dropping-particle":"","parse-names":false,"suffix":""},{"dropping-particle":"","family":"Zuk","given":"Samantha M.","non-dropping-particle":"","parse-names":false,"suffix":""},{"dropping-particle":"","family":"Raman","given":"Mekala R.","non-dropping-particle":"","parse-names":false,"suffix":""},{"dropping-particle":"","family":"Senjem","given":"Matthew L.","non-dropping-particle":"","parse-names":false,"suffix":""},{"dropping-particle":"","family":"Gunter","given":"Jeffrey L.","non-dropping-particle":"","parse-names":false,"suffix":""},{"dropping-particle":"","family":"Boeve","given":"Bradley F.","non-dropping-particle":"","parse-names":false,"suffix":""},{"dropping-particle":"","family":"Knopman","given":"David S.","non-dropping-particle":"","parse-names":false,"suffix":""},{"dropping-particle":"","family":"Parisi","given":"Joseph E.","non-dropping-particle":"","parse-names":false,"suffix":""},{"dropping-particle":"","family":"Petersen","given":"Ronald C.","non-dropping-particle":"","parse-names":false,"suffix":""},{"dropping-particle":"","family":"Jack","given":"Clifford R.","non-dropping-particle":"","parse-names":false,"suffix":""},{"dropping-particle":"","family":"Dickson","given":"Dennis W.","non-dropping-particle":"","parse-names":false,"suffix":""}],"container-title":"Neurobiology of Aging","id":"ITEM-2","issued":{"date-parts":[["2017"]]},"page":"172-179","publisher":"Elsevier Inc","title":"White-matter integrity on DTI and the pathologic staging of Alzheimer's disease","type":"article-journal","volume":"56"},"uris":["http://www.mendeley.com/documents/?uuid=9d0c5e79-30d9-4c50-b8df-f39f49e68f4d"]},{"id":"ITEM-3","itemData":{"ISBN":"9788578110796","ISSN":"14712458","PMID":"25246403","author":[{"dropping-particle":"","family":"Filley","given":"Christopher M.","non-dropping-particle":"","parse-names":false,"suffix":""}],"container-title":"BMC Public Health","id":"ITEM-3","issue":"1","issued":{"date-parts":[["0"]]},"number-of-pages":"1-8","title":"The Behavioral Neurology of White Matter","type":"book","volume":"5"},"uris":["http://www.mendeley.com/documents/?uuid=a82b73bc-be67-4e66-891d-35699df77180"]}],"mendeley":{"formattedCitation":"(3–5)","plainTextFormattedCitation":"(3–5)","previouslyFormattedCitation":"(3–5)"},"properties":{"noteIndex":0},"schema":"https://github.com/citation-style-language/schema/raw/master/csl-citation.json"}</w:instrText>
      </w:r>
      <w:r w:rsidR="007340B1">
        <w:fldChar w:fldCharType="separate"/>
      </w:r>
      <w:r w:rsidR="007340B1" w:rsidRPr="007340B1">
        <w:rPr>
          <w:noProof/>
        </w:rPr>
        <w:t>(3–5)</w:t>
      </w:r>
      <w:r w:rsidR="007340B1">
        <w:fldChar w:fldCharType="end"/>
      </w:r>
      <w:r w:rsidR="0051258D">
        <w:t>.</w:t>
      </w:r>
    </w:p>
    <w:p w14:paraId="5026666D" w14:textId="757A8CEE" w:rsidR="00221D38" w:rsidRDefault="00221D38" w:rsidP="00241749">
      <w:r>
        <w:t xml:space="preserve">El diagnóstico </w:t>
      </w:r>
      <w:r w:rsidR="001473F9">
        <w:t xml:space="preserve">definitivo </w:t>
      </w:r>
      <w:r>
        <w:t xml:space="preserve">es postmortem por lo que las investigaciones </w:t>
      </w:r>
      <w:r w:rsidR="00FD77E5">
        <w:t>buscan</w:t>
      </w:r>
      <w:r>
        <w:t xml:space="preserve"> biomarcadores preclínicos</w:t>
      </w:r>
      <w:r w:rsidR="00F22587">
        <w:t xml:space="preserve"> </w:t>
      </w:r>
      <w:r w:rsidR="008131D1">
        <w:t>(2)</w:t>
      </w:r>
      <w:r>
        <w:t>. Dentro de estos,</w:t>
      </w:r>
      <w:r w:rsidR="001473F9">
        <w:t xml:space="preserve"> </w:t>
      </w:r>
      <w:r>
        <w:t xml:space="preserve">las imágenes de tensor de difusión han constituido una herramienta </w:t>
      </w:r>
      <w:r w:rsidR="00FD77E5">
        <w:t>para la evaluación de la sustancia blanca a través de métricas de difusividad media y anisotropía fraccional</w:t>
      </w:r>
      <w:r w:rsidR="008131D1">
        <w:t xml:space="preserve"> </w:t>
      </w:r>
      <w:r w:rsidR="001473F9">
        <w:t xml:space="preserve">que </w:t>
      </w:r>
      <w:r w:rsidR="001473F9" w:rsidRPr="0005359F">
        <w:t>refleja</w:t>
      </w:r>
      <w:r w:rsidR="001473F9">
        <w:t>n</w:t>
      </w:r>
      <w:r w:rsidR="001473F9" w:rsidRPr="0005359F">
        <w:t xml:space="preserve"> la integridad de los tractos</w:t>
      </w:r>
      <w:r w:rsidR="006475BB">
        <w:t xml:space="preserve"> </w:t>
      </w:r>
      <w:r w:rsidR="008131D1">
        <w:t>(4)</w:t>
      </w:r>
      <w:r w:rsidR="00FD77E5">
        <w:t xml:space="preserve">. </w:t>
      </w:r>
      <w:r w:rsidR="001473F9">
        <w:t>Estudios recientes evidencian cambios</w:t>
      </w:r>
      <w:r w:rsidR="001473F9" w:rsidRPr="0005359F">
        <w:t xml:space="preserve"> en </w:t>
      </w:r>
      <w:r w:rsidR="001473F9">
        <w:t>etapas clínicas de</w:t>
      </w:r>
      <w:r w:rsidR="001473F9" w:rsidRPr="0005359F">
        <w:t xml:space="preserve"> la EA </w:t>
      </w:r>
      <w:r w:rsidR="001473F9">
        <w:t xml:space="preserve">y </w:t>
      </w:r>
      <w:r w:rsidR="001473F9" w:rsidRPr="0005359F">
        <w:t>se han correlacionado con los hallazgos neuropatológicos de la sustancia blanca postmortem</w:t>
      </w:r>
      <w:r w:rsidR="00970B97">
        <w:t xml:space="preserve"> </w:t>
      </w:r>
      <w:r w:rsidR="001473F9" w:rsidRPr="0005359F">
        <w:fldChar w:fldCharType="begin" w:fldLock="1"/>
      </w:r>
      <w:r w:rsidR="001473F9">
        <w:instrText>ADDIN CSL_CITATION {"citationItems":[{"id":"ITEM-1","itemData":{"DOI":"10.3390/cells8080839","ISSN":"2073-4409","abstract":"This study aimed to discriminate between neuroinflammation and neuronal degeneration in the white matter (WM) and gray matter (GM) of patients with Parkinson’s disease (PD) using free-water (FW) imaging. Analysis using tract-based spatial statistics (TBSS) of 20 patients with PD and 20 healthy individuals revealed changes in FW imaging indices (i.e., reduced FW-corrected fractional anisotropy (FAT), increased FW-corrected mean, axial, and radial diffusivities (MDT, ADT, and RDT, respectively) and fractional volume of FW (FW) in somewhat more specific WM areas compared with the changes of DTI indices. The region-of-interest (ROI) analysis further supported these findings, whereby those with PD showed significantly lower FAT and higher MDT, ADT, and RDT (indices of neuronal degeneration) in anterior WM areas as well as higher FW (index of neuroinflammation) in posterior WM areas compared with the controls. Results of GM-based spatial statistics (GBSS) analysis revealed that patients with PD had significantly higher MDT, ADT, and FW than the controls, whereas ROI analysis showed significantly increased MDT and FW and a trend toward increased ADT in GM areas, corresponding to Braak stage IV. These findings support the hypothesis that neuroinflammation precedes neuronal degeneration in PD, whereas WM microstructural alterations precede changes in GM.","author":[{"dropping-particle":"","family":"Andica","given":"","non-dropping-particle":"","parse-names":false,"suffix":""},{"dropping-particle":"","family":"Kamagata","given":"","non-dropping-particle":"","parse-names":false,"suffix":""},{"dropping-particle":"","family":"Hatano","given":"","non-dropping-particle":"","parse-names":false,"suffix":""},{"dropping-particle":"","family":"Saito","given":"","non-dropping-particle":"","parse-names":false,"suffix":""},{"dropping-particle":"","family":"Uchida","given":"","non-dropping-particle":"","parse-names":false,"suffix":""},{"dropping-particle":"","family":"Ogawa","given":"","non-dropping-particle":"","parse-names":false,"suffix":""},{"dropping-particle":"","family":"Takeshige-Amano","given":"","non-dropping-particle":"","parse-names":false,"suffix":""},{"dropping-particle":"","family":"Zalesky","given":"","non-dropping-particle":"","parse-names":false,"suffix":""},{"dropping-particle":"","family":"Wada","given":"","non-dropping-particle":"","parse-names":false,"suffix":""},{"dropping-particle":"","family":"Suzuki","given":"","non-dropping-particle":"","parse-names":false,"suffix":""},{"dropping-particle":"","family":"Hagiwara","given":"","non-dropping-particle":"","parse-names":false,"suffix":""},{"dropping-particle":"","family":"Irie","given":"","non-dropping-particle":"","parse-names":false,"suffix":""},{"dropping-particle":"","family":"Hori","given":"","non-dropping-particle":"","parse-names":false,"suffix":""},{"dropping-particle":"","family":"Kumamaru","given":"","non-dropping-particle":"","parse-names":false,"suffix":""},{"dropping-particle":"","family":"Oyama","given":"","non-dropping-particle":"","parse-names":false,"suffix":""},{"dropping-particle":"","family":"Shimo","given":"","non-dropping-particle":"","parse-names":false,"suffix":""},{"dropping-particle":"","family":"Umemura","given":"","non-dropping-particle":"","parse-names":false,"suffix":""},{"dropping-particle":"","family":"Pantelis","given":"","non-dropping-particle":"","parse-names":false,"suffix":""},{"dropping-particle":"","family":"Hattori","given":"","non-dropping-particle":"","parse-names":false,"suffix":""},{"dropping-particle":"","family":"Aoki","given":"","non-dropping-particle":"","parse-names":false,"suffix":""}],"container-title":"Cells","id":"ITEM-1","issue":"8","issued":{"date-parts":[["2019"]]},"page":"839","title":"Free-Water Imaging in White and Gray Matter in Parkinson’s Disease","type":"article-journal","volume":"8"},"uris":["http://www.mendeley.com/documents/?uuid=89329271-fc95-49d8-b3c6-5ac9a618d94f"]},{"id":"ITEM-2","itemData":{"DOI":"10.3389/fnagi.2019.00270","ISSN":"16634365","abstract":"Recent evidence shows that neuroinflammation plays a role in many neurological diseases including mild cognitive impairment (MCI) and Alzheimer's disease (AD), and that free water (FW) modeling from clinically acquired diffusion MRI (DTI-like acquisitions) can be sensitive to this phenomenon. This FW index measures the fraction of the diffusion signal explained by isotropically unconstrained water, as estimated from a bi-tensor model. In this study, we developed a simple but powerful whole-brain FW measure designed for easy translation to clinical settings and potential use as a priori outcome measure in clinical trials. These simple FW measures use a “safe” white matter (WM) mask without gray matter (GM)/CSF partial volume contamination (WMsafe) near ventricles and sulci. We investigated if FW inside the WMsafe mask, including and excluding areas of white matter damage such as white matter hyperintensities (WMHs) as shown on T2 FLAIR, computed across the whole white matter could be indicative of diagnostic grouping along the AD continuum. After careful quality control, 81 cognitively normal controls (NC), 103 subjects with MCI and 42 with AD were selected from the ADNIGO and ADNI2 databases. We show that MCI and AD have significantly higher FW measures even after removing all partial volume contamination. We also show, for the first time, that when WMHs are removed from the masks, the significant results are maintained, which demonstrates that the FW measures are not just a byproduct of WMHs. Our new and simple FW measures can be used to increase our understanding of the role of inflammation-associated edema in AD and may aid in the differentiation of healthy subjects from MCI and AD patients.","author":[{"dropping-particle":"","family":"Dumont","given":"Matthieu","non-dropping-particle":"","parse-names":false,"suffix":""},{"dropping-particle":"","family":"Roy","given":"Maggie","non-dropping-particle":"","parse-names":false,"suffix":""},{"dropping-particle":"","family":"Jodoin","given":"Pierre Marc","non-dropping-particle":"","parse-names":false,"suffix":""},{"dropping-particle":"","family":"Morency","given":"Felix C.","non-dropping-particle":"","parse-names":false,"suffix":""},{"dropping-particle":"","family":"Houde","given":"Jean Christophe","non-dropping-particle":"","parse-names":false,"suffix":""},{"dropping-particle":"","family":"Xie","given":"Zhiyong","non-dropping-particle":"","parse-names":false,"suffix":""},{"dropping-particle":"","family":"Bauer","given":"Cici","non-dropping-particle":"","parse-names":false,"suffix":""},{"dropping-particle":"","family":"Samad","given":"Tarek A.","non-dropping-particle":"","parse-names":false,"suffix":""},{"dropping-particle":"","family":"Dijk","given":"Koene R.A.","non-dropping-particle":"Van","parse-names":false,"suffix":""},{"dropping-particle":"","family":"Goodman","given":"James A.","non-dropping-particle":"","parse-names":false,"suffix":""},{"dropping-particle":"","family":"Descoteaux","given":"Maxime","non-dropping-particle":"","parse-names":false,"suffix":""}],"container-title":"Frontiers in Aging Neuroscience","id":"ITEM-2","issue":"October","issued":{"date-parts":[["2019"]]},"page":"1-9","title":"Free Water in White Matter Differentiates MCI and AD From Control Subjects","type":"article-journal","volume":"11"},"uris":["http://www.mendeley.com/documents/?uuid=684a2cff-4351-4746-a2cc-7a5b70de64cb"]},{"id":"ITEM-3","itemData":{"DOI":"10.1016/j.neurobiolaging.2017.04.024","ISSN":"15581497","abstract":"Pattern of diffusion tensor MRI (DTI) alterations were investigated in pathologically-staged Alzheimer's disease (AD) patients (n = 46). Patients with antemortem DTI studies and a range of AD pathology at autopsy were included. Patients with a high neurofibrillary tangle (NFT) stage (Braak IV–VI) had significantly elevated mean diffusivity (MD) in the crus of fornix and ventral cingulum tracts, precuneus, and entorhinal white matter on voxel-based analysis after adjusting for age and time from MRI to death (p &lt; 0.001). Higher MD and lower fractional anisotropy in the ventral cingulum tract, entorhinal, and precuneus white matter was associated with higher Braak NFT stage and clinical disease severity. There were no MD and fractional anisotropy differences among the low (none and sparse) and high (moderate and frequent) β-amyloid neuritic plaque groups. The NFT pathology of AD is associated with DTI alterations involving the medial temporal limbic connections and medial parietal white matter. This pattern of diffusion abnormalities is also associated with clinical disease severity.","author":[{"dropping-particle":"","family":"Kantarci","given":"Kejal","non-dropping-particle":"","parse-names":false,"suffix":""},{"dropping-particle":"","family":"Murray","given":"Melissa E.","non-dropping-particle":"","parse-names":false,"suffix":""},{"dropping-particle":"","family":"Schwarz","given":"Christopher G.","non-dropping-particle":"","parse-names":false,"suffix":""},{"dropping-particle":"","family":"Reid","given":"Robert I.","non-dropping-particle":"","parse-names":false,"suffix":""},{"dropping-particle":"","family":"Przybelski","given":"Scott A.","non-dropping-particle":"","parse-names":false,"suffix":""},{"dropping-particle":"","family":"Lesnick","given":"Timothy","non-dropping-particle":"","parse-names":false,"suffix":""},{"dropping-particle":"","family":"Zuk","given":"Samantha M.","non-dropping-particle":"","parse-names":false,"suffix":""},{"dropping-particle":"","family":"Raman","given":"Mekala R.","non-dropping-particle":"","parse-names":false,"suffix":""},{"dropping-particle":"","family":"Senjem","given":"Matthew L.","non-dropping-particle":"","parse-names":false,"suffix":""},{"dropping-particle":"","family":"Gunter","given":"Jeffrey L.","non-dropping-particle":"","parse-names":false,"suffix":""},{"dropping-particle":"","family":"Boeve","given":"Bradley F.","non-dropping-particle":"","parse-names":false,"suffix":""},{"dropping-particle":"","family":"Knopman","given":"David S.","non-dropping-particle":"","parse-names":false,"suffix":""},{"dropping-particle":"","family":"Parisi","given":"Joseph E.","non-dropping-particle":"","parse-names":false,"suffix":""},{"dropping-particle":"","family":"Petersen","given":"Ronald C.","non-dropping-particle":"","parse-names":false,"suffix":""},{"dropping-particle":"","family":"Jack","given":"Clifford R.","non-dropping-particle":"","parse-names":false,"suffix":""},{"dropping-particle":"","family":"Dickson","given":"Dennis W.","non-dropping-particle":"","parse-names":false,"suffix":""}],"container-title":"Neurobiology of Aging","id":"ITEM-3","issued":{"date-parts":[["2017"]]},"page":"172-179","publisher":"Elsevier Inc","title":"White-matter integrity on DTI and the pathologic staging of Alzheimer's disease","type":"article-journal","volume":"56"},"uris":["http://www.mendeley.com/documents/?uuid=9d0c5e79-30d9-4c50-b8df-f39f49e68f4d"]},{"id":"ITEM-4","itemData":{"DOI":"10.1016/j.nicl.2013.07.006","ISSN":"22131582","abstract":"The Alzheimer's Disease Neuroimaging Initiative (ADNI) recently added diffusion tensor imaging (DTI), among several other new imaging modalities, in an effort to identify sensitive biomarkers of Alzheimer's disease (AD). While anatomical MRI is the main structural neuroimaging method used in most AD studies and clinical trials, DTI is sensitive to microscopic white matter (WM) changes not detectable with standard MRI, offering additional markers of neurodegeneration. Prior DTI studies of AD report lower fractional anisotropy (FA), and increased mean, axial, and radial diffusivity (MD, AxD, RD) throughout WM. Here we assessed which DTI measures may best identify differences among AD, mild cognitive impairment (MCI), and cognitively healthy elderly control (NC) groups, in region of interest (ROI) and voxel-based analyses of 155 ADNI participants (mean age: 73.5 ± 7.4; 90 M/65 F; 44 NC, 88 MCI, 23 AD). Both VBA and ROI analyses revealed widespread group differences in FA and all diffusivity measures. DTI maps were strongly correlated with widely-used clinical ratings (MMSE, CDR-sob, and ADAS-cog). When effect sizes were ranked, FA analyses were least sensitive for picking up group differences. Diffusivity measures could detect more subtle MCI differences, where FA could not. ROIs showing strongest group differentiation (lowest p-values) included tracts that pass through the temporal lobe, and posterior brain regions. The left hippocampal component of the cingulum showed consistently high effect sizes for distinguishing groups, across all diffusivity and anisotropy measures, and in correlations with cognitive scores. © 2013 The Authors.","author":[{"dropping-particle":"","family":"Nir","given":"Talia M.","non-dropping-particle":"","parse-names":false,"suffix":""},{"dropping-particle":"","family":"Jahanshad","given":"Neda","non-dropping-particle":"","parse-names":false,"suffix":""},{"dropping-particle":"","family":"Villalon-Reina","given":"Julio E.","non-dropping-particle":"","parse-names":false,"suffix":""},{"dropping-particle":"","family":"Toga","given":"Arthur W.","non-dropping-particle":"","parse-names":false,"suffix":""},{"dropping-particle":"","family":"Jack","given":"Clifford R.","non-dropping-particle":"","parse-names":false,"suffix":""},{"dropping-particle":"","family":"Weiner","given":"Michael W.","non-dropping-particle":"","parse-names":false,"suffix":""},{"dropping-particle":"","family":"Thompson","given":"Paul M.","non-dropping-particle":"","parse-names":false,"suffix":""}],"container-title":"NeuroImage: Clinical","id":"ITEM-4","issued":{"date-parts":[["2013"]]},"page":"180-195","publisher":"The Authors","title":"Effectiveness of regional DTI measures in distinguishing Alzheimer's disease, MCI, and normal aging","type":"article-journal","volume":"3"},"uris":["http://www.mendeley.com/documents/?uuid=d6ed849b-754a-4398-b9f9-695dc3b24524"]},{"id":"ITEM-5","itemData":{"DOI":"10.1016/j.neuroimage.2016.03.067","ISSN":"10959572","abstract":"The European DTI Study on Dementia (EDSD) is a multicenter framework created to study the diagnostic accuracy and inter-site variability of DTI-derived markers in patients with manifest and prodromal Alzheimer's disease (AD). The dynamically growing database presently includes 493 DTI, 512 T1-weighted MRI, and 300 FLAIR scans from patients with AD dementia, patients with Mild Cognitive Impairment (MCI) and matched Healthy Controls, acquired on 13 different scanner platforms. The imaging data is publicly available, along with the subjects’ demographic and clinical characterization. Detailed neuropsychological information, cerebrospinal fluid information on biomarkers and clinical follow-up diagnoses are included for a subset of subjects. This paper describes the rationale and structure of the EDSD, summarizes the available data, and explains how to gain access to the database. The EDSD is a useful database for researchers seeking to investigate the contribution of DTI to dementia diagnostics.","author":[{"dropping-particle":"","family":"Brueggen","given":"Katharina","non-dropping-particle":"","parse-names":false,"suffix":""},{"dropping-particle":"","family":"Grothe","given":"Michel J.","non-dropping-particle":"","parse-names":false,"suffix":""},{"dropping-particle":"","family":"Dyrba","given":"Martin","non-dropping-particle":"","parse-names":false,"suffix":""},{"dropping-particle":"","family":"Fellgiebel","given":"Andreas","non-dropping-particle":"","parse-names":false,"suffix":""},{"dropping-particle":"","family":"Fischer","given":"Florian","non-dropping-particle":"","parse-names":false,"suffix":""},{"dropping-particle":"","family":"Filippi","given":"Massimo","non-dropping-particle":"","parse-names":false,"suffix":""},{"dropping-particle":"","family":"Agosta","given":"Federica","non-dropping-particle":"","parse-names":false,"suffix":""},{"dropping-particle":"","family":"Nestor","given":"Peter","non-dropping-particle":"","parse-names":false,"suffix":""},{"dropping-particle":"","family":"Meisenzahl","given":"Eva","non-dropping-particle":"","parse-names":false,"suffix":""},{"dropping-particle":"","family":"Blautzik","given":"Janusch","non-dropping-particle":"","parse-names":false,"suffix":""},{"dropping-particle":"","family":"Frölich","given":"Lutz","non-dropping-particle":"","parse-names":false,"suffix":""},{"dropping-particle":"","family":"Hausner","given":"Lucrezia","non-dropping-particle":"","parse-names":false,"suffix":""},{"dropping-particle":"","family":"Bokde","given":"Arun L.W.","non-dropping-particle":"","parse-names":false,"suffix":""},{"dropping-particle":"","family":"Frisoni","given":"Giovanni","non-dropping-particle":"","parse-names":false,"suffix":""},{"dropping-particle":"","family":"Pievani","given":"Michela","non-dropping-particle":"","parse-names":false,"suffix":""},{"dropping-particle":"","family":"Klöppel","given":"Stefan","non-dropping-particle":"","parse-names":false,"suffix":""},{"dropping-particle":"","family":"Prvulovic","given":"David","non-dropping-particle":"","parse-names":false,"suffix":""},{"dropping-particle":"","family":"Barkhof","given":"Frederik","non-dropping-particle":"","parse-names":false,"suffix":""},{"dropping-particle":"","family":"Pouwels","given":"Petra J.W.","non-dropping-particle":"","parse-names":false,"suffix":""},{"dropping-particle":"","family":"Schröder","given":"Johannes","non-dropping-particle":"","parse-names":false,"suffix":""},{"dropping-particle":"","family":"Hampel","given":"Harald","non-dropping-particle":"","parse-names":false,"suffix":""},{"dropping-particle":"","family":"Hauenstein","given":"Karlheinz","non-dropping-particle":"","parse-names":false,"suffix":""},{"dropping-particle":"","family":"Teipel","given":"Stefan","non-dropping-particle":"","parse-names":false,"suffix":""}],"container-title":"NeuroImage","id":"ITEM-5","issued":{"date-parts":[["2017"]]},"page":"305-308","publisher":"Elsevier B.V.","title":"The European DTI Study on Dementia — A multicenter DTI and MRI study on Alzheimer's disease and Mild Cognitive Impairment","type":"article-journal","volume":"144"},"uris":["http://www.mendeley.com/documents/?uuid=83c77829-bf9a-4c4e-9f7c-497f07c49156"]},{"id":"ITEM-6","itemData":{"author":[{"dropping-particle":"","family":"Chapman","given":"Christopher H","non-dropping-particle":"","parse-names":false,"suffix":""},{"dropping-particle":"","family":"Lawrence","given":"Theodore S","non-dropping-particle":"","parse-names":false,"suffix":""}],"id":"ITEM-6","issued":{"date-parts":[["0"]]},"publisher":"IOP Publishing","title":"DTI measurements for Alzheimer ’ s classification","type":"article-journal"},"uris":["http://www.mendeley.com/documents/?uuid=5b565539-3849-4965-bf2e-98566165abc2"]}],"mendeley":{"formattedCitation":"(4,8–12)","plainTextFormattedCitation":"(4,8–12)","previouslyFormattedCitation":"(4,8–12)"},"properties":{"noteIndex":0},"schema":"https://github.com/citation-style-language/schema/raw/master/csl-citation.json"}</w:instrText>
      </w:r>
      <w:r w:rsidR="001473F9" w:rsidRPr="0005359F">
        <w:fldChar w:fldCharType="separate"/>
      </w:r>
      <w:r w:rsidR="001473F9" w:rsidRPr="00B95508">
        <w:rPr>
          <w:noProof/>
        </w:rPr>
        <w:t>(4,8–12)</w:t>
      </w:r>
      <w:r w:rsidR="001473F9" w:rsidRPr="0005359F">
        <w:fldChar w:fldCharType="end"/>
      </w:r>
      <w:r w:rsidR="001473F9" w:rsidRPr="00B95508">
        <w:t xml:space="preserve"> </w:t>
      </w:r>
      <w:r w:rsidR="00FD77E5">
        <w:t>.</w:t>
      </w:r>
      <w:r w:rsidR="009542FB">
        <w:t xml:space="preserve"> </w:t>
      </w:r>
    </w:p>
    <w:p w14:paraId="56AB82CE" w14:textId="2046A573" w:rsidR="00A53A05" w:rsidRDefault="00A53A05">
      <w:pPr>
        <w:rPr>
          <w:b/>
          <w:bCs/>
          <w:lang w:val="es-ES"/>
        </w:rPr>
      </w:pPr>
      <w:r>
        <w:rPr>
          <w:b/>
          <w:bCs/>
          <w:lang w:val="es-ES"/>
        </w:rPr>
        <w:t xml:space="preserve">Planteamiento del problema </w:t>
      </w:r>
    </w:p>
    <w:p w14:paraId="286B2790" w14:textId="0FAFDE57" w:rsidR="009A41D5" w:rsidRDefault="009A41D5" w:rsidP="009A41D5">
      <w:r w:rsidRPr="00677060">
        <w:t xml:space="preserve">Tradicionalmente se han estudiado los cambios estructurales en el encéfalo </w:t>
      </w:r>
      <w:r>
        <w:t xml:space="preserve">en pacientes con EA </w:t>
      </w:r>
      <w:r w:rsidRPr="00677060">
        <w:t>por medio de resonancia magnética estructural (s-RM) en la cual se evidencia atrofia general de la corteza cerebral</w:t>
      </w:r>
      <w:r w:rsidR="008131D1">
        <w:t xml:space="preserve"> (10)</w:t>
      </w:r>
      <w:r>
        <w:t>. A</w:t>
      </w:r>
      <w:r w:rsidRPr="00677060">
        <w:t xml:space="preserve"> pesar de la alta resolución espacial, la s-RM es insuficiente para establecer un diagnóstico preclínico debido a que </w:t>
      </w:r>
      <w:r>
        <w:t>los cambios</w:t>
      </w:r>
      <w:r w:rsidRPr="00677060">
        <w:t xml:space="preserve"> evidenciado</w:t>
      </w:r>
      <w:r>
        <w:t>s</w:t>
      </w:r>
      <w:r w:rsidRPr="00677060">
        <w:t xml:space="preserve"> solo se presenta</w:t>
      </w:r>
      <w:r>
        <w:t>n</w:t>
      </w:r>
      <w:r w:rsidRPr="00677060">
        <w:t xml:space="preserve"> en estadios de deterioro cognitivo leve o demencia</w:t>
      </w:r>
      <w:r w:rsidR="00592B26">
        <w:t xml:space="preserve"> </w:t>
      </w:r>
      <w:r w:rsidR="009542FB">
        <w:fldChar w:fldCharType="begin" w:fldLock="1"/>
      </w:r>
      <w:r w:rsidR="009542FB">
        <w:instrText>ADDIN CSL_CITATION {"citationItems":[{"id":"ITEM-1","itemData":{"DOI":"10.1038/nrneurol.2017.162","ISSN":"17594766","abstract":"Most neurodegenerative diseases are proteinopathies, which are characterized by the aggregation of misfolded proteins. Although many proteins have an intrinsic propensity to aggregate, particularly when cellular clearance systems start to fail in the context of ageing, only a few form fibrillar aggregates. In Alzheimer disease, the peptide amyloid-β (Aβ) and the protein tau aggregate to form plaques and tangles, respectively, which comprise the histopathological hallmarks of this disease. This Review discusses the complexity of Aβ biogenesis, trafficking, post-translational modifications and aggregation states. Tau and its various isoforms, which are subject to a vast array of post-translational modifications, are also explored. The methodological advances that revealed this complexity are described. Finally, the toxic effects of distinct species of tau and Aβ are discussed, as well as the concept of protein 'strains', and how this knowledge can facilitate the development of early disease biomarkers for stratifying patients and validating new therapies. By targeting distinct species of Aβ and tau for therapeutic intervention, the way might be paved for personalized medicine and more-targeted treatment strategies.","author":[{"dropping-particle":"","family":"Polanco","given":"Juan Carlos","non-dropping-particle":"","parse-names":false,"suffix":""},{"dropping-particle":"","family":"Li","given":"Chuanzhou","non-dropping-particle":"","parse-names":false,"suffix":""},{"dropping-particle":"","family":"Bodea","given":"Liviu Gabriel","non-dropping-particle":"","parse-names":false,"suffix":""},{"dropping-particle":"","family":"Martinez-Marmol","given":"Ramon","non-dropping-particle":"","parse-names":false,"suffix":""},{"dropping-particle":"","family":"Meunier","given":"Frederic A.","non-dropping-particle":"","parse-names":false,"suffix":""},{"dropping-particle":"","family":"Götz","given":"Jürgen","non-dropping-particle":"","parse-names":false,"suffix":""}],"container-title":"Nature Reviews Neurology","id":"ITEM-1","issue":"1","issued":{"date-parts":[["2018"]]},"page":"22-40","publisher":"Nature Publishing Group","title":"Amyloid-β and tau complexity - Towards improved biomarkers and targeted therapies","type":"article-journal","volume":"14"},"uris":["http://www.mendeley.com/documents/?uuid=16c80eea-f5b5-46ac-b110-c6cbd43505e9"]},{"id":"ITEM-2","itemData":{"author":[{"dropping-particle":"","family":"Mart","given":"M","non-dropping-particle":"","parse-names":false,"suffix":""}],"id":"ITEM-2","issue":"2","issued":{"date-parts":[["2009"]]},"page":"101-114","title":"Biomarcadores en la enfermedad de Alzheimer : definición , significación diagnóstica y utilidad clínica","type":"article-journal","volume":"1"},"uris":["http://www.mendeley.com/documents/?uuid=2064ad74-ab05-4b72-90cd-c1db43c86989"]}],"mendeley":{"formattedCitation":"(3,10)","plainTextFormattedCitation":"(3,10)","previouslyFormattedCitation":"(3,10)"},"properties":{"noteIndex":0},"schema":"https://github.com/citation-style-language/schema/raw/master/csl-citation.json"}</w:instrText>
      </w:r>
      <w:r w:rsidR="009542FB">
        <w:fldChar w:fldCharType="separate"/>
      </w:r>
      <w:r w:rsidR="009542FB" w:rsidRPr="00437771">
        <w:rPr>
          <w:noProof/>
        </w:rPr>
        <w:t>(3,10)</w:t>
      </w:r>
      <w:r w:rsidR="009542FB">
        <w:fldChar w:fldCharType="end"/>
      </w:r>
      <w:r w:rsidR="008131D1">
        <w:t xml:space="preserve">. </w:t>
      </w:r>
      <w:r w:rsidRPr="009542FB">
        <w:t>Una variante de la resonancia, la imagen de tensor de difusión (DTI)</w:t>
      </w:r>
      <w:r w:rsidR="00EC14DE" w:rsidRPr="009542FB">
        <w:t>,</w:t>
      </w:r>
      <w:r w:rsidRPr="009542FB">
        <w:t xml:space="preserve"> es sensible a cambios microscópicos en la integridad de la sustancia blanca que no siempre se </w:t>
      </w:r>
      <w:r w:rsidRPr="00677060">
        <w:t xml:space="preserve">pueden detectar con s-RM y que se han demostrado en estadios preclínicos </w:t>
      </w:r>
      <w:r w:rsidR="009542FB">
        <w:fldChar w:fldCharType="begin" w:fldLock="1"/>
      </w:r>
      <w:r w:rsidR="009542FB">
        <w:instrText>ADDIN CSL_CITATION {"citationItems":[{"id":"ITEM-1","itemData":{"DOI":"10.1038/nrneurol.2017.162","ISSN":"17594766","abstract":"Most neurodegenerative diseases are proteinopathies, which are characterized by the aggregation of misfolded proteins. Although many proteins have an intrinsic propensity to aggregate, particularly when cellular clearance systems start to fail in the context of ageing, only a few form fibrillar aggregates. In Alzheimer disease, the peptide amyloid-β (Aβ) and the protein tau aggregate to form plaques and tangles, respectively, which comprise the histopathological hallmarks of this disease. This Review discusses the complexity of Aβ biogenesis, trafficking, post-translational modifications and aggregation states. Tau and its various isoforms, which are subject to a vast array of post-translational modifications, are also explored. The methodological advances that revealed this complexity are described. Finally, the toxic effects of distinct species of tau and Aβ are discussed, as well as the concept of protein 'strains', and how this knowledge can facilitate the development of early disease biomarkers for stratifying patients and validating new therapies. By targeting distinct species of Aβ and tau for therapeutic intervention, the way might be paved for personalized medicine and more-targeted treatment strategies.","author":[{"dropping-particle":"","family":"Polanco","given":"Juan Carlos","non-dropping-particle":"","parse-names":false,"suffix":""},{"dropping-particle":"","family":"Li","given":"Chuanzhou","non-dropping-particle":"","parse-names":false,"suffix":""},{"dropping-particle":"","family":"Bodea","given":"Liviu Gabriel","non-dropping-particle":"","parse-names":false,"suffix":""},{"dropping-particle":"","family":"Martinez-Marmol","given":"Ramon","non-dropping-particle":"","parse-names":false,"suffix":""},{"dropping-particle":"","family":"Meunier","given":"Frederic A.","non-dropping-particle":"","parse-names":false,"suffix":""},{"dropping-particle":"","family":"Götz","given":"Jürgen","non-dropping-particle":"","parse-names":false,"suffix":""}],"container-title":"Nature Reviews Neurology","id":"ITEM-1","issue":"1","issued":{"date-parts":[["2018"]]},"page":"22-40","publisher":"Nature Publishing Group","title":"Amyloid-β and tau complexity - Towards improved biomarkers and targeted therapies","type":"article-journal","volume":"14"},"uris":["http://www.mendeley.com/documents/?uuid=16c80eea-f5b5-46ac-b110-c6cbd43505e9"]},{"id":"ITEM-2","itemData":{"DOI":"10.1016/S0304-5412(11)70068-3","ISSN":"03045412","author":[{"dropping-particle":"","family":"Franco MacÍas","given":"E.","non-dropping-particle":"","parse-names":false,"suffix":""},{"dropping-particle":"","family":"Suárez González","given":"A.","non-dropping-particle":"","parse-names":false,"suffix":""},{"dropping-particle":"","family":"Bustamante Rangel","given":"A.","non-dropping-particle":"","parse-names":false,"suffix":""},{"dropping-particle":"","family":"Gil Néciga","given":"E.","non-dropping-particle":"","parse-names":false,"suffix":""}],"container-title":"Tratado de Medicina Geriátrica","edition":"Second Edi","id":"ITEM-2","issue":"76","issued":{"date-parts":[["2011"]]},"page":"5129-5137","publisher":"Elsevier Espa8#241;a, S.L.U.","title":"Enfermedad de Alzheimer","type":"chapter","volume":"10"},"uris":["http://www.mendeley.com/documents/?uuid=4cc84b65-61fb-4d6b-adc1-668cc1108a66"]},{"id":"ITEM-3","itemData":{"author":[{"dropping-particle":"","family":"Mart","given":"M","non-dropping-particle":"","parse-names":false,"suffix":""}],"id":"ITEM-3","issue":"2","issued":{"date-parts":[["2009"]]},"page":"101-114","title":"Biomarcadores en la enfermedad de Alzheimer : definición , significación diagnóstica y utilidad clínica","type":"article-journal","volume":"1"},"uris":["http://www.mendeley.com/documents/?uuid=2064ad74-ab05-4b72-90cd-c1db43c86989"]}],"mendeley":{"formattedCitation":"(3,10,11)","plainTextFormattedCitation":"(3,10,11)","previouslyFormattedCitation":"(3,10,11)"},"properties":{"noteIndex":0},"schema":"https://github.com/citation-style-language/schema/raw/master/csl-citation.json"}</w:instrText>
      </w:r>
      <w:r w:rsidR="009542FB">
        <w:fldChar w:fldCharType="separate"/>
      </w:r>
      <w:r w:rsidR="009542FB" w:rsidRPr="009542FB">
        <w:rPr>
          <w:noProof/>
        </w:rPr>
        <w:t>(3,10,11)</w:t>
      </w:r>
      <w:r w:rsidR="009542FB">
        <w:fldChar w:fldCharType="end"/>
      </w:r>
      <w:r w:rsidRPr="00677060">
        <w:t>.</w:t>
      </w:r>
      <w:r>
        <w:t xml:space="preserve"> </w:t>
      </w:r>
    </w:p>
    <w:p w14:paraId="31D9787C" w14:textId="295406F0" w:rsidR="009A41D5" w:rsidRPr="009542FB" w:rsidRDefault="009A41D5" w:rsidP="009A41D5">
      <w:pPr>
        <w:spacing w:line="276" w:lineRule="auto"/>
      </w:pPr>
      <w:r w:rsidRPr="0005359F">
        <w:t>Las métricas evaluadas en DTI son la anisotropía fraccional (FA) y la difusividad media (DM)</w:t>
      </w:r>
      <w:r w:rsidR="008131D1">
        <w:t xml:space="preserve"> (8)</w:t>
      </w:r>
      <w:r w:rsidRPr="0005359F">
        <w:t>. La difusión anisotrópica en la sustancia blanca refleja la integridad de los tractos, por ende, una disminución en la FA y aumento en la DM reflejará una afección de estos</w:t>
      </w:r>
      <w:r w:rsidR="008131D1">
        <w:t xml:space="preserve"> (6)</w:t>
      </w:r>
      <w:r w:rsidRPr="0005359F">
        <w:t xml:space="preserve">. Dichos daños se han evidenciado en procesos neurodegenerativos como la EA, </w:t>
      </w:r>
      <w:r w:rsidR="00EC14DE">
        <w:t>y</w:t>
      </w:r>
      <w:r w:rsidRPr="0005359F">
        <w:t xml:space="preserve"> se han correlacionado con los hallazgos neuropatológicos de la sustancia blanca postmortem. </w:t>
      </w:r>
      <w:r w:rsidR="009542FB">
        <w:fldChar w:fldCharType="begin" w:fldLock="1"/>
      </w:r>
      <w:r w:rsidR="009542FB">
        <w:instrText>ADDIN CSL_CITATION {"citationItems":[{"id":"ITEM-1","itemData":{"DOI":"10.1038/nrneurol.2017.162","ISSN":"17594766","abstract":"Most neurodegenerative diseases are proteinopathies, which are characterized by the aggregation of misfolded proteins. Although many proteins have an intrinsic propensity to aggregate, particularly when cellular clearance systems start to fail in the context of ageing, only a few form fibrillar aggregates. In Alzheimer disease, the peptide amyloid-β (Aβ) and the protein tau aggregate to form plaques and tangles, respectively, which comprise the histopathological hallmarks of this disease. This Review discusses the complexity of Aβ biogenesis, trafficking, post-translational modifications and aggregation states. Tau and its various isoforms, which are subject to a vast array of post-translational modifications, are also explored. The methodological advances that revealed this complexity are described. Finally, the toxic effects of distinct species of tau and Aβ are discussed, as well as the concept of protein 'strains', and how this knowledge can facilitate the development of early disease biomarkers for stratifying patients and validating new therapies. By targeting distinct species of Aβ and tau for therapeutic intervention, the way might be paved for personalized medicine and more-targeted treatment strategies.","author":[{"dropping-particle":"","family":"Polanco","given":"Juan Carlos","non-dropping-particle":"","parse-names":false,"suffix":""},{"dropping-particle":"","family":"Li","given":"Chuanzhou","non-dropping-particle":"","parse-names":false,"suffix":""},{"dropping-particle":"","family":"Bodea","given":"Liviu Gabriel","non-dropping-particle":"","parse-names":false,"suffix":""},{"dropping-particle":"","family":"Martinez-Marmol","given":"Ramon","non-dropping-particle":"","parse-names":false,"suffix":""},{"dropping-particle":"","family":"Meunier","given":"Frederic A.","non-dropping-particle":"","parse-names":false,"suffix":""},{"dropping-particle":"","family":"Götz","given":"Jürgen","non-dropping-particle":"","parse-names":false,"suffix":""}],"container-title":"Nature Reviews Neurology","id":"ITEM-1","issue":"1","issued":{"date-parts":[["2018"]]},"page":"22-40","publisher":"Nature Publishing Group","title":"Amyloid-β and tau complexity - Towards improved biomarkers and targeted therapies","type":"article-journal","volume":"14"},"uris":["http://www.mendeley.com/documents/?uuid=16c80eea-f5b5-46ac-b110-c6cbd43505e9"]},{"id":"ITEM-2","itemData":{"author":[{"dropping-particle":"","family":"Mart","given":"M","non-dropping-particle":"","parse-names":false,"suffix":""}],"id":"ITEM-2","issue":"2","issued":{"date-parts":[["2009"]]},"page":"101-114","title":"Biomarcadores en la enfermedad de Alzheimer : definición , significación diagnóstica y utilidad clínica","type":"article-journal","volume":"1"},"uris":["http://www.mendeley.com/documents/?uuid=2064ad74-ab05-4b72-90cd-c1db43c86989"]},{"id":"ITEM-3","itemData":{"DOI":"10.3390/cells8080839","ISSN":"2073-4409","abstract":"This study aimed to discriminate between neuroinflammation and neuronal degeneration in the white matter (WM) and gray matter (GM) of patients with Parkinson’s disease (PD) using free-water (FW) imaging. Analysis using tract-based spatial statistics (TBSS) of 20 patients with PD and 20 healthy individuals revealed changes in FW imaging indices (i.e., reduced FW-corrected fractional anisotropy (FAT), increased FW-corrected mean, axial, and radial diffusivities (MDT, ADT, and RDT, respectively) and fractional volume of FW (FW) in somewhat more specific WM areas compared with the changes of DTI indices. The region-of-interest (ROI) analysis further supported these findings, whereby those with PD showed significantly lower FAT and higher MDT, ADT, and RDT (indices of neuronal degeneration) in anterior WM areas as well as higher FW (index of neuroinflammation) in posterior WM areas compared with the controls. Results of GM-based spatial statistics (GBSS) analysis revealed that patients with PD had significantly higher MDT, ADT, and FW than the controls, whereas ROI analysis showed significantly increased MDT and FW and a trend toward increased ADT in GM areas, corresponding to Braak stage IV. These findings support the hypothesis that neuroinflammation precedes neuronal degeneration in PD, whereas WM microstructural alterations precede changes in GM.","author":[{"dropping-particle":"","family":"Andica","given":"","non-dropping-particle":"","parse-names":false,"suffix":""},{"dropping-particle":"","family":"Kamagata","given":"","non-dropping-particle":"","parse-names":false,"suffix":""},{"dropping-particle":"","family":"Hatano","given":"","non-dropping-particle":"","parse-names":false,"suffix":""},{"dropping-particle":"","family":"Saito","given":"","non-dropping-particle":"","parse-names":false,"suffix":""},{"dropping-particle":"","family":"Uchida","given":"","non-dropping-particle":"","parse-names":false,"suffix":""},{"dropping-particle":"","family":"Ogawa","given":"","non-dropping-particle":"","parse-names":false,"suffix":""},{"dropping-particle":"","family":"Takeshige-Amano","given":"","non-dropping-particle":"","parse-names":false,"suffix":""},{"dropping-particle":"","family":"Zalesky","given":"","non-dropping-particle":"","parse-names":false,"suffix":""},{"dropping-particle":"","family":"Wada","given":"","non-dropping-particle":"","parse-names":false,"suffix":""},{"dropping-particle":"","family":"Suzuki","given":"","non-dropping-particle":"","parse-names":false,"suffix":""},{"dropping-particle":"","family":"Hagiwara","given":"","non-dropping-particle":"","parse-names":false,"suffix":""},{"dropping-particle":"","family":"Irie","given":"","non-dropping-particle":"","parse-names":false,"suffix":""},{"dropping-particle":"","family":"Hori","given":"","non-dropping-particle":"","parse-names":false,"suffix":""},{"dropping-particle":"","family":"Kumamaru","given":"","non-dropping-particle":"","parse-names":false,"suffix":""},{"dropping-particle":"","family":"Oyama","given":"","non-dropping-particle":"","parse-names":false,"suffix":""},{"dropping-particle":"","family":"Shimo","given":"","non-dropping-particle":"","parse-names":false,"suffix":""},{"dropping-particle":"","family":"Umemura","given":"","non-dropping-particle":"","parse-names":false,"suffix":""},{"dropping-particle":"","family":"Pantelis","given":"","non-dropping-particle":"","parse-names":false,"suffix":""},{"dropping-particle":"","family":"Hattori","given":"","non-dropping-particle":"","parse-names":false,"suffix":""},{"dropping-particle":"","family":"Aoki","given":"","non-dropping-particle":"","parse-names":false,"suffix":""}],"container-title":"Cells","id":"ITEM-3","issue":"8","issued":{"date-parts":[["2019"]]},"page":"839","title":"Free-Water Imaging in White and Gray Matter in Parkinson’s Disease","type":"article-journal","volume":"8"},"uris":["http://www.mendeley.com/documents/?uuid=89329271-fc95-49d8-b3c6-5ac9a618d94f"]},{"id":"ITEM-4","itemData":{"DOI":"10.1007/978-1-4939-7531-0_7","ISBN":"978-1-4939-7531-0","abstract":"Diffusion Tensor Imaging is an MRI technique that allows in vivo noninvasive measurement of the translational motion of water, providing information about its anisotropy (or lack of it) in different tissues. DTI has been commonly used to quantitatively measure the integrity of tissues which may be compromised by neurological disease, such as white matter tracks of the brain, which normally impart significant anisotropy to water motion in healthy brains. However, this anisotropic effect is diminished when axonal or neuronal damage is present. This chapter describes a standard protocol for DTI data acquisition in preclinical studies.","author":[{"dropping-particle":"","family":"Lope-Piedrafita","given":"Silvia","non-dropping-particle":"","parse-names":false,"suffix":""}],"chapter-number":"7","container-title":"Preclinical MRI. Methods in Molecular Biology","id":"ITEM-4","issued":{"date-parts":[["2018"]]},"page":"103-116","title":"Diffusion Tensor Imaging (DTI)","type":"chapter","volume":"1718"},"uris":["http://www.mendeley.com/documents/?uuid=071f10b5-c1d2-4f29-9c96-b2ab2394711a"]},{"id":"ITEM-5","itemData":{"id":"ITEM-5","issued":{"date-parts":[["0"]]},"title":"._Tractografía de difusión de eliminación de agua libre_ una comparación con las adquisiciones convencionales y FLAIR DTI.pdf","type":"article"},"uris":["http://www.mendeley.com/documents/?uuid=a9134491-5d49-469f-a15b-735a4dbc0a36"]}],"mendeley":{"formattedCitation":"(3,6,8,10,12)","plainTextFormattedCitation":"(3,6,8,10,12)","previouslyFormattedCitation":"(3,6,8,10,12)"},"properties":{"noteIndex":0},"schema":"https://github.com/citation-style-language/schema/raw/master/csl-citation.json"}</w:instrText>
      </w:r>
      <w:r w:rsidR="009542FB">
        <w:fldChar w:fldCharType="separate"/>
      </w:r>
      <w:r w:rsidR="009542FB" w:rsidRPr="009542FB">
        <w:rPr>
          <w:noProof/>
        </w:rPr>
        <w:t>(3,6,8,10,12)</w:t>
      </w:r>
      <w:r w:rsidR="009542FB">
        <w:fldChar w:fldCharType="end"/>
      </w:r>
    </w:p>
    <w:p w14:paraId="7961B731" w14:textId="65AB593A" w:rsidR="007A48DB" w:rsidRDefault="0051258D" w:rsidP="007A48DB">
      <w:r>
        <w:t xml:space="preserve">Diversos estudios han demostrado que la taupatía </w:t>
      </w:r>
      <w:r w:rsidR="003C787E">
        <w:t xml:space="preserve">inicia décadas previas al inicio de los síntomas e incluso biomarcadores en líquido cefalorraquídeo como T-TAU y P-TAU son detectables en estadios </w:t>
      </w:r>
      <w:r w:rsidR="00C850FD">
        <w:t>preclínicos (</w:t>
      </w:r>
      <w:r w:rsidR="000A32A6">
        <w:t>12-16)</w:t>
      </w:r>
      <w:r w:rsidR="003C787E">
        <w:t xml:space="preserve">. </w:t>
      </w:r>
      <w:r w:rsidR="009A41D5">
        <w:t xml:space="preserve">Sin embargo, se dispone de poca evidencia sobre el comportamiento </w:t>
      </w:r>
      <w:r w:rsidR="003C787E">
        <w:t>de</w:t>
      </w:r>
      <w:r w:rsidR="009A41D5">
        <w:t xml:space="preserve"> las medidas de difusividad en estadios </w:t>
      </w:r>
      <w:r w:rsidR="003C787E">
        <w:t xml:space="preserve">preclínicos </w:t>
      </w:r>
      <w:r w:rsidR="009A41D5">
        <w:t xml:space="preserve">de la enfermedad de </w:t>
      </w:r>
      <w:r w:rsidR="007A48DB">
        <w:t xml:space="preserve">Alzheimer por lo que se ha planteado la siguiente pregunta de investigación </w:t>
      </w:r>
      <w:r w:rsidR="007A48DB" w:rsidRPr="000C47BA">
        <w:t>¿Cómo es el comportamiento de las medidas de difusividad evaluadas por imagen de tensor de difusión en sujetos con riesgo genético para enfermedad de Alzheimer?</w:t>
      </w:r>
    </w:p>
    <w:p w14:paraId="54AAC863" w14:textId="560BA13C" w:rsidR="00A53A05" w:rsidRPr="00A53A05" w:rsidRDefault="00A53A05">
      <w:r>
        <w:rPr>
          <w:b/>
          <w:bCs/>
          <w:lang w:val="es-ES"/>
        </w:rPr>
        <w:t xml:space="preserve">Objetivo general: </w:t>
      </w:r>
      <w:bookmarkStart w:id="3" w:name="_Hlk159595071"/>
      <w:r w:rsidRPr="000C47BA">
        <w:t xml:space="preserve">Analizar el comportamiento </w:t>
      </w:r>
      <w:r>
        <w:t xml:space="preserve">de </w:t>
      </w:r>
      <w:r w:rsidRPr="000C47BA">
        <w:t xml:space="preserve">las medidas de difusividad evaluadas por imagen de tensor de difusión en sujetos con riesgo genético para enfermedad de </w:t>
      </w:r>
      <w:r>
        <w:t xml:space="preserve">Alzheimer. </w:t>
      </w:r>
      <w:bookmarkEnd w:id="3"/>
    </w:p>
    <w:p w14:paraId="25AFC7C9" w14:textId="77777777" w:rsidR="00437771" w:rsidRDefault="00A53A05">
      <w:pPr>
        <w:rPr>
          <w:b/>
          <w:bCs/>
          <w:lang w:val="es-ES"/>
        </w:rPr>
      </w:pPr>
      <w:r>
        <w:rPr>
          <w:b/>
          <w:bCs/>
          <w:lang w:val="es-ES"/>
        </w:rPr>
        <w:lastRenderedPageBreak/>
        <w:t>Metodología</w:t>
      </w:r>
    </w:p>
    <w:p w14:paraId="4D0A4084" w14:textId="77AD3CC3" w:rsidR="00091377" w:rsidRDefault="00091377" w:rsidP="00091377">
      <w:pPr>
        <w:rPr>
          <w:lang w:val="es-ES"/>
        </w:rPr>
      </w:pPr>
      <w:r w:rsidRPr="00091377">
        <w:rPr>
          <w:lang w:val="es-ES"/>
        </w:rPr>
        <w:t>Es un estudio observacional analítico de corte transversal. De una base de datos de sujetos pertenecientes a familias con la mutación E280A para EA familiar y el repositorio público de neuroimágenes ADNI se extrajeron los participantes que fueron agrupados según sus características clínicas y neuropsicológicas así:1) portadores sanos (n=</w:t>
      </w:r>
      <w:r w:rsidR="00B14D0E">
        <w:rPr>
          <w:lang w:val="es-ES"/>
        </w:rPr>
        <w:t>35</w:t>
      </w:r>
      <w:r w:rsidRPr="00091377">
        <w:rPr>
          <w:lang w:val="es-ES"/>
        </w:rPr>
        <w:t>) 2) deterioro cognitivo leve (n=3</w:t>
      </w:r>
      <w:r w:rsidR="00B14D0E">
        <w:rPr>
          <w:lang w:val="es-ES"/>
        </w:rPr>
        <w:t>8</w:t>
      </w:r>
      <w:r w:rsidRPr="00091377">
        <w:rPr>
          <w:lang w:val="es-ES"/>
        </w:rPr>
        <w:t>) y 3) demencia (n=</w:t>
      </w:r>
      <w:r w:rsidR="00B14D0E">
        <w:rPr>
          <w:lang w:val="es-ES"/>
        </w:rPr>
        <w:t>49</w:t>
      </w:r>
      <w:r w:rsidRPr="00091377">
        <w:rPr>
          <w:lang w:val="es-ES"/>
        </w:rPr>
        <w:t xml:space="preserve">). Cada grupo con sus controles pareados por edad, sexo y escolaridad. Se sometieron a una resonancia magnética en secuencias T1 y DWI que se procesaron para extraer las métricas de difusividad y a una prueba neuropsicológica (MMSE) de la cual se obtuvo el MMSE score. Se realizó análisis estadístico un ANOVA y post hoc con prueba Tukey. </w:t>
      </w:r>
    </w:p>
    <w:p w14:paraId="757FC8DE" w14:textId="77777777" w:rsidR="00B14D0E" w:rsidRPr="00984F4D" w:rsidRDefault="00B14D0E" w:rsidP="00B14D0E">
      <w:pPr>
        <w:rPr>
          <w:b/>
          <w:bCs/>
        </w:rPr>
      </w:pPr>
      <w:r>
        <w:rPr>
          <w:b/>
          <w:bCs/>
        </w:rPr>
        <w:t>C</w:t>
      </w:r>
      <w:r w:rsidRPr="00984F4D">
        <w:rPr>
          <w:b/>
          <w:bCs/>
        </w:rPr>
        <w:t xml:space="preserve">riterios de inclusión: </w:t>
      </w:r>
    </w:p>
    <w:p w14:paraId="4249F432" w14:textId="77777777" w:rsidR="00B14D0E" w:rsidRDefault="00B14D0E" w:rsidP="00B14D0E">
      <w:pPr>
        <w:pStyle w:val="Prrafodelista"/>
        <w:numPr>
          <w:ilvl w:val="0"/>
          <w:numId w:val="3"/>
        </w:numPr>
        <w:spacing w:after="0" w:line="240" w:lineRule="auto"/>
      </w:pPr>
      <w:r>
        <w:t xml:space="preserve">Pertenecer a la familia de portadores </w:t>
      </w:r>
      <w:bookmarkStart w:id="4" w:name="_Hlk159594609"/>
      <w:r>
        <w:t>de la mutación PSEN-1 E280A</w:t>
      </w:r>
      <w:bookmarkEnd w:id="4"/>
    </w:p>
    <w:p w14:paraId="2A29EC45" w14:textId="77777777" w:rsidR="00B14D0E" w:rsidRDefault="00B14D0E" w:rsidP="00B14D0E">
      <w:pPr>
        <w:pStyle w:val="Prrafodelista"/>
        <w:numPr>
          <w:ilvl w:val="0"/>
          <w:numId w:val="3"/>
        </w:numPr>
        <w:spacing w:after="0" w:line="240" w:lineRule="auto"/>
      </w:pPr>
      <w:r>
        <w:t xml:space="preserve">Disposición para participar y someterse a las pruebas genéticas </w:t>
      </w:r>
    </w:p>
    <w:p w14:paraId="2559DF32" w14:textId="77777777" w:rsidR="00B14D0E" w:rsidRDefault="00B14D0E" w:rsidP="00B14D0E">
      <w:pPr>
        <w:pStyle w:val="Prrafodelista"/>
        <w:numPr>
          <w:ilvl w:val="0"/>
          <w:numId w:val="3"/>
        </w:numPr>
        <w:spacing w:after="0" w:line="240" w:lineRule="auto"/>
      </w:pPr>
      <w:r>
        <w:t xml:space="preserve">Que se haya confirmado su condición de portador o no portador de la mutación PSEN-1 E280A </w:t>
      </w:r>
    </w:p>
    <w:p w14:paraId="03D449A0" w14:textId="77777777" w:rsidR="00B14D0E" w:rsidRDefault="00B14D0E" w:rsidP="00B14D0E">
      <w:pPr>
        <w:pStyle w:val="Prrafodelista"/>
        <w:numPr>
          <w:ilvl w:val="0"/>
          <w:numId w:val="3"/>
        </w:numPr>
        <w:spacing w:after="0" w:line="240" w:lineRule="auto"/>
      </w:pPr>
      <w:r>
        <w:t xml:space="preserve">Edad mayor a 20 años. </w:t>
      </w:r>
    </w:p>
    <w:p w14:paraId="0219250B" w14:textId="77777777" w:rsidR="00B14D0E" w:rsidRDefault="00B14D0E" w:rsidP="00B14D0E">
      <w:pPr>
        <w:pStyle w:val="Prrafodelista"/>
      </w:pPr>
    </w:p>
    <w:p w14:paraId="19AEC707" w14:textId="77777777" w:rsidR="00B14D0E" w:rsidRDefault="00B14D0E" w:rsidP="00B14D0E">
      <w:pPr>
        <w:rPr>
          <w:b/>
          <w:bCs/>
        </w:rPr>
      </w:pPr>
      <w:r>
        <w:rPr>
          <w:b/>
          <w:bCs/>
        </w:rPr>
        <w:t xml:space="preserve">Criterios de exclusión: </w:t>
      </w:r>
    </w:p>
    <w:p w14:paraId="61161B94" w14:textId="77777777" w:rsidR="00B14D0E" w:rsidRPr="0019086E" w:rsidRDefault="00B14D0E" w:rsidP="00B14D0E">
      <w:pPr>
        <w:pStyle w:val="Prrafodelista"/>
        <w:numPr>
          <w:ilvl w:val="0"/>
          <w:numId w:val="4"/>
        </w:numPr>
        <w:spacing w:after="0" w:line="240" w:lineRule="auto"/>
        <w:rPr>
          <w:b/>
          <w:bCs/>
        </w:rPr>
      </w:pPr>
      <w:r>
        <w:t xml:space="preserve">Condición o trastorno médico, psiquiátrico o neurológico significativo documentado en su historia clínica. </w:t>
      </w:r>
    </w:p>
    <w:p w14:paraId="282CEAE9" w14:textId="77777777" w:rsidR="00B14D0E" w:rsidRPr="0019086E" w:rsidRDefault="00B14D0E" w:rsidP="00B14D0E">
      <w:pPr>
        <w:pStyle w:val="Prrafodelista"/>
        <w:numPr>
          <w:ilvl w:val="0"/>
          <w:numId w:val="4"/>
        </w:numPr>
        <w:spacing w:after="0" w:line="240" w:lineRule="auto"/>
        <w:rPr>
          <w:b/>
          <w:bCs/>
        </w:rPr>
      </w:pPr>
      <w:r>
        <w:t>Antecedentes de accidente cerebrovascular</w:t>
      </w:r>
    </w:p>
    <w:p w14:paraId="5E3CC6EE" w14:textId="77777777" w:rsidR="00B14D0E" w:rsidRPr="0019086E" w:rsidRDefault="00B14D0E" w:rsidP="00B14D0E">
      <w:pPr>
        <w:pStyle w:val="Prrafodelista"/>
        <w:numPr>
          <w:ilvl w:val="0"/>
          <w:numId w:val="4"/>
        </w:numPr>
        <w:spacing w:after="0" w:line="240" w:lineRule="auto"/>
        <w:rPr>
          <w:b/>
          <w:bCs/>
        </w:rPr>
      </w:pPr>
      <w:r>
        <w:t xml:space="preserve">Antecedentes de trauma craneoencefálico clínicamente significativo. </w:t>
      </w:r>
    </w:p>
    <w:p w14:paraId="5CA893F1" w14:textId="77777777" w:rsidR="00B14D0E" w:rsidRPr="0019086E" w:rsidRDefault="00B14D0E" w:rsidP="00B14D0E">
      <w:pPr>
        <w:pStyle w:val="Prrafodelista"/>
        <w:numPr>
          <w:ilvl w:val="0"/>
          <w:numId w:val="4"/>
        </w:numPr>
        <w:spacing w:after="0" w:line="240" w:lineRule="auto"/>
        <w:rPr>
          <w:b/>
          <w:bCs/>
        </w:rPr>
      </w:pPr>
      <w:r>
        <w:t xml:space="preserve">Uso de medicamentos anticonvulsivantes </w:t>
      </w:r>
    </w:p>
    <w:p w14:paraId="4A406B94" w14:textId="77777777" w:rsidR="00B14D0E" w:rsidRPr="0019086E" w:rsidRDefault="00B14D0E" w:rsidP="00B14D0E">
      <w:pPr>
        <w:pStyle w:val="Prrafodelista"/>
        <w:numPr>
          <w:ilvl w:val="0"/>
          <w:numId w:val="4"/>
        </w:numPr>
        <w:spacing w:after="0" w:line="240" w:lineRule="auto"/>
        <w:rPr>
          <w:b/>
          <w:bCs/>
        </w:rPr>
      </w:pPr>
      <w:r>
        <w:t xml:space="preserve">Implantes ferromagnéticos </w:t>
      </w:r>
    </w:p>
    <w:p w14:paraId="246BDD3E" w14:textId="77777777" w:rsidR="00B14D0E" w:rsidRPr="00B14D0E" w:rsidRDefault="00B14D0E" w:rsidP="00B14D0E">
      <w:pPr>
        <w:pStyle w:val="Prrafodelista"/>
        <w:numPr>
          <w:ilvl w:val="0"/>
          <w:numId w:val="4"/>
        </w:numPr>
        <w:spacing w:after="0" w:line="240" w:lineRule="auto"/>
        <w:rPr>
          <w:b/>
          <w:bCs/>
        </w:rPr>
      </w:pPr>
      <w:r>
        <w:t xml:space="preserve">Claustrofobia </w:t>
      </w:r>
    </w:p>
    <w:p w14:paraId="6944DBB1" w14:textId="77777777" w:rsidR="00B14D0E" w:rsidRDefault="00B14D0E" w:rsidP="00B14D0E">
      <w:pPr>
        <w:spacing w:after="0" w:line="240" w:lineRule="auto"/>
        <w:rPr>
          <w:b/>
          <w:bCs/>
        </w:rPr>
      </w:pPr>
    </w:p>
    <w:p w14:paraId="47C858AE" w14:textId="77777777" w:rsidR="00B14D0E" w:rsidRDefault="00B14D0E" w:rsidP="00B14D0E">
      <w:pPr>
        <w:spacing w:after="0" w:line="240" w:lineRule="auto"/>
        <w:rPr>
          <w:b/>
          <w:bCs/>
        </w:rPr>
      </w:pPr>
    </w:p>
    <w:p w14:paraId="2A1972C1" w14:textId="77777777" w:rsidR="00B14D0E" w:rsidRPr="00B14D0E" w:rsidRDefault="00B14D0E" w:rsidP="00B14D0E">
      <w:pPr>
        <w:spacing w:after="0" w:line="240" w:lineRule="auto"/>
        <w:rPr>
          <w:b/>
          <w:bCs/>
        </w:rPr>
      </w:pPr>
    </w:p>
    <w:p w14:paraId="59134A25" w14:textId="77777777" w:rsidR="00B14D0E" w:rsidRDefault="00B14D0E" w:rsidP="00B14D0E">
      <w:pPr>
        <w:rPr>
          <w:b/>
          <w:bCs/>
        </w:rPr>
      </w:pPr>
      <w:r>
        <w:rPr>
          <w:b/>
          <w:bCs/>
        </w:rPr>
        <w:t xml:space="preserve">Muestra: </w:t>
      </w:r>
    </w:p>
    <w:p w14:paraId="5410573D" w14:textId="58884FA6" w:rsidR="00B14D0E" w:rsidRDefault="00B14D0E" w:rsidP="00B14D0E">
      <w:r>
        <w:t xml:space="preserve">Como conocemos que el tamaño de la población con la mutación E280A es de 6000 personas con afección del 20% correspondiente a 1200 personas aplicamos la siguiente </w:t>
      </w:r>
      <w:r w:rsidR="00714132">
        <w:t>fórmula</w:t>
      </w:r>
      <w:r>
        <w:t xml:space="preserve"> de </w:t>
      </w:r>
      <w:r w:rsidR="00714132">
        <w:t>cálculo</w:t>
      </w:r>
      <w:r>
        <w:t xml:space="preserve"> muestral para una población finita: </w:t>
      </w:r>
    </w:p>
    <w:p w14:paraId="11EFAB49"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den>
          </m:f>
        </m:oMath>
      </m:oMathPara>
    </w:p>
    <w:p w14:paraId="328AC71E" w14:textId="77777777" w:rsidR="00B14D0E" w:rsidRDefault="00B14D0E" w:rsidP="00B14D0E">
      <w:r>
        <w:t xml:space="preserve">En donde: </w:t>
      </w:r>
    </w:p>
    <w:p w14:paraId="11059B33" w14:textId="77777777" w:rsidR="00B14D0E" w:rsidRDefault="00B14D0E" w:rsidP="00B14D0E">
      <w:r>
        <w:tab/>
      </w:r>
      <w:r>
        <w:rPr>
          <w:b/>
          <w:bCs/>
        </w:rPr>
        <w:t xml:space="preserve">N: </w:t>
      </w:r>
      <w:r>
        <w:t xml:space="preserve">tamaño de la población </w:t>
      </w:r>
    </w:p>
    <w:p w14:paraId="1F1FAA14" w14:textId="77777777" w:rsidR="00B14D0E" w:rsidRDefault="00B14D0E" w:rsidP="00B14D0E">
      <w:r>
        <w:tab/>
      </w:r>
      <w:r>
        <w:rPr>
          <w:b/>
          <w:bCs/>
        </w:rPr>
        <w:t xml:space="preserve">Z: </w:t>
      </w:r>
      <w:r>
        <w:t>nivel de confianza</w:t>
      </w:r>
    </w:p>
    <w:p w14:paraId="1CCC7DBC" w14:textId="77777777" w:rsidR="00B14D0E" w:rsidRDefault="00B14D0E" w:rsidP="00B14D0E">
      <w:r>
        <w:tab/>
      </w:r>
      <w:r>
        <w:rPr>
          <w:b/>
          <w:bCs/>
        </w:rPr>
        <w:t xml:space="preserve">p: </w:t>
      </w:r>
      <w:r>
        <w:t xml:space="preserve">probabilidad de éxito o proporción esperada </w:t>
      </w:r>
    </w:p>
    <w:p w14:paraId="6C005F2C" w14:textId="77777777" w:rsidR="00B14D0E" w:rsidRDefault="00B14D0E" w:rsidP="00B14D0E">
      <w:r>
        <w:tab/>
      </w:r>
      <w:r>
        <w:rPr>
          <w:b/>
          <w:bCs/>
        </w:rPr>
        <w:t xml:space="preserve">q: </w:t>
      </w:r>
      <w:r>
        <w:t xml:space="preserve">probabilidad de fracaso </w:t>
      </w:r>
    </w:p>
    <w:p w14:paraId="65501EEE" w14:textId="77777777" w:rsidR="00B14D0E" w:rsidRDefault="00B14D0E" w:rsidP="00B14D0E">
      <w:r>
        <w:tab/>
      </w:r>
      <w:r>
        <w:rPr>
          <w:b/>
          <w:bCs/>
        </w:rPr>
        <w:t>d</w:t>
      </w:r>
      <w:r>
        <w:rPr>
          <w:b/>
          <w:bCs/>
          <w:vertAlign w:val="superscript"/>
        </w:rPr>
        <w:t>2</w:t>
      </w:r>
      <w:r>
        <w:rPr>
          <w:b/>
          <w:bCs/>
        </w:rPr>
        <w:t xml:space="preserve">: </w:t>
      </w:r>
      <w:r>
        <w:t>precisión (error máximo admisible en términos de proporción)</w:t>
      </w:r>
    </w:p>
    <w:p w14:paraId="4DBF8BB8" w14:textId="77777777" w:rsidR="00B14D0E" w:rsidRPr="00DD4914" w:rsidRDefault="00B14D0E" w:rsidP="00B14D0E">
      <w:r>
        <w:t xml:space="preserve">Entonces: </w:t>
      </w:r>
    </w:p>
    <w:p w14:paraId="485FE3F7"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den>
          </m:f>
        </m:oMath>
      </m:oMathPara>
    </w:p>
    <w:p w14:paraId="21B95792" w14:textId="77777777" w:rsidR="00B14D0E" w:rsidRPr="00DD4914" w:rsidRDefault="00B14D0E" w:rsidP="00B14D0E"/>
    <w:p w14:paraId="5E613189"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1200*</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num>
            <m:den>
              <m:sSup>
                <m:sSupPr>
                  <m:ctrlPr>
                    <w:rPr>
                      <w:rFonts w:ascii="Cambria Math" w:hAnsi="Cambria Math"/>
                      <w:i/>
                    </w:rPr>
                  </m:ctrlPr>
                </m:sSupPr>
                <m:e>
                  <m:r>
                    <w:rPr>
                      <w:rFonts w:ascii="Cambria Math" w:hAnsi="Cambria Math"/>
                    </w:rPr>
                    <m:t>0,05</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1200-1</m:t>
                  </m:r>
                </m:e>
              </m:d>
              <m:r>
                <w:rPr>
                  <w:rFonts w:ascii="Cambria Math" w:hAnsi="Cambria Math"/>
                </w:rPr>
                <m:t>+</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den>
          </m:f>
        </m:oMath>
      </m:oMathPara>
    </w:p>
    <w:p w14:paraId="51B64922" w14:textId="77777777" w:rsidR="00B14D0E" w:rsidRDefault="00B14D0E" w:rsidP="00B14D0E"/>
    <w:p w14:paraId="59207A90"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1200*</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num>
            <m:den>
              <m:sSup>
                <m:sSupPr>
                  <m:ctrlPr>
                    <w:rPr>
                      <w:rFonts w:ascii="Cambria Math" w:hAnsi="Cambria Math"/>
                      <w:i/>
                    </w:rPr>
                  </m:ctrlPr>
                </m:sSupPr>
                <m:e>
                  <m:r>
                    <w:rPr>
                      <w:rFonts w:ascii="Cambria Math" w:hAnsi="Cambria Math"/>
                    </w:rPr>
                    <m:t>0,05</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1200-1</m:t>
                  </m:r>
                </m:e>
              </m:d>
              <m:r>
                <w:rPr>
                  <w:rFonts w:ascii="Cambria Math" w:hAnsi="Cambria Math"/>
                </w:rPr>
                <m:t>+</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den>
          </m:f>
        </m:oMath>
      </m:oMathPara>
    </w:p>
    <w:p w14:paraId="4E0ABEA7" w14:textId="77777777" w:rsidR="00B14D0E" w:rsidRPr="00DD4914" w:rsidRDefault="00B14D0E" w:rsidP="00B14D0E"/>
    <w:p w14:paraId="0D40EC6E"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1200*3,8416*0,05*0,95</m:t>
              </m:r>
            </m:num>
            <m:den>
              <m:r>
                <w:rPr>
                  <w:rFonts w:ascii="Cambria Math" w:hAnsi="Cambria Math"/>
                </w:rPr>
                <m:t>0,0025*1999+3,8416*0,05*0,95</m:t>
              </m:r>
            </m:den>
          </m:f>
        </m:oMath>
      </m:oMathPara>
    </w:p>
    <w:p w14:paraId="0EBAF0AF" w14:textId="77777777" w:rsidR="00B14D0E" w:rsidRDefault="00B14D0E" w:rsidP="00B14D0E"/>
    <w:p w14:paraId="34B0304F" w14:textId="77777777" w:rsidR="00B14D0E" w:rsidRPr="00DD4914" w:rsidRDefault="00B14D0E" w:rsidP="00B14D0E">
      <m:oMathPara>
        <m:oMath>
          <m:r>
            <w:rPr>
              <w:rFonts w:ascii="Cambria Math" w:hAnsi="Cambria Math"/>
            </w:rPr>
            <m:t xml:space="preserve">n= </m:t>
          </m:r>
          <m:f>
            <m:fPr>
              <m:ctrlPr>
                <w:rPr>
                  <w:rFonts w:ascii="Cambria Math" w:hAnsi="Cambria Math"/>
                  <w:i/>
                </w:rPr>
              </m:ctrlPr>
            </m:fPr>
            <m:num>
              <m:r>
                <w:rPr>
                  <w:rFonts w:ascii="Cambria Math" w:hAnsi="Cambria Math"/>
                </w:rPr>
                <m:t>218,9712</m:t>
              </m:r>
            </m:num>
            <m:den>
              <m:r>
                <w:rPr>
                  <w:rFonts w:ascii="Cambria Math" w:hAnsi="Cambria Math"/>
                </w:rPr>
                <m:t>3,1799</m:t>
              </m:r>
            </m:den>
          </m:f>
        </m:oMath>
      </m:oMathPara>
    </w:p>
    <w:p w14:paraId="663A0C28" w14:textId="77777777" w:rsidR="00B14D0E" w:rsidRPr="00DD4914" w:rsidRDefault="00B14D0E" w:rsidP="00B14D0E"/>
    <w:p w14:paraId="5BF142FB" w14:textId="77777777" w:rsidR="00B14D0E" w:rsidRPr="00DD4914" w:rsidRDefault="00B14D0E" w:rsidP="00B14D0E">
      <m:oMathPara>
        <m:oMath>
          <m:r>
            <w:rPr>
              <w:rFonts w:ascii="Cambria Math" w:hAnsi="Cambria Math"/>
            </w:rPr>
            <m:t xml:space="preserve">n= 68,86 </m:t>
          </m:r>
        </m:oMath>
      </m:oMathPara>
    </w:p>
    <w:p w14:paraId="41F0CB72" w14:textId="00647AD3" w:rsidR="00B14D0E" w:rsidRPr="00B14D0E" w:rsidRDefault="00B14D0E" w:rsidP="00B14D0E">
      <w:r>
        <w:t xml:space="preserve">Por lo anterior, la muestra necesaria es de 69 pacientes, sin embargo, el proyecto cuenta con una muestra por conveniencia que se describe a continuación: </w:t>
      </w:r>
    </w:p>
    <w:tbl>
      <w:tblPr>
        <w:tblStyle w:val="Tablaconcuadrcula"/>
        <w:tblW w:w="0" w:type="auto"/>
        <w:jc w:val="center"/>
        <w:tblLook w:val="04A0" w:firstRow="1" w:lastRow="0" w:firstColumn="1" w:lastColumn="0" w:noHBand="0" w:noVBand="1"/>
      </w:tblPr>
      <w:tblGrid>
        <w:gridCol w:w="1555"/>
        <w:gridCol w:w="2268"/>
      </w:tblGrid>
      <w:tr w:rsidR="00B14D0E" w14:paraId="7B962BB5" w14:textId="77777777" w:rsidTr="00E8454E">
        <w:trPr>
          <w:jc w:val="center"/>
        </w:trPr>
        <w:tc>
          <w:tcPr>
            <w:tcW w:w="1555" w:type="dxa"/>
          </w:tcPr>
          <w:p w14:paraId="343B90FF" w14:textId="77777777" w:rsidR="00B14D0E" w:rsidRPr="00520DDF" w:rsidRDefault="00B14D0E" w:rsidP="00E8454E">
            <w:pPr>
              <w:rPr>
                <w:b/>
                <w:bCs/>
              </w:rPr>
            </w:pPr>
            <w:r w:rsidRPr="00520DDF">
              <w:rPr>
                <w:b/>
                <w:bCs/>
              </w:rPr>
              <w:t xml:space="preserve">Grupo </w:t>
            </w:r>
          </w:p>
        </w:tc>
        <w:tc>
          <w:tcPr>
            <w:tcW w:w="2268" w:type="dxa"/>
          </w:tcPr>
          <w:p w14:paraId="6C365635" w14:textId="77777777" w:rsidR="00B14D0E" w:rsidRPr="00520DDF" w:rsidRDefault="00B14D0E" w:rsidP="00E8454E">
            <w:pPr>
              <w:rPr>
                <w:b/>
                <w:bCs/>
              </w:rPr>
            </w:pPr>
            <w:r w:rsidRPr="00520DDF">
              <w:rPr>
                <w:b/>
                <w:bCs/>
              </w:rPr>
              <w:t xml:space="preserve">Número de Sujetos </w:t>
            </w:r>
          </w:p>
        </w:tc>
      </w:tr>
      <w:tr w:rsidR="00B14D0E" w14:paraId="78003081" w14:textId="77777777" w:rsidTr="00E8454E">
        <w:trPr>
          <w:jc w:val="center"/>
        </w:trPr>
        <w:tc>
          <w:tcPr>
            <w:tcW w:w="1555" w:type="dxa"/>
          </w:tcPr>
          <w:p w14:paraId="4B17B3B7" w14:textId="546F06AF" w:rsidR="00B14D0E" w:rsidRDefault="00B14D0E" w:rsidP="00E8454E">
            <w:r>
              <w:t>Sanos portadores</w:t>
            </w:r>
          </w:p>
        </w:tc>
        <w:tc>
          <w:tcPr>
            <w:tcW w:w="2268" w:type="dxa"/>
          </w:tcPr>
          <w:p w14:paraId="67566226" w14:textId="03E7F818" w:rsidR="00B14D0E" w:rsidRDefault="00B14D0E" w:rsidP="00E8454E">
            <w:pPr>
              <w:jc w:val="center"/>
            </w:pPr>
            <w:r>
              <w:t>35</w:t>
            </w:r>
          </w:p>
        </w:tc>
      </w:tr>
      <w:tr w:rsidR="00B14D0E" w14:paraId="72B7FD57" w14:textId="77777777" w:rsidTr="00E8454E">
        <w:trPr>
          <w:jc w:val="center"/>
        </w:trPr>
        <w:tc>
          <w:tcPr>
            <w:tcW w:w="1555" w:type="dxa"/>
          </w:tcPr>
          <w:p w14:paraId="635E91F8" w14:textId="2C810249" w:rsidR="00B14D0E" w:rsidRDefault="00B14D0E" w:rsidP="00E8454E">
            <w:r>
              <w:t>No portadores</w:t>
            </w:r>
          </w:p>
        </w:tc>
        <w:tc>
          <w:tcPr>
            <w:tcW w:w="2268" w:type="dxa"/>
          </w:tcPr>
          <w:p w14:paraId="3E12CFBB" w14:textId="2762FBE6" w:rsidR="00B14D0E" w:rsidRDefault="00B14D0E" w:rsidP="00E8454E">
            <w:pPr>
              <w:jc w:val="center"/>
            </w:pPr>
            <w:r>
              <w:t>24</w:t>
            </w:r>
          </w:p>
        </w:tc>
      </w:tr>
      <w:tr w:rsidR="00B14D0E" w14:paraId="6CD22D18" w14:textId="77777777" w:rsidTr="00E8454E">
        <w:trPr>
          <w:jc w:val="center"/>
        </w:trPr>
        <w:tc>
          <w:tcPr>
            <w:tcW w:w="1555" w:type="dxa"/>
          </w:tcPr>
          <w:p w14:paraId="3A51C9DD" w14:textId="77777777" w:rsidR="00B14D0E" w:rsidRDefault="00B14D0E" w:rsidP="00E8454E">
            <w:r>
              <w:t>DCL</w:t>
            </w:r>
          </w:p>
        </w:tc>
        <w:tc>
          <w:tcPr>
            <w:tcW w:w="2268" w:type="dxa"/>
          </w:tcPr>
          <w:p w14:paraId="6EB9E6A5" w14:textId="15A5822C" w:rsidR="00B14D0E" w:rsidRDefault="00B14D0E" w:rsidP="00E8454E">
            <w:pPr>
              <w:jc w:val="center"/>
            </w:pPr>
            <w:r>
              <w:t>38</w:t>
            </w:r>
          </w:p>
        </w:tc>
      </w:tr>
      <w:tr w:rsidR="00B14D0E" w14:paraId="7EB7391D" w14:textId="77777777" w:rsidTr="00E8454E">
        <w:trPr>
          <w:jc w:val="center"/>
        </w:trPr>
        <w:tc>
          <w:tcPr>
            <w:tcW w:w="1555" w:type="dxa"/>
          </w:tcPr>
          <w:p w14:paraId="1AD4368C" w14:textId="51762C9B" w:rsidR="00B14D0E" w:rsidRDefault="00B14D0E" w:rsidP="00E8454E">
            <w:r>
              <w:t>Controles DCL</w:t>
            </w:r>
          </w:p>
        </w:tc>
        <w:tc>
          <w:tcPr>
            <w:tcW w:w="2268" w:type="dxa"/>
          </w:tcPr>
          <w:p w14:paraId="5A3D5A1F" w14:textId="59332FE2" w:rsidR="00B14D0E" w:rsidRDefault="00B14D0E" w:rsidP="00E8454E">
            <w:pPr>
              <w:jc w:val="center"/>
            </w:pPr>
            <w:r>
              <w:t>20 (se incluirán más)</w:t>
            </w:r>
          </w:p>
        </w:tc>
      </w:tr>
      <w:tr w:rsidR="00B14D0E" w14:paraId="271726C7" w14:textId="77777777" w:rsidTr="00E8454E">
        <w:trPr>
          <w:jc w:val="center"/>
        </w:trPr>
        <w:tc>
          <w:tcPr>
            <w:tcW w:w="1555" w:type="dxa"/>
          </w:tcPr>
          <w:p w14:paraId="5618D3F3" w14:textId="77777777" w:rsidR="00B14D0E" w:rsidRDefault="00B14D0E" w:rsidP="00E8454E">
            <w:r>
              <w:t xml:space="preserve">Demencia </w:t>
            </w:r>
          </w:p>
        </w:tc>
        <w:tc>
          <w:tcPr>
            <w:tcW w:w="2268" w:type="dxa"/>
          </w:tcPr>
          <w:p w14:paraId="1187F037" w14:textId="1E7ED079" w:rsidR="00B14D0E" w:rsidRDefault="00B14D0E" w:rsidP="00E8454E">
            <w:pPr>
              <w:jc w:val="center"/>
            </w:pPr>
            <w:r>
              <w:t>49</w:t>
            </w:r>
          </w:p>
        </w:tc>
      </w:tr>
      <w:tr w:rsidR="00B14D0E" w14:paraId="6277854B" w14:textId="77777777" w:rsidTr="00B14D0E">
        <w:trPr>
          <w:trHeight w:val="70"/>
          <w:jc w:val="center"/>
        </w:trPr>
        <w:tc>
          <w:tcPr>
            <w:tcW w:w="1555" w:type="dxa"/>
          </w:tcPr>
          <w:p w14:paraId="7FBC3E9C" w14:textId="678161D5" w:rsidR="00B14D0E" w:rsidRDefault="00B14D0E" w:rsidP="00E8454E">
            <w:r>
              <w:t xml:space="preserve">Controles demencia </w:t>
            </w:r>
          </w:p>
        </w:tc>
        <w:tc>
          <w:tcPr>
            <w:tcW w:w="2268" w:type="dxa"/>
          </w:tcPr>
          <w:p w14:paraId="73BADB2F" w14:textId="4CB2C28C" w:rsidR="00B14D0E" w:rsidRDefault="00B14D0E" w:rsidP="00E8454E">
            <w:pPr>
              <w:jc w:val="center"/>
            </w:pPr>
            <w:r>
              <w:t>17 ((se incluirán más)</w:t>
            </w:r>
          </w:p>
        </w:tc>
      </w:tr>
    </w:tbl>
    <w:p w14:paraId="6D7B00B7" w14:textId="77777777" w:rsidR="00B14D0E" w:rsidRDefault="00B14D0E" w:rsidP="00B14D0E">
      <w:pPr>
        <w:rPr>
          <w:b/>
          <w:bCs/>
          <w:lang w:val="es-ES"/>
        </w:rPr>
      </w:pPr>
      <w:r>
        <w:rPr>
          <w:b/>
          <w:bCs/>
          <w:lang w:val="es-ES"/>
        </w:rPr>
        <w:t>Hipótesis</w:t>
      </w:r>
    </w:p>
    <w:p w14:paraId="22D75ADA" w14:textId="56B59436" w:rsidR="00B14D0E" w:rsidRDefault="00B14D0E" w:rsidP="00B14D0E">
      <w:pPr>
        <w:rPr>
          <w:lang w:val="es-ES"/>
        </w:rPr>
      </w:pPr>
      <w:r>
        <w:rPr>
          <w:b/>
          <w:bCs/>
        </w:rPr>
        <w:t>Nula H</w:t>
      </w:r>
      <w:r>
        <w:rPr>
          <w:b/>
          <w:bCs/>
          <w:vertAlign w:val="subscript"/>
        </w:rPr>
        <w:t>0</w:t>
      </w:r>
      <w:r>
        <w:rPr>
          <w:b/>
          <w:bCs/>
        </w:rPr>
        <w:t xml:space="preserve">: </w:t>
      </w:r>
      <w:r>
        <w:rPr>
          <w:lang w:val="es-ES"/>
        </w:rPr>
        <w:t>No existen diferencias significativas entre las medidas de difusividad (</w:t>
      </w:r>
      <w:proofErr w:type="gramStart"/>
      <w:r>
        <w:rPr>
          <w:lang w:val="es-ES"/>
        </w:rPr>
        <w:t>DM,AF</w:t>
      </w:r>
      <w:proofErr w:type="gramEnd"/>
      <w:r>
        <w:rPr>
          <w:lang w:val="es-ES"/>
        </w:rPr>
        <w:t xml:space="preserve">,DR, DA) entre portadores de la mutación E280A para enfermedad de </w:t>
      </w:r>
      <w:proofErr w:type="spellStart"/>
      <w:r>
        <w:rPr>
          <w:lang w:val="es-ES"/>
        </w:rPr>
        <w:t>alzheimer</w:t>
      </w:r>
      <w:proofErr w:type="spellEnd"/>
      <w:r>
        <w:rPr>
          <w:lang w:val="es-ES"/>
        </w:rPr>
        <w:t xml:space="preserve"> y su grupo control.</w:t>
      </w:r>
    </w:p>
    <w:p w14:paraId="5985FE69" w14:textId="6C0DCE67" w:rsidR="00B14D0E" w:rsidRPr="00B14D0E" w:rsidRDefault="00B14D0E" w:rsidP="00091377">
      <w:pPr>
        <w:rPr>
          <w:lang w:val="es-ES"/>
        </w:rPr>
      </w:pPr>
      <w:r>
        <w:rPr>
          <w:b/>
          <w:bCs/>
          <w:lang w:val="es-ES"/>
        </w:rPr>
        <w:t>Alterna H</w:t>
      </w:r>
      <w:r>
        <w:rPr>
          <w:b/>
          <w:bCs/>
          <w:vertAlign w:val="subscript"/>
          <w:lang w:val="es-ES"/>
        </w:rPr>
        <w:t>a</w:t>
      </w:r>
      <w:r>
        <w:rPr>
          <w:b/>
          <w:bCs/>
          <w:lang w:val="es-ES"/>
        </w:rPr>
        <w:t xml:space="preserve">: </w:t>
      </w:r>
      <w:r>
        <w:rPr>
          <w:lang w:val="es-ES"/>
        </w:rPr>
        <w:t>existen diferencias significativas entre las medidas de difusividad (</w:t>
      </w:r>
      <w:proofErr w:type="gramStart"/>
      <w:r>
        <w:rPr>
          <w:lang w:val="es-ES"/>
        </w:rPr>
        <w:t>DM,AF</w:t>
      </w:r>
      <w:proofErr w:type="gramEnd"/>
      <w:r>
        <w:rPr>
          <w:lang w:val="es-ES"/>
        </w:rPr>
        <w:t xml:space="preserve">,DR, DA) entre portadores de la mutación E280A para enfermedad de </w:t>
      </w:r>
      <w:proofErr w:type="spellStart"/>
      <w:r>
        <w:rPr>
          <w:lang w:val="es-ES"/>
        </w:rPr>
        <w:t>alzheimer</w:t>
      </w:r>
      <w:proofErr w:type="spellEnd"/>
      <w:r>
        <w:rPr>
          <w:lang w:val="es-ES"/>
        </w:rPr>
        <w:t xml:space="preserve"> y su grupo control.</w:t>
      </w:r>
    </w:p>
    <w:p w14:paraId="7800D7A5" w14:textId="77777777" w:rsidR="00B14D0E" w:rsidRDefault="00B14D0E" w:rsidP="00091377">
      <w:pPr>
        <w:rPr>
          <w:b/>
          <w:bCs/>
          <w:lang w:val="es-ES"/>
        </w:rPr>
      </w:pPr>
    </w:p>
    <w:p w14:paraId="520E9AE1" w14:textId="77777777" w:rsidR="00B14D0E" w:rsidRDefault="00B14D0E" w:rsidP="00091377">
      <w:pPr>
        <w:rPr>
          <w:b/>
          <w:bCs/>
          <w:lang w:val="es-ES"/>
        </w:rPr>
      </w:pPr>
    </w:p>
    <w:p w14:paraId="017A2265" w14:textId="77777777" w:rsidR="00B14D0E" w:rsidRDefault="00B14D0E" w:rsidP="00091377">
      <w:pPr>
        <w:rPr>
          <w:b/>
          <w:bCs/>
          <w:lang w:val="es-ES"/>
        </w:rPr>
      </w:pPr>
    </w:p>
    <w:p w14:paraId="49E3FCEC" w14:textId="77777777" w:rsidR="00B14D0E" w:rsidRDefault="00B14D0E" w:rsidP="00091377">
      <w:pPr>
        <w:rPr>
          <w:b/>
          <w:bCs/>
          <w:lang w:val="es-ES"/>
        </w:rPr>
      </w:pPr>
    </w:p>
    <w:p w14:paraId="7B28C3BA" w14:textId="77777777" w:rsidR="00B14D0E" w:rsidRDefault="00B14D0E" w:rsidP="00091377">
      <w:pPr>
        <w:rPr>
          <w:b/>
          <w:bCs/>
          <w:lang w:val="es-ES"/>
        </w:rPr>
      </w:pPr>
    </w:p>
    <w:p w14:paraId="53E746BA" w14:textId="77777777" w:rsidR="00B14D0E" w:rsidRDefault="00B14D0E" w:rsidP="00091377">
      <w:pPr>
        <w:rPr>
          <w:b/>
          <w:bCs/>
          <w:lang w:val="es-ES"/>
        </w:rPr>
      </w:pPr>
    </w:p>
    <w:p w14:paraId="4E6888B0" w14:textId="65E9C2E9" w:rsidR="00091377" w:rsidRDefault="00091377" w:rsidP="00091377">
      <w:pPr>
        <w:rPr>
          <w:b/>
          <w:bCs/>
          <w:lang w:val="es-ES"/>
        </w:rPr>
      </w:pPr>
      <w:r w:rsidRPr="00091377">
        <w:rPr>
          <w:b/>
          <w:bCs/>
          <w:lang w:val="es-ES"/>
        </w:rPr>
        <w:lastRenderedPageBreak/>
        <w:t>Resultados</w:t>
      </w:r>
    </w:p>
    <w:p w14:paraId="721FAB0F" w14:textId="4FD7B54E" w:rsidR="00B14D0E" w:rsidRDefault="00B14D0E" w:rsidP="00091377">
      <w:pPr>
        <w:rPr>
          <w:b/>
          <w:bCs/>
          <w:lang w:val="es-ES"/>
        </w:rPr>
      </w:pPr>
      <w:r>
        <w:rPr>
          <w:noProof/>
        </w:rPr>
        <w:drawing>
          <wp:inline distT="0" distB="0" distL="0" distR="0" wp14:anchorId="21534602" wp14:editId="68E60384">
            <wp:extent cx="7019925" cy="3948410"/>
            <wp:effectExtent l="0" t="0" r="0" b="0"/>
            <wp:docPr id="18750527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276"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028195" cy="3953062"/>
                    </a:xfrm>
                    <a:prstGeom prst="rect">
                      <a:avLst/>
                    </a:prstGeom>
                  </pic:spPr>
                </pic:pic>
              </a:graphicData>
            </a:graphic>
          </wp:inline>
        </w:drawing>
      </w:r>
    </w:p>
    <w:p w14:paraId="51ECCDD6" w14:textId="38566FB7" w:rsidR="00B14D0E" w:rsidRDefault="00B14D0E" w:rsidP="00091377">
      <w:pPr>
        <w:rPr>
          <w:b/>
          <w:bCs/>
          <w:lang w:val="es-ES"/>
        </w:rPr>
      </w:pPr>
      <w:r>
        <w:rPr>
          <w:noProof/>
        </w:rPr>
        <w:drawing>
          <wp:inline distT="0" distB="0" distL="0" distR="0" wp14:anchorId="6708902D" wp14:editId="08DA49B6">
            <wp:extent cx="7095602" cy="3990975"/>
            <wp:effectExtent l="0" t="0" r="0" b="0"/>
            <wp:docPr id="6072528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280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7109033" cy="3998529"/>
                    </a:xfrm>
                    <a:prstGeom prst="rect">
                      <a:avLst/>
                    </a:prstGeom>
                  </pic:spPr>
                </pic:pic>
              </a:graphicData>
            </a:graphic>
          </wp:inline>
        </w:drawing>
      </w:r>
    </w:p>
    <w:p w14:paraId="36551EEA" w14:textId="77777777" w:rsidR="00B14D0E" w:rsidRDefault="00B14D0E" w:rsidP="00091377">
      <w:pPr>
        <w:rPr>
          <w:noProof/>
        </w:rPr>
      </w:pPr>
      <w:r>
        <w:rPr>
          <w:noProof/>
        </w:rPr>
        <w:lastRenderedPageBreak/>
        <w:drawing>
          <wp:inline distT="0" distB="0" distL="0" distR="0" wp14:anchorId="00FBC1D1" wp14:editId="0FFAD943">
            <wp:extent cx="6993994" cy="3933825"/>
            <wp:effectExtent l="0" t="0" r="0" b="0"/>
            <wp:docPr id="21863632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63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7002255" cy="3938472"/>
                    </a:xfrm>
                    <a:prstGeom prst="rect">
                      <a:avLst/>
                    </a:prstGeom>
                  </pic:spPr>
                </pic:pic>
              </a:graphicData>
            </a:graphic>
          </wp:inline>
        </w:drawing>
      </w:r>
      <w:r w:rsidRPr="00B14D0E">
        <w:rPr>
          <w:noProof/>
        </w:rPr>
        <w:t xml:space="preserve"> </w:t>
      </w:r>
    </w:p>
    <w:p w14:paraId="77328A32" w14:textId="77777777" w:rsidR="00B14D0E" w:rsidRDefault="00B14D0E" w:rsidP="00091377">
      <w:pPr>
        <w:rPr>
          <w:noProof/>
        </w:rPr>
      </w:pPr>
    </w:p>
    <w:p w14:paraId="56C01FB1" w14:textId="77777777" w:rsidR="00B14D0E" w:rsidRDefault="00B14D0E" w:rsidP="00091377">
      <w:pPr>
        <w:rPr>
          <w:noProof/>
        </w:rPr>
      </w:pPr>
    </w:p>
    <w:p w14:paraId="4D4AAC19" w14:textId="68EC9294" w:rsidR="00B14D0E" w:rsidRDefault="00B14D0E" w:rsidP="00091377">
      <w:pPr>
        <w:rPr>
          <w:noProof/>
        </w:rPr>
      </w:pPr>
      <w:r>
        <w:rPr>
          <w:noProof/>
        </w:rPr>
        <w:drawing>
          <wp:inline distT="0" distB="0" distL="0" distR="0" wp14:anchorId="4466E9AC" wp14:editId="7EDD2CE4">
            <wp:extent cx="6909321" cy="3886200"/>
            <wp:effectExtent l="0" t="0" r="6350" b="0"/>
            <wp:docPr id="102644656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46563"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912429" cy="3887948"/>
                    </a:xfrm>
                    <a:prstGeom prst="rect">
                      <a:avLst/>
                    </a:prstGeom>
                  </pic:spPr>
                </pic:pic>
              </a:graphicData>
            </a:graphic>
          </wp:inline>
        </w:drawing>
      </w:r>
    </w:p>
    <w:p w14:paraId="66ADFE83" w14:textId="760F9158" w:rsidR="00B14D0E" w:rsidRDefault="00B14D0E" w:rsidP="00091377">
      <w:pPr>
        <w:rPr>
          <w:b/>
          <w:bCs/>
          <w:lang w:val="es-ES"/>
        </w:rPr>
      </w:pPr>
      <w:r>
        <w:rPr>
          <w:noProof/>
        </w:rPr>
        <w:lastRenderedPageBreak/>
        <w:drawing>
          <wp:inline distT="0" distB="0" distL="0" distR="0" wp14:anchorId="4E47DBBF" wp14:editId="1E8059CD">
            <wp:extent cx="6858517" cy="3857625"/>
            <wp:effectExtent l="0" t="0" r="0" b="0"/>
            <wp:docPr id="46421983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19837"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6864713" cy="3861110"/>
                    </a:xfrm>
                    <a:prstGeom prst="rect">
                      <a:avLst/>
                    </a:prstGeom>
                  </pic:spPr>
                </pic:pic>
              </a:graphicData>
            </a:graphic>
          </wp:inline>
        </w:drawing>
      </w:r>
    </w:p>
    <w:p w14:paraId="0CB4B8AC" w14:textId="77777777" w:rsidR="00091377" w:rsidRDefault="00091377" w:rsidP="00091377">
      <w:pPr>
        <w:rPr>
          <w:b/>
          <w:bCs/>
          <w:lang w:val="es-ES"/>
        </w:rPr>
      </w:pPr>
      <w:r w:rsidRPr="00091377">
        <w:rPr>
          <w:b/>
          <w:bCs/>
          <w:lang w:val="es-ES"/>
        </w:rPr>
        <w:t>Conclusi</w:t>
      </w:r>
      <w:r>
        <w:rPr>
          <w:b/>
          <w:bCs/>
          <w:lang w:val="es-ES"/>
        </w:rPr>
        <w:t>o</w:t>
      </w:r>
      <w:r w:rsidRPr="00091377">
        <w:rPr>
          <w:b/>
          <w:bCs/>
          <w:lang w:val="es-ES"/>
        </w:rPr>
        <w:t>n</w:t>
      </w:r>
      <w:r>
        <w:rPr>
          <w:b/>
          <w:bCs/>
          <w:lang w:val="es-ES"/>
        </w:rPr>
        <w:t>es</w:t>
      </w:r>
    </w:p>
    <w:p w14:paraId="019AC991" w14:textId="77777777" w:rsidR="003327BD" w:rsidRDefault="00091377" w:rsidP="00091377">
      <w:pPr>
        <w:rPr>
          <w:lang w:val="es-ES"/>
        </w:rPr>
      </w:pPr>
      <w:bookmarkStart w:id="5" w:name="_Hlk159595500"/>
      <w:r w:rsidRPr="00091377">
        <w:rPr>
          <w:lang w:val="es-ES"/>
        </w:rPr>
        <w:t>Hay una disminución en la anisotropía fraccional y aumento en la difusividad media, axial y radial en los portadores de la mutación E280A con respecto a los no portadores. El mismo comportamiento se evidencia para los grupos de deterioro cognitivo leve y demencia con respecto a sus controles</w:t>
      </w:r>
      <w:bookmarkEnd w:id="5"/>
      <w:r w:rsidRPr="00091377">
        <w:rPr>
          <w:lang w:val="es-ES"/>
        </w:rPr>
        <w:t>.</w:t>
      </w:r>
    </w:p>
    <w:p w14:paraId="1B89EBB7" w14:textId="22C2963B" w:rsidR="00091377" w:rsidRPr="00091377" w:rsidRDefault="00091377" w:rsidP="00091377">
      <w:pPr>
        <w:rPr>
          <w:lang w:val="es-ES"/>
        </w:rPr>
      </w:pPr>
      <w:r w:rsidRPr="00091377">
        <w:rPr>
          <w:lang w:val="es-ES"/>
        </w:rPr>
        <w:t xml:space="preserve"> Estos hallazgos observados en las métricas de difusividad se corresponden con los resultados obtenidos en las evaluaciones neuropsicológicas. </w:t>
      </w:r>
    </w:p>
    <w:p w14:paraId="798983D7" w14:textId="1D7FF857" w:rsidR="00091377" w:rsidRPr="003327BD" w:rsidRDefault="00A53A05" w:rsidP="003327BD">
      <w:pPr>
        <w:rPr>
          <w:lang w:val="es-ES"/>
        </w:rPr>
      </w:pPr>
      <w:r>
        <w:rPr>
          <w:b/>
          <w:bCs/>
          <w:lang w:val="es-ES"/>
        </w:rPr>
        <w:t>Palabras claves:</w:t>
      </w:r>
      <w:r w:rsidR="00EC14DE">
        <w:rPr>
          <w:b/>
          <w:bCs/>
          <w:lang w:val="es-ES"/>
        </w:rPr>
        <w:t xml:space="preserve"> </w:t>
      </w:r>
      <w:r w:rsidR="00EC14DE">
        <w:rPr>
          <w:lang w:val="es-ES"/>
        </w:rPr>
        <w:t xml:space="preserve">Enfermedad de Alzheimer, DTI, </w:t>
      </w:r>
      <w:proofErr w:type="spellStart"/>
      <w:r w:rsidR="00EC14DE">
        <w:rPr>
          <w:lang w:val="es-ES"/>
        </w:rPr>
        <w:t>tractografía</w:t>
      </w:r>
      <w:proofErr w:type="spellEnd"/>
      <w:r w:rsidR="00EC14DE">
        <w:rPr>
          <w:lang w:val="es-ES"/>
        </w:rPr>
        <w:t xml:space="preserve"> </w:t>
      </w:r>
      <w:r w:rsidR="00ED09B2">
        <w:rPr>
          <w:lang w:val="es-ES"/>
        </w:rPr>
        <w:t xml:space="preserve">/ Alzheimer </w:t>
      </w:r>
      <w:proofErr w:type="spellStart"/>
      <w:r w:rsidR="00ED09B2">
        <w:rPr>
          <w:lang w:val="es-ES"/>
        </w:rPr>
        <w:t>Disease</w:t>
      </w:r>
      <w:proofErr w:type="spellEnd"/>
      <w:r w:rsidR="00ED09B2">
        <w:rPr>
          <w:lang w:val="es-ES"/>
        </w:rPr>
        <w:t xml:space="preserve">, DTI, </w:t>
      </w:r>
      <w:proofErr w:type="spellStart"/>
      <w:r w:rsidR="00ED09B2">
        <w:rPr>
          <w:lang w:val="es-ES"/>
        </w:rPr>
        <w:t>tractography</w:t>
      </w:r>
      <w:proofErr w:type="spellEnd"/>
    </w:p>
    <w:p w14:paraId="09C05DE4" w14:textId="2288EA19" w:rsidR="009542FB" w:rsidRDefault="009542FB" w:rsidP="009542FB">
      <w:pPr>
        <w:jc w:val="center"/>
        <w:rPr>
          <w:b/>
          <w:bCs/>
          <w:lang w:val="es-ES"/>
        </w:rPr>
      </w:pPr>
      <w:r>
        <w:rPr>
          <w:b/>
          <w:bCs/>
          <w:lang w:val="es-ES"/>
        </w:rPr>
        <w:t xml:space="preserve">Referencias </w:t>
      </w:r>
    </w:p>
    <w:p w14:paraId="0AB91F18" w14:textId="77777777" w:rsidR="004A03B0" w:rsidRDefault="004A03B0" w:rsidP="009542FB">
      <w:pPr>
        <w:widowControl w:val="0"/>
        <w:autoSpaceDE w:val="0"/>
        <w:autoSpaceDN w:val="0"/>
        <w:adjustRightInd w:val="0"/>
        <w:spacing w:line="240" w:lineRule="auto"/>
        <w:ind w:left="640" w:hanging="640"/>
        <w:rPr>
          <w:b/>
          <w:bCs/>
          <w:lang w:val="es-ES"/>
        </w:rPr>
        <w:sectPr w:rsidR="004A03B0" w:rsidSect="00B14D0E">
          <w:pgSz w:w="12240" w:h="15840"/>
          <w:pgMar w:top="720" w:right="720" w:bottom="720" w:left="720" w:header="708" w:footer="708" w:gutter="0"/>
          <w:cols w:space="708"/>
          <w:docGrid w:linePitch="360"/>
        </w:sectPr>
      </w:pPr>
    </w:p>
    <w:p w14:paraId="45F7C140" w14:textId="1FA7FD9C"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A03B0">
        <w:rPr>
          <w:b/>
          <w:bCs/>
          <w:sz w:val="20"/>
          <w:szCs w:val="18"/>
          <w:lang w:val="es-ES"/>
        </w:rPr>
        <w:fldChar w:fldCharType="begin" w:fldLock="1"/>
      </w:r>
      <w:r w:rsidRPr="004A03B0">
        <w:rPr>
          <w:b/>
          <w:bCs/>
          <w:sz w:val="20"/>
          <w:szCs w:val="18"/>
          <w:lang w:val="es-ES"/>
        </w:rPr>
        <w:instrText xml:space="preserve">ADDIN Mendeley Bibliography CSL_BIBLIOGRAPHY </w:instrText>
      </w:r>
      <w:r w:rsidRPr="004A03B0">
        <w:rPr>
          <w:b/>
          <w:bCs/>
          <w:sz w:val="20"/>
          <w:szCs w:val="18"/>
          <w:lang w:val="es-ES"/>
        </w:rPr>
        <w:fldChar w:fldCharType="separate"/>
      </w:r>
      <w:r w:rsidRPr="004A03B0">
        <w:rPr>
          <w:rFonts w:cs="Times New Roman"/>
          <w:noProof/>
          <w:sz w:val="20"/>
          <w:szCs w:val="20"/>
        </w:rPr>
        <w:t xml:space="preserve">1. </w:t>
      </w:r>
      <w:r w:rsidRPr="004A03B0">
        <w:rPr>
          <w:rFonts w:cs="Times New Roman"/>
          <w:noProof/>
          <w:sz w:val="20"/>
          <w:szCs w:val="20"/>
        </w:rPr>
        <w:tab/>
        <w:t xml:space="preserve">Donoso A. La enfermedad de Alzheimer. </w:t>
      </w:r>
      <w:r w:rsidRPr="00437771">
        <w:rPr>
          <w:rFonts w:cs="Times New Roman"/>
          <w:noProof/>
          <w:sz w:val="20"/>
          <w:szCs w:val="20"/>
          <w:lang w:val="en-US"/>
        </w:rPr>
        <w:t>Rev Chil Neuropsiquiatr [Internet]. 2003 Nov [cited 2019 Jul 20];41:13–22. Available from: http://www.scielo.cl/scielo.php?script=sci_arttext&amp;pid=S0717-92272003041200003&amp;lng=en&amp;nrm=iso&amp;tlng=en</w:t>
      </w:r>
    </w:p>
    <w:p w14:paraId="4CBD93C8"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2. </w:t>
      </w:r>
      <w:r w:rsidRPr="00437771">
        <w:rPr>
          <w:rFonts w:cs="Times New Roman"/>
          <w:noProof/>
          <w:sz w:val="20"/>
          <w:szCs w:val="20"/>
          <w:lang w:val="en-US"/>
        </w:rPr>
        <w:tab/>
        <w:t xml:space="preserve">Lista S, Bryant SEO, Blennow K, Dubois B, Hugon J. Biomarkers in Sporadic and Familial Alzheimer ’ s Disease. 2015;47:291–317. </w:t>
      </w:r>
    </w:p>
    <w:p w14:paraId="1FDB5033"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3. </w:t>
      </w:r>
      <w:r w:rsidRPr="00437771">
        <w:rPr>
          <w:rFonts w:cs="Times New Roman"/>
          <w:noProof/>
          <w:sz w:val="20"/>
          <w:szCs w:val="20"/>
          <w:lang w:val="en-US"/>
        </w:rPr>
        <w:tab/>
        <w:t>Polanco JC, Li C, Bodea LG, Martinez-Marmol R, Meunier FA, Götz J. Amyloid-</w:t>
      </w:r>
      <w:r w:rsidRPr="004A03B0">
        <w:rPr>
          <w:rFonts w:cs="Times New Roman"/>
          <w:noProof/>
          <w:sz w:val="20"/>
          <w:szCs w:val="20"/>
        </w:rPr>
        <w:t>β</w:t>
      </w:r>
      <w:r w:rsidRPr="00437771">
        <w:rPr>
          <w:rFonts w:cs="Times New Roman"/>
          <w:noProof/>
          <w:sz w:val="20"/>
          <w:szCs w:val="20"/>
          <w:lang w:val="en-US"/>
        </w:rPr>
        <w:t xml:space="preserve"> and tau complexity - Towards improved biomarkers and targeted therapies. Nat Rev Neurol [Internet]. 2018;14(1):22–40. Available from: http://dx.doi.org/10.1038/nrneurol.2017.162</w:t>
      </w:r>
    </w:p>
    <w:p w14:paraId="3BA087A0"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4. </w:t>
      </w:r>
      <w:r w:rsidRPr="00437771">
        <w:rPr>
          <w:rFonts w:cs="Times New Roman"/>
          <w:noProof/>
          <w:sz w:val="20"/>
          <w:szCs w:val="20"/>
          <w:lang w:val="en-US"/>
        </w:rPr>
        <w:tab/>
        <w:t>Kantarci K, Murray ME, Schwarz CG, Reid RI, Przybelski SA, Lesnick T, et al. White-matter integrity on DTI and the pathologic staging of Alzheimer’s disease. Neurobiol Aging [Internet]. 2017;56:172–9. Available from: http://dx.doi.org/10.1016/j.neurobiolaging.2017.04.024</w:t>
      </w:r>
    </w:p>
    <w:p w14:paraId="187FC976"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5. </w:t>
      </w:r>
      <w:r w:rsidRPr="00437771">
        <w:rPr>
          <w:rFonts w:cs="Times New Roman"/>
          <w:noProof/>
          <w:sz w:val="20"/>
          <w:szCs w:val="20"/>
          <w:lang w:val="en-US"/>
        </w:rPr>
        <w:tab/>
        <w:t>Filley CM. The Behavioral Neurology of White Matter [Internet]. Vol. 5, BMC Public Health. 1–8 p. Available from: https://ejournal.poltektegal.ac.id/index.php/siklus/article/view/298%0Ahttp://repositorio.unan.edu.ni/2986/1/5624.pdf%0Ahttp://dx.doi.org/10.1016/j.jana.2015.10.005%0Ahttp://www.biomedcentral.com/1471-2458/12/58%0Ahttp://ovidsp.ovid.com/ovidweb.cgi?T=JS&amp;P</w:t>
      </w:r>
    </w:p>
    <w:p w14:paraId="79608084"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A03B0">
        <w:rPr>
          <w:rFonts w:cs="Times New Roman"/>
          <w:noProof/>
          <w:sz w:val="20"/>
          <w:szCs w:val="20"/>
        </w:rPr>
        <w:t xml:space="preserve">6. </w:t>
      </w:r>
      <w:r w:rsidRPr="004A03B0">
        <w:rPr>
          <w:rFonts w:cs="Times New Roman"/>
          <w:noProof/>
          <w:sz w:val="20"/>
          <w:szCs w:val="20"/>
        </w:rPr>
        <w:tab/>
        <w:t xml:space="preserve">Andica, Kamagata, Hatano, Saito, Uchida, Ogawa, et al. </w:t>
      </w:r>
      <w:r w:rsidRPr="00437771">
        <w:rPr>
          <w:rFonts w:cs="Times New Roman"/>
          <w:noProof/>
          <w:sz w:val="20"/>
          <w:szCs w:val="20"/>
          <w:lang w:val="en-US"/>
        </w:rPr>
        <w:t xml:space="preserve">Free-Water Imaging in White and Gray Matter in Parkinson’s Disease. </w:t>
      </w:r>
      <w:r w:rsidRPr="004A03B0">
        <w:rPr>
          <w:rFonts w:cs="Times New Roman"/>
          <w:noProof/>
          <w:sz w:val="20"/>
          <w:szCs w:val="20"/>
        </w:rPr>
        <w:t xml:space="preserve">Cells. 2019;8(8):839. </w:t>
      </w:r>
    </w:p>
    <w:p w14:paraId="062F4131"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A03B0">
        <w:rPr>
          <w:rFonts w:cs="Times New Roman"/>
          <w:noProof/>
          <w:sz w:val="20"/>
          <w:szCs w:val="20"/>
        </w:rPr>
        <w:lastRenderedPageBreak/>
        <w:t xml:space="preserve">7. </w:t>
      </w:r>
      <w:r w:rsidRPr="004A03B0">
        <w:rPr>
          <w:rFonts w:cs="Times New Roman"/>
          <w:noProof/>
          <w:sz w:val="20"/>
          <w:szCs w:val="20"/>
        </w:rPr>
        <w:tab/>
        <w:t xml:space="preserve">Duque A, Roa E, Castedo J. Anatomía de la sustancia blanca mediante tractografía por tensor de difusión. </w:t>
      </w:r>
      <w:r w:rsidRPr="00437771">
        <w:rPr>
          <w:rFonts w:cs="Times New Roman"/>
          <w:noProof/>
          <w:sz w:val="20"/>
          <w:szCs w:val="20"/>
          <w:lang w:val="en-US"/>
        </w:rPr>
        <w:t>Radiologia [Internet]. 2008;50(2):99–111. Available from: http://dx.doi.org/10.1016/S0033-8338(08)71944-1</w:t>
      </w:r>
    </w:p>
    <w:p w14:paraId="5DE4A461"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8. </w:t>
      </w:r>
      <w:r w:rsidRPr="00437771">
        <w:rPr>
          <w:rFonts w:cs="Times New Roman"/>
          <w:noProof/>
          <w:sz w:val="20"/>
          <w:szCs w:val="20"/>
          <w:lang w:val="en-US"/>
        </w:rPr>
        <w:tab/>
        <w:t>Lope-Piedrafita S. Diffusion Tensor Imaging (DTI). In: Preclinical MRI Methods in Molecular Biology [Internet]. 2018. p. 103–16. Available from: https://link.springer.com/protocol/10.1007%2F978-1-4939-7531-0_7</w:t>
      </w:r>
    </w:p>
    <w:p w14:paraId="27830431"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37771">
        <w:rPr>
          <w:rFonts w:cs="Times New Roman"/>
          <w:noProof/>
          <w:sz w:val="20"/>
          <w:szCs w:val="20"/>
          <w:lang w:val="en-US"/>
        </w:rPr>
        <w:t xml:space="preserve">9. </w:t>
      </w:r>
      <w:r w:rsidRPr="00437771">
        <w:rPr>
          <w:rFonts w:cs="Times New Roman"/>
          <w:noProof/>
          <w:sz w:val="20"/>
          <w:szCs w:val="20"/>
          <w:lang w:val="en-US"/>
        </w:rPr>
        <w:tab/>
        <w:t xml:space="preserve">Hoy AR, Kecskemeti SR, Corps MS, Navy US. </w:t>
      </w:r>
      <w:r w:rsidRPr="004A03B0">
        <w:rPr>
          <w:rFonts w:cs="Times New Roman"/>
          <w:noProof/>
          <w:sz w:val="20"/>
          <w:szCs w:val="20"/>
        </w:rPr>
        <w:t xml:space="preserve">Tractografía de difusión de eliminación de agua libre : una comparación con las adquisiciones convencionales y FLAIR DTI. 2019;1–16. </w:t>
      </w:r>
    </w:p>
    <w:p w14:paraId="6844954E"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A03B0">
        <w:rPr>
          <w:rFonts w:cs="Times New Roman"/>
          <w:noProof/>
          <w:sz w:val="20"/>
          <w:szCs w:val="20"/>
        </w:rPr>
        <w:t xml:space="preserve">10. </w:t>
      </w:r>
      <w:r w:rsidRPr="004A03B0">
        <w:rPr>
          <w:rFonts w:cs="Times New Roman"/>
          <w:noProof/>
          <w:sz w:val="20"/>
          <w:szCs w:val="20"/>
        </w:rPr>
        <w:tab/>
        <w:t xml:space="preserve">Mart M. Biomarcadores en la enfermedad de Alzheimer : definición , significación diagnóstica y utilidad clínica. 2009;1(2):101–14. </w:t>
      </w:r>
    </w:p>
    <w:p w14:paraId="2A20B272"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A03B0">
        <w:rPr>
          <w:rFonts w:cs="Times New Roman"/>
          <w:noProof/>
          <w:sz w:val="20"/>
          <w:szCs w:val="20"/>
        </w:rPr>
        <w:t xml:space="preserve">11. </w:t>
      </w:r>
      <w:r w:rsidRPr="004A03B0">
        <w:rPr>
          <w:rFonts w:cs="Times New Roman"/>
          <w:noProof/>
          <w:sz w:val="20"/>
          <w:szCs w:val="20"/>
        </w:rPr>
        <w:tab/>
        <w:t>Franco MacÍas E, Suárez González A, Bustamante Rangel A, Gil Néciga E. Enfermedad de Alzheimer. In: Tratado de Medicina Geriátrica [Internet]. Second Edi. Elsevier Espa8#241;a, S.L.U.; 2011. p. 5129–37. Available from: http://dx.doi.org/10.1016/B978-84-9113-298-1/00088-0</w:t>
      </w:r>
    </w:p>
    <w:p w14:paraId="436A827A"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A03B0">
        <w:rPr>
          <w:rFonts w:cs="Times New Roman"/>
          <w:noProof/>
          <w:sz w:val="20"/>
          <w:szCs w:val="20"/>
        </w:rPr>
        <w:t>12. .</w:t>
      </w:r>
      <w:r w:rsidRPr="004A03B0">
        <w:rPr>
          <w:rFonts w:cs="Times New Roman"/>
          <w:noProof/>
          <w:sz w:val="20"/>
          <w:szCs w:val="20"/>
        </w:rPr>
        <w:tab/>
        <w:t xml:space="preserve">_Tractografía de difusión de eliminación de agua libre_ una comparación con las adquisiciones convencionales y FLAIR DTI.pdf. </w:t>
      </w:r>
    </w:p>
    <w:p w14:paraId="681C4B99"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13. .</w:t>
      </w:r>
      <w:r w:rsidRPr="00437771">
        <w:rPr>
          <w:rFonts w:cs="Times New Roman"/>
          <w:noProof/>
          <w:sz w:val="20"/>
          <w:szCs w:val="20"/>
          <w:lang w:val="en-US"/>
        </w:rPr>
        <w:tab/>
        <w:t xml:space="preserve">_Free Water Elimination Diffusion Tractography- A Comparison With Conventional and Fluid-Attenuated Inversion Recovery, Diffusion Tensor Imaging Acquisitions.pdf. </w:t>
      </w:r>
    </w:p>
    <w:p w14:paraId="208D1F26" w14:textId="77777777" w:rsidR="009542FB" w:rsidRPr="00437771" w:rsidRDefault="009542FB" w:rsidP="009542FB">
      <w:pPr>
        <w:widowControl w:val="0"/>
        <w:autoSpaceDE w:val="0"/>
        <w:autoSpaceDN w:val="0"/>
        <w:adjustRightInd w:val="0"/>
        <w:spacing w:line="240" w:lineRule="auto"/>
        <w:ind w:left="640" w:hanging="640"/>
        <w:rPr>
          <w:rFonts w:cs="Times New Roman"/>
          <w:noProof/>
          <w:sz w:val="20"/>
          <w:szCs w:val="20"/>
          <w:lang w:val="en-US"/>
        </w:rPr>
      </w:pPr>
      <w:r w:rsidRPr="00437771">
        <w:rPr>
          <w:rFonts w:cs="Times New Roman"/>
          <w:noProof/>
          <w:sz w:val="20"/>
          <w:szCs w:val="20"/>
          <w:lang w:val="en-US"/>
        </w:rPr>
        <w:t xml:space="preserve">14. </w:t>
      </w:r>
      <w:r w:rsidRPr="00437771">
        <w:rPr>
          <w:rFonts w:cs="Times New Roman"/>
          <w:noProof/>
          <w:sz w:val="20"/>
          <w:szCs w:val="20"/>
          <w:lang w:val="en-US"/>
        </w:rPr>
        <w:tab/>
        <w:t xml:space="preserve">Dumont M, Roy M, Jodoin PM, Morency FC, Houde JC, Xie Z, et al. Free Water in White Matter Differentiates MCI and AD From Control Subjects. Front Aging Neurosci. 2019;11(October):1–9. </w:t>
      </w:r>
    </w:p>
    <w:p w14:paraId="60F0C43A" w14:textId="77777777" w:rsidR="009542FB" w:rsidRPr="004A03B0" w:rsidRDefault="009542FB" w:rsidP="009542FB">
      <w:pPr>
        <w:widowControl w:val="0"/>
        <w:autoSpaceDE w:val="0"/>
        <w:autoSpaceDN w:val="0"/>
        <w:adjustRightInd w:val="0"/>
        <w:spacing w:line="240" w:lineRule="auto"/>
        <w:ind w:left="640" w:hanging="640"/>
        <w:rPr>
          <w:rFonts w:cs="Times New Roman"/>
          <w:noProof/>
          <w:sz w:val="20"/>
          <w:szCs w:val="20"/>
        </w:rPr>
      </w:pPr>
      <w:r w:rsidRPr="00437771">
        <w:rPr>
          <w:rFonts w:cs="Times New Roman"/>
          <w:noProof/>
          <w:sz w:val="20"/>
          <w:szCs w:val="20"/>
          <w:lang w:val="en-US"/>
        </w:rPr>
        <w:t xml:space="preserve">15. </w:t>
      </w:r>
      <w:r w:rsidRPr="00437771">
        <w:rPr>
          <w:rFonts w:cs="Times New Roman"/>
          <w:noProof/>
          <w:sz w:val="20"/>
          <w:szCs w:val="20"/>
          <w:lang w:val="en-US"/>
        </w:rPr>
        <w:tab/>
        <w:t xml:space="preserve">Hoy AR, Kecskemeti SR, Alexander AL. Free Water Elimination Diffusion Tractography : A Comparison With Conventional and Fluid-Attenuated Inversion Recovery , Diffusion Tensor Imaging Acquisitions. </w:t>
      </w:r>
      <w:r w:rsidRPr="004A03B0">
        <w:rPr>
          <w:rFonts w:cs="Times New Roman"/>
          <w:noProof/>
          <w:sz w:val="20"/>
          <w:szCs w:val="20"/>
        </w:rPr>
        <w:t xml:space="preserve">2015; </w:t>
      </w:r>
    </w:p>
    <w:p w14:paraId="56044CDF" w14:textId="7F9EE37F" w:rsidR="005A257F" w:rsidRPr="00091377" w:rsidRDefault="009542FB" w:rsidP="00091377">
      <w:pPr>
        <w:widowControl w:val="0"/>
        <w:autoSpaceDE w:val="0"/>
        <w:autoSpaceDN w:val="0"/>
        <w:adjustRightInd w:val="0"/>
        <w:spacing w:line="240" w:lineRule="auto"/>
        <w:ind w:left="640" w:hanging="640"/>
        <w:rPr>
          <w:b/>
          <w:bCs/>
          <w:sz w:val="20"/>
          <w:szCs w:val="18"/>
          <w:lang w:val="en-US"/>
        </w:rPr>
      </w:pPr>
      <w:r w:rsidRPr="004A03B0">
        <w:rPr>
          <w:rFonts w:cs="Times New Roman"/>
          <w:noProof/>
          <w:sz w:val="20"/>
          <w:szCs w:val="20"/>
        </w:rPr>
        <w:t xml:space="preserve">16. </w:t>
      </w:r>
      <w:r w:rsidRPr="004A03B0">
        <w:rPr>
          <w:rFonts w:cs="Times New Roman"/>
          <w:noProof/>
          <w:sz w:val="20"/>
          <w:szCs w:val="20"/>
        </w:rPr>
        <w:tab/>
        <w:t xml:space="preserve">Tang Y, Ph D, Pasternak O, Ph D, Kubicki M, Ph D, et al. </w:t>
      </w:r>
      <w:r w:rsidRPr="00437771">
        <w:rPr>
          <w:rFonts w:cs="Times New Roman"/>
          <w:noProof/>
          <w:sz w:val="20"/>
          <w:szCs w:val="20"/>
          <w:lang w:val="en-US"/>
        </w:rPr>
        <w:t xml:space="preserve">Altered Cellular White Matter But Not Extracellular Free Water on Diffusion MRI in Individuals at Clinical High Risk for Psychosis. </w:t>
      </w:r>
      <w:r w:rsidRPr="005A257F">
        <w:rPr>
          <w:rFonts w:cs="Times New Roman"/>
          <w:noProof/>
          <w:sz w:val="20"/>
          <w:szCs w:val="20"/>
          <w:lang w:val="en-US"/>
        </w:rPr>
        <w:t xml:space="preserve">(25):1–9. </w:t>
      </w:r>
      <w:r w:rsidRPr="004A03B0">
        <w:rPr>
          <w:b/>
          <w:bCs/>
          <w:sz w:val="20"/>
          <w:szCs w:val="18"/>
          <w:lang w:val="es-ES"/>
        </w:rPr>
        <w:fldChar w:fldCharType="end"/>
      </w:r>
    </w:p>
    <w:sectPr w:rsidR="005A257F" w:rsidRPr="00091377" w:rsidSect="004A03B0">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78708" w14:textId="77777777" w:rsidR="00240C6D" w:rsidRDefault="00240C6D" w:rsidP="008131D1">
      <w:pPr>
        <w:spacing w:after="0" w:line="240" w:lineRule="auto"/>
      </w:pPr>
      <w:r>
        <w:separator/>
      </w:r>
    </w:p>
  </w:endnote>
  <w:endnote w:type="continuationSeparator" w:id="0">
    <w:p w14:paraId="6C2ECD26" w14:textId="77777777" w:rsidR="00240C6D" w:rsidRDefault="00240C6D" w:rsidP="00813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A2ABC" w14:textId="77777777" w:rsidR="00240C6D" w:rsidRDefault="00240C6D" w:rsidP="008131D1">
      <w:pPr>
        <w:spacing w:after="0" w:line="240" w:lineRule="auto"/>
      </w:pPr>
      <w:r>
        <w:separator/>
      </w:r>
    </w:p>
  </w:footnote>
  <w:footnote w:type="continuationSeparator" w:id="0">
    <w:p w14:paraId="7488F302" w14:textId="77777777" w:rsidR="00240C6D" w:rsidRDefault="00240C6D" w:rsidP="00813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012E"/>
    <w:multiLevelType w:val="hybridMultilevel"/>
    <w:tmpl w:val="BD9815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7F25259"/>
    <w:multiLevelType w:val="hybridMultilevel"/>
    <w:tmpl w:val="9296F1FC"/>
    <w:lvl w:ilvl="0" w:tplc="B07C075C">
      <w:numFmt w:val="bullet"/>
      <w:lvlText w:val="•"/>
      <w:lvlJc w:val="left"/>
      <w:pPr>
        <w:ind w:left="1065" w:hanging="705"/>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D106C39"/>
    <w:multiLevelType w:val="hybridMultilevel"/>
    <w:tmpl w:val="113C91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D297A82"/>
    <w:multiLevelType w:val="hybridMultilevel"/>
    <w:tmpl w:val="333CF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5BF"/>
    <w:rsid w:val="000615B5"/>
    <w:rsid w:val="00091377"/>
    <w:rsid w:val="000A32A6"/>
    <w:rsid w:val="000B3B3F"/>
    <w:rsid w:val="001473F9"/>
    <w:rsid w:val="001D2152"/>
    <w:rsid w:val="00221D38"/>
    <w:rsid w:val="00240C6D"/>
    <w:rsid w:val="00241749"/>
    <w:rsid w:val="00266373"/>
    <w:rsid w:val="002F7546"/>
    <w:rsid w:val="003327BD"/>
    <w:rsid w:val="003C787E"/>
    <w:rsid w:val="004235C4"/>
    <w:rsid w:val="00437771"/>
    <w:rsid w:val="004456BA"/>
    <w:rsid w:val="00493EC4"/>
    <w:rsid w:val="004A03B0"/>
    <w:rsid w:val="004B75BF"/>
    <w:rsid w:val="0051258D"/>
    <w:rsid w:val="00592B26"/>
    <w:rsid w:val="005A257F"/>
    <w:rsid w:val="006475BB"/>
    <w:rsid w:val="00662DFE"/>
    <w:rsid w:val="006C5C6C"/>
    <w:rsid w:val="00714132"/>
    <w:rsid w:val="007340B1"/>
    <w:rsid w:val="007A48DB"/>
    <w:rsid w:val="008131D1"/>
    <w:rsid w:val="00870F85"/>
    <w:rsid w:val="00875DBB"/>
    <w:rsid w:val="008E1B19"/>
    <w:rsid w:val="009431BB"/>
    <w:rsid w:val="009542FB"/>
    <w:rsid w:val="00970B97"/>
    <w:rsid w:val="009A41D5"/>
    <w:rsid w:val="00A53A05"/>
    <w:rsid w:val="00AC4C46"/>
    <w:rsid w:val="00B14D0E"/>
    <w:rsid w:val="00BA4AE4"/>
    <w:rsid w:val="00BD7B4C"/>
    <w:rsid w:val="00BF36EC"/>
    <w:rsid w:val="00C34245"/>
    <w:rsid w:val="00C71F9B"/>
    <w:rsid w:val="00C850FD"/>
    <w:rsid w:val="00CD710F"/>
    <w:rsid w:val="00DE2D2B"/>
    <w:rsid w:val="00E138E9"/>
    <w:rsid w:val="00E138FC"/>
    <w:rsid w:val="00E64491"/>
    <w:rsid w:val="00E84315"/>
    <w:rsid w:val="00EA02E2"/>
    <w:rsid w:val="00EC14DE"/>
    <w:rsid w:val="00ED09B2"/>
    <w:rsid w:val="00F21E46"/>
    <w:rsid w:val="00F22587"/>
    <w:rsid w:val="00F73FDA"/>
    <w:rsid w:val="00FD77E5"/>
    <w:rsid w:val="00FF1B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2C2D1"/>
  <w15:chartTrackingRefBased/>
  <w15:docId w15:val="{C3E51235-6D16-4354-9033-AF7E92CB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BF"/>
    <w:pPr>
      <w:jc w:val="both"/>
    </w:pPr>
    <w:rPr>
      <w:rFonts w:ascii="Times New Roman" w:hAnsi="Times New Roman"/>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75BF"/>
    <w:rPr>
      <w:color w:val="0563C1" w:themeColor="hyperlink"/>
      <w:u w:val="single"/>
    </w:rPr>
  </w:style>
  <w:style w:type="paragraph" w:styleId="Prrafodelista">
    <w:name w:val="List Paragraph"/>
    <w:basedOn w:val="Normal"/>
    <w:uiPriority w:val="34"/>
    <w:qFormat/>
    <w:rsid w:val="00BF36EC"/>
    <w:pPr>
      <w:ind w:left="720"/>
      <w:contextualSpacing/>
    </w:pPr>
  </w:style>
  <w:style w:type="paragraph" w:styleId="Encabezado">
    <w:name w:val="header"/>
    <w:basedOn w:val="Normal"/>
    <w:link w:val="EncabezadoCar"/>
    <w:uiPriority w:val="99"/>
    <w:unhideWhenUsed/>
    <w:rsid w:val="008131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31D1"/>
    <w:rPr>
      <w:rFonts w:ascii="Times New Roman" w:hAnsi="Times New Roman"/>
      <w:sz w:val="24"/>
    </w:rPr>
  </w:style>
  <w:style w:type="paragraph" w:styleId="Piedepgina">
    <w:name w:val="footer"/>
    <w:basedOn w:val="Normal"/>
    <w:link w:val="PiedepginaCar"/>
    <w:uiPriority w:val="99"/>
    <w:unhideWhenUsed/>
    <w:rsid w:val="008131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31D1"/>
    <w:rPr>
      <w:rFonts w:ascii="Times New Roman" w:hAnsi="Times New Roman"/>
      <w:sz w:val="24"/>
    </w:rPr>
  </w:style>
  <w:style w:type="paragraph" w:styleId="HTMLconformatoprevio">
    <w:name w:val="HTML Preformatted"/>
    <w:basedOn w:val="Normal"/>
    <w:link w:val="HTMLconformatoprevioCar"/>
    <w:uiPriority w:val="99"/>
    <w:unhideWhenUsed/>
    <w:rsid w:val="00091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CO"/>
      <w14:ligatures w14:val="standardContextual"/>
    </w:rPr>
  </w:style>
  <w:style w:type="character" w:customStyle="1" w:styleId="HTMLconformatoprevioCar">
    <w:name w:val="HTML con formato previo Car"/>
    <w:basedOn w:val="Fuentedeprrafopredeter"/>
    <w:link w:val="HTMLconformatoprevio"/>
    <w:uiPriority w:val="99"/>
    <w:rsid w:val="00091377"/>
    <w:rPr>
      <w:rFonts w:ascii="Courier New" w:eastAsia="Times New Roman" w:hAnsi="Courier New" w:cs="Courier New"/>
      <w:sz w:val="20"/>
      <w:szCs w:val="20"/>
      <w:lang w:eastAsia="es-CO"/>
      <w14:ligatures w14:val="standardContextual"/>
    </w:rPr>
  </w:style>
  <w:style w:type="table" w:styleId="Tablaconcuadrcula">
    <w:name w:val="Table Grid"/>
    <w:basedOn w:val="Tablanormal"/>
    <w:uiPriority w:val="39"/>
    <w:rsid w:val="00B14D0E"/>
    <w:pPr>
      <w:spacing w:after="0" w:line="240" w:lineRule="auto"/>
    </w:pPr>
    <w:rPr>
      <w:rFonts w:ascii="Times New Roman" w:eastAsia="Times New Roman" w:hAnsi="Times New Roman" w:cs="Times New Roman"/>
      <w:sz w:val="24"/>
      <w:szCs w:val="24"/>
      <w:lang w:val="es-ES"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camilo.cano@udea.edu.co" TargetMode="Externa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E3FD6-36EA-42C9-BF3F-EB86AEEA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8321</Words>
  <Characters>45770</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CANO LONDONO</dc:creator>
  <cp:keywords/>
  <dc:description/>
  <cp:lastModifiedBy>DanielA Mtz</cp:lastModifiedBy>
  <cp:revision>6</cp:revision>
  <dcterms:created xsi:type="dcterms:W3CDTF">2024-01-29T00:49:00Z</dcterms:created>
  <dcterms:modified xsi:type="dcterms:W3CDTF">2024-02-24T00:23:00Z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99859ce0-13c6-3ad9-aa8f-9ac95ccce1a9</vt:lpwstr>
  </property>
  <property fmtid="{D5CDD505-2E9C-101B-9397-08002B2CF9AE}" pid="24" name="Mendeley Citation Style_1">
    <vt:lpwstr>http://www.zotero.org/styles/vancouver</vt:lpwstr>
  </property>
</Properties>
</file>