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240"/>
        <w:jc w:val="left"/>
      </w:pPr>
      <w:r>
        <w:t xml:space="preserve">Silver COT Analysis - Meeting Notes</w:t>
      </w:r>
    </w:p>
    <w:p>
      <w:pPr>
        <w:spacing w:line="240"/>
        <w:jc w:val="left"/>
      </w:pPr>
      <w:r>
        <w:rPr>
          <w:b/>
          <w:bCs/>
        </w:rPr>
        <w:t xml:space="preserve">Date:</w:t>
      </w:r>
      <w:r>
        <w:t xml:space="preserve"> Tuesday, May 26, 2026</w:t>
      </w:r>
    </w:p>
    <w:p>
      <w:pPr>
        <w:spacing w:line="240"/>
        <w:jc w:val="left"/>
      </w:pPr>
      <w:r>
        <w:rPr>
          <w:b/>
          <w:bCs/>
        </w:rPr>
        <w:t xml:space="preserve">Attendees:</w:t>
      </w:r>
      <w:r>
        <w:t xml:space="preserve"> Daniel Rosner, Assa Cohen</w:t>
      </w:r>
    </w:p>
    <w:p>
      <w:pPr>
        <w:pStyle w:val="Heading2"/>
        <w:spacing w:line="240"/>
        <w:jc w:val="left"/>
      </w:pPr>
      <w:r>
        <w:t xml:space="preserve">TL;DR</w:t>
      </w:r>
    </w:p>
    <w:p>
      <w:pPr>
        <w:spacing w:line="240"/>
        <w:jc w:val="left"/>
      </w:pPr>
      <w:r>
        <w:t xml:space="preserve">Confirmed the silver COT analysis revealing that retail non-reportable traders held positions through a market spike while managed money entered in March 2024 following Powell's interest rate cut testimony, likely catalyzed by shifts in monetary policy expectations. </w:t>
      </w:r>
      <w:r>
        <w:t xml:space="preserve"/>
      </w:r>
    </w:p>
    <w:p>
      <w:pPr>
        <w:pStyle w:val="Heading2"/>
        <w:spacing w:line="240"/>
        <w:jc w:val="left"/>
      </w:pPr>
      <w:r>
        <w:t xml:space="preserve">Discussion Topics</w:t>
      </w:r>
    </w:p>
    <w:p>
      <w:pPr>
        <w:pStyle w:val="Heading3"/>
        <w:spacing w:line="240"/>
        <w:jc w:val="left"/>
      </w:pPr>
      <w:r>
        <w:t xml:space="preserve">1. Project Progress &amp; Data Setup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Migrated data to Quarto format combining data with GitHub context </w:t>
      </w:r>
      <w:r>
        <w:t xml:space="preserve"/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HTML and Quarto files uploaded to GitHub for collaborative access </w:t>
      </w:r>
      <w:r>
        <w:t xml:space="preserve"/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Identified key finding: non-reportable (retail) traders remained in positions as silver prices spiked </w:t>
      </w:r>
      <w:r>
        <w:t xml:space="preserve"/>
      </w:r>
    </w:p>
    <w:p>
      <w:pPr>
        <w:pStyle w:val="Heading3"/>
        <w:spacing w:line="240"/>
        <w:jc w:val="left"/>
      </w:pPr>
      <w:r>
        <w:t xml:space="preserve">2. COT Data Analysis - Trader Classification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Non-reportable traders: positions below CFTC's 150-contract reporting threshold (~$35–75 million monthly exposure) </w:t>
      </w:r>
      <w:r>
        <w:t xml:space="preserve"/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Other reportables: smaller hedge funds, prop firms, family offices above threshold but not major firms </w:t>
      </w:r>
      <w:r>
        <w:t xml:space="preserve"/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Swap dealers: increased short positions correlating with retail long positions </w:t>
      </w:r>
      <w:r>
        <w:t xml:space="preserve"/>
      </w:r>
    </w:p>
    <w:p>
      <w:pPr>
        <w:pStyle w:val="Heading3"/>
        <w:spacing w:line="240"/>
        <w:jc w:val="left"/>
      </w:pPr>
      <w:r>
        <w:t xml:space="preserve">3. Silver Price &amp; Market Behavior Patterns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March 2024: Managed money accumulated positions (from ~3.7B to 8.2B in exposure) </w:t>
      </w:r>
      <w:r>
        <w:t xml:space="preserve"/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Retail traders stayed in through entire boom-bust cycle </w:t>
      </w:r>
      <w:r>
        <w:t xml:space="preserve"/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Price movements tracked with contract positioning showing retail driving the volatility </w:t>
      </w:r>
      <w:r>
        <w:t xml:space="preserve"/>
      </w:r>
    </w:p>
    <w:p>
      <w:pPr>
        <w:pStyle w:val="Heading3"/>
        <w:spacing w:line="240"/>
        <w:jc w:val="left"/>
      </w:pPr>
      <w:r>
        <w:t xml:space="preserve">4. Interest Rate Catalyst Theory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Powell testimony (March 6–7, 2024): signaled peak tightening and potential rate cuts </w:t>
      </w:r>
      <w:r>
        <w:t xml:space="preserve"/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Federal funds rate started rising February 2022, peaked around March 2024 </w:t>
      </w:r>
      <w:r>
        <w:t xml:space="preserve"/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Lower real rates reduce opportunity cost of holding non-yielding precious metals </w:t>
      </w:r>
      <w:r>
        <w:t xml:space="preserve"/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March 27 marked acceleration point in managed money entry </w:t>
      </w:r>
      <w:r>
        <w:t xml:space="preserve"/>
      </w:r>
    </w:p>
    <w:p>
      <w:pPr>
        <w:pStyle w:val="Heading3"/>
        <w:spacing w:line="240"/>
        <w:jc w:val="left"/>
      </w:pPr>
      <w:r>
        <w:t xml:space="preserve">5. Market Shock Events &amp; Data Verification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Liberation Day (April 2, 2026): significant managed money exposure drop ($10B to $5B, April 1–8) </w:t>
      </w:r>
      <w:r>
        <w:t xml:space="preserve"/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Swap dealers forced to hold short positions as retail buyers remained </w:t>
      </w:r>
      <w:r>
        <w:t xml:space="preserve"/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Data consistency checks across CSV, Quarto, and HTML formats </w:t>
      </w:r>
      <w:r>
        <w:t xml:space="preserve"/>
      </w:r>
    </w:p>
    <w:p>
      <w:pPr>
        <w:pStyle w:val="Heading2"/>
        <w:spacing w:line="240"/>
        <w:jc w:val="left"/>
      </w:pPr>
      <w:r>
        <w:t xml:space="preserve">Action Items</w:t>
      </w:r>
    </w:p>
    <w:p>
      <w:r>
        <w:t xml:space="preserve">☐ </w:t>
      </w:r>
      <w:r>
        <w:t xml:space="preserve">Confirm CFTC reporting thresholds and trader classification definitions for silver futures, </w:t>
      </w:r>
      <w:r>
        <w:rPr>
          <w:b/>
          <w:bCs/>
          <w:i w:val="false"/>
          <w:iCs w:val="false"/>
        </w:rPr>
        <w:t xml:space="preserve">Daniel Rosner</w:t>
      </w:r>
      <w:r>
        <w:t xml:space="preserve"> </w:t>
      </w:r>
    </w:p>
    <w:p>
      <w:r>
        <w:t xml:space="preserve">☐ </w:t>
      </w:r>
      <w:r>
        <w:t xml:space="preserve">Investigate specific market events/developments that triggered March 2024 momentum (beyond Powell testimony), </w:t>
      </w:r>
      <w:r>
        <w:rPr>
          <w:b/>
          <w:bCs/>
          <w:i w:val="false"/>
          <w:iCs w:val="false"/>
        </w:rPr>
        <w:t xml:space="preserve">Daniel Rosner</w:t>
      </w:r>
      <w:r>
        <w:t xml:space="preserve"> </w:t>
      </w:r>
    </w:p>
    <w:p>
      <w:r>
        <w:t xml:space="preserve">☐ </w:t>
      </w:r>
      <w:r>
        <w:t xml:space="preserve">Add timeline annotations to graphs: (1) February 2022 tightening start, (2) Powell March 6–7 testimony, (3) Liberation Day April 2, 2026, </w:t>
      </w:r>
      <w:r>
        <w:rPr>
          <w:b/>
          <w:bCs/>
          <w:i w:val="false"/>
          <w:iCs w:val="false"/>
        </w:rPr>
        <w:t xml:space="preserve">Daniel Rosner</w:t>
      </w:r>
      <w:r>
        <w:t xml:space="preserve"> </w:t>
      </w:r>
    </w:p>
    <w:p>
      <w:r>
        <w:t xml:space="preserve">☐ </w:t>
      </w:r>
      <w:r>
        <w:t xml:space="preserve">Convert current CSV data structure into queryable database for easier analysis, </w:t>
      </w:r>
      <w:r>
        <w:rPr>
          <w:b/>
          <w:bCs/>
          <w:i w:val="false"/>
          <w:iCs w:val="false"/>
        </w:rPr>
        <w:t xml:space="preserve">Daniel Rosner</w:t>
      </w:r>
      <w:r>
        <w:t xml:space="preserve"> </w:t>
      </w:r>
    </w:p>
    <w:p>
      <w:r>
        <w:t xml:space="preserve">☐ </w:t>
      </w:r>
      <w:r>
        <w:t xml:space="preserve">Examine Compustat portfolio holdings data around March 2024 dates to understand managed money strategy shifts, </w:t>
      </w:r>
      <w:r>
        <w:rPr>
          <w:b/>
          <w:bCs/>
          <w:i w:val="false"/>
          <w:iCs w:val="false"/>
        </w:rPr>
        <w:t xml:space="preserve">Daniel Rosner</w:t>
      </w:r>
      <w:r>
        <w:t xml:space="preserve"> </w:t>
      </w:r>
    </w:p>
    <w:p>
      <w:r>
        <w:t xml:space="preserve">☐ </w:t>
      </w:r>
      <w:r>
        <w:t xml:space="preserve">Verify yield curve changes between February 1 and March 10, 2024 to confirm rate expectations shifts, </w:t>
      </w:r>
      <w:r>
        <w:rPr>
          <w:b/>
          <w:bCs/>
          <w:i w:val="false"/>
          <w:iCs w:val="false"/>
        </w:rPr>
        <w:t xml:space="preserve">Daniel Rosner</w:t>
      </w:r>
      <w:r>
        <w:t xml:space="preserve"> </w:t>
      </w:r>
    </w:p>
    <w:p>
      <w:r>
        <w:t xml:space="preserve">☐ </w:t>
      </w:r>
      <w:r>
        <w:t xml:space="preserve">Provide list of research topics and data sources for summer thesis work by end of June, </w:t>
      </w:r>
      <w:r>
        <w:rPr>
          <w:b/>
          <w:bCs/>
          <w:i w:val="false"/>
          <w:iCs w:val="false"/>
        </w:rPr>
        <w:t xml:space="preserve">Assa Cohen</w:t>
      </w:r>
      <w:r>
        <w:t xml:space="preserve"> </w:t>
      </w:r>
    </w:p>
    <w:p>
      <w:r>
        <w:t xml:space="preserve">☐ </w:t>
      </w:r>
      <w:r>
        <w:t xml:space="preserve">Reconnect end of June to discuss summer progress and thesis direction (Daniel available after June 26 following course completion), </w:t>
      </w:r>
      <w:r>
        <w:rPr>
          <w:b/>
          <w:bCs/>
          <w:i w:val="false"/>
          <w:iCs w:val="false"/>
        </w:rPr>
        <w:t xml:space="preserve">Daniel Rosner &amp; Assa Cohen</w:t>
      </w:r>
      <w:r>
        <w:t xml:space="preserve"> </w:t>
      </w:r>
    </w:p>
    <w:p>
      <w:pPr>
        <w:pStyle w:val="Heading2"/>
        <w:spacing w:line="240"/>
        <w:jc w:val="left"/>
      </w:pPr>
      <w:r>
        <w:t xml:space="preserve">Open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Question</w:t>
            </w:r>
          </w:p>
        </w:tc>
        <w:tc>
          <w:p>
            <w:pPr>
              <w:spacing w:line="240"/>
              <w:jc w:val="left"/>
            </w:pPr>
            <w:r>
              <w:t xml:space="preserve">Context &amp; Importance</w:t>
            </w:r>
          </w:p>
        </w:tc>
        <w:tc>
          <w:p>
            <w:pPr>
              <w:spacing w:line="240"/>
              <w:jc w:val="left"/>
            </w:pPr>
            <w:r>
              <w:t xml:space="preserve">Responsible Party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What specific market catalyst caused managed money to enter heavily starting February 27–March 3, 2024?</w:t>
            </w:r>
          </w:p>
        </w:tc>
        <w:tc>
          <w:p>
            <w:pPr>
              <w:spacing w:line="240"/>
              <w:jc w:val="left"/>
            </w:pPr>
            <w:r>
              <w:t xml:space="preserve">Understanding the event is critical to validate the Powell testimony/rate-cut hypothesis as the primary driver</w:t>
            </w:r>
          </w:p>
        </w:tc>
        <w:tc>
          <w:p>
            <w:pPr>
              <w:spacing w:line="240"/>
              <w:jc w:val="left"/>
            </w:pPr>
            <w:r>
              <w:t xml:space="preserve">Daniel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Why did retail (non-reportable) traders maintain positions through the entire crash while professional traders exited?</w:t>
            </w:r>
          </w:p>
        </w:tc>
        <w:tc>
          <w:p>
            <w:pPr>
              <w:spacing w:line="240"/>
              <w:jc w:val="left"/>
            </w:pPr>
            <w:r>
              <w:t xml:space="preserve">Key to understanding retail behavior and whether this represents a speculative bubble or genuine hedging</w:t>
            </w:r>
          </w:p>
        </w:tc>
        <w:tc>
          <w:p>
            <w:pPr>
              <w:spacing w:line="240"/>
              <w:jc w:val="left"/>
            </w:pPr>
            <w:r>
              <w:t xml:space="preserve">Assa &amp; Daniel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Are the increased dollar exposures for non-reportables and speculators reflecting genuine position growth or position concentration shifts?</w:t>
            </w:r>
          </w:p>
        </w:tc>
        <w:tc>
          <w:p>
            <w:pPr>
              <w:spacing w:line="240"/>
              <w:jc w:val="left"/>
            </w:pPr>
            <w:r>
              <w:t xml:space="preserve">Impacts interpretation of market participation and leverage in the silver market</w:t>
            </w:r>
          </w:p>
        </w:tc>
        <w:tc>
          <w:p>
            <w:pPr>
              <w:spacing w:line="240"/>
              <w:jc w:val="left"/>
            </w:pPr>
            <w:r>
              <w:t xml:space="preserve">Daniel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What yield curve dynamics occurred around March 6–10, 2024 that might have signaled rate-cut expectations more clearly?</w:t>
            </w:r>
          </w:p>
        </w:tc>
        <w:tc>
          <w:p>
            <w:pPr>
              <w:spacing w:line="240"/>
              <w:jc w:val="left"/>
            </w:pPr>
            <w:r>
              <w:t xml:space="preserve">Seeking more direct evidence of market-implied rate expectations beyond textual testimony</w:t>
            </w:r>
          </w:p>
        </w:tc>
        <w:tc>
          <w:p>
            <w:pPr>
              <w:spacing w:line="240"/>
              <w:jc w:val="left"/>
            </w:pPr>
            <w:r>
              <w:t xml:space="preserve">Assa &amp; Daniel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Could other factors (geopolitical, supply-side, technicals) have contributed equally to or instead of monetary policy expectations?</w:t>
            </w:r>
          </w:p>
        </w:tc>
        <w:tc>
          <w:p>
            <w:pPr>
              <w:spacing w:line="240"/>
              <w:jc w:val="left"/>
            </w:pPr>
            <w:r>
              <w:t xml:space="preserve">Ensuring comprehensive causal analysis before moving to theoretical modeling</w:t>
            </w:r>
          </w:p>
        </w:tc>
        <w:tc>
          <w:p>
            <w:pPr>
              <w:spacing w:line="240"/>
              <w:jc w:val="left"/>
            </w:pPr>
            <w:r>
              <w:t xml:space="preserve">Daniel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What do Compustat holdings show for hedge funds and financial firms around March 2024?</w:t>
            </w:r>
          </w:p>
        </w:tc>
        <w:tc>
          <w:p>
            <w:pPr>
              <w:spacing w:line="240"/>
              <w:jc w:val="left"/>
            </w:pPr>
            <w:r>
              <w:t xml:space="preserve">Portfolio composition data would provide independent confirmation of manager behavior change</w:t>
            </w:r>
          </w:p>
        </w:tc>
        <w:tc>
          <w:p>
            <w:pPr>
              <w:spacing w:line="240"/>
              <w:jc w:val="left"/>
            </w:pPr>
            <w:r>
              <w:t xml:space="preserve">Daniel (via WRDS)</w:t>
            </w:r>
          </w:p>
        </w:tc>
      </w:tr>
    </w:tbl>
    <w:p>
      <w:pPr>
        <w:pStyle w:val="Heading2"/>
        <w:spacing w:line="240"/>
        <w:jc w:val="left"/>
      </w:pPr>
      <w:r>
        <w:t xml:space="preserve">Formatting Notes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All data references include relevant dates for easy verification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Analysis structured chronologically (February 2022 through May 2026)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Technical terminology (COT, CFTC thresholds, dollar exposure) explained for clarity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Meeting includes discussion of tools (Quarto, GitHub, WRDS, Compustat) for research continuity</w:t>
      </w:r>
    </w:p>
    <w:sectPr>
      <w:pgSz w:w="21cm" w:h="29.7cm" w:orient="portrait"/>
      <w:pgMar w:top="2.54cm" w:right="3.17cm" w:bottom="2.54cm" w:left="3.17cm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14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  <w:lvl w:ilvl="3" w15:tentative="1">
      <w:start w:val="1"/>
      <w:numFmt w:val="decimal"/>
      <w:lvlText w:val="%4."/>
      <w:lvlJc w:val="left"/>
      <w:pPr>
        <w:ind w:left="1740" w:hanging="360"/>
      </w:pPr>
    </w:lvl>
    <w:lvl w:ilvl="4" w15:tentative="1">
      <w:start w:val="1"/>
      <w:numFmt w:val="decimal"/>
      <w:lvlText w:val="%5."/>
      <w:lvlJc w:val="left"/>
      <w:pPr>
        <w:ind w:left="2040" w:hanging="360"/>
      </w:pPr>
    </w:lvl>
    <w:lvl w:ilvl="5" w15:tentative="1">
      <w:start w:val="1"/>
      <w:numFmt w:val="decimal"/>
      <w:lvlText w:val="%6."/>
      <w:lvlJc w:val="left"/>
      <w:pPr>
        <w:ind w:left="2340" w:hanging="360"/>
      </w:pPr>
    </w:lvl>
    <w:lvl w:ilvl="6" w15:tentative="1">
      <w:start w:val="1"/>
      <w:numFmt w:val="decimal"/>
      <w:lvlText w:val="%7."/>
      <w:lvlJc w:val="left"/>
      <w:pPr>
        <w:ind w:left="2640" w:hanging="360"/>
      </w:pPr>
    </w:lvl>
    <w:lvl w:ilvl="7" w15:tentative="1">
      <w:start w:val="1"/>
      <w:numFmt w:val="decimal"/>
      <w:lvlText w:val="%8."/>
      <w:lvlJc w:val="left"/>
      <w:pPr>
        <w:ind w:left="2940" w:hanging="360"/>
      </w:pPr>
    </w:lvl>
    <w:lvl w:ilvl="8" w15:tentative="1">
      <w:start w:val="1"/>
      <w:numFmt w:val="decimal"/>
      <w:lvlText w:val="%9."/>
      <w:lvlJc w:val="left"/>
      <w:pPr>
        <w:ind w:left="32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before="0" w:after="200" w:line="276"/>
    </w:pPr>
    <w:rPr>
      <w:rFonts w:ascii="Aptos" w:cs="Aptos" w:eastAsia="Aptos" w:hAnsi="Aptos"/>
      <w:sz w:val="22"/>
      <w:szCs w:val="22"/>
    </w:rPr>
  </w:style>
  <w:style w:type="paragraph" w:styleId="ListParagraph">
    <w:name w:val="List Paragraph"/>
    <w:basedOn w:val="Normal"/>
    <w:qFormat/>
    <w:pPr>
      <w:spacing w:before="0" w:after="40" w:line="240"/>
    </w:pPr>
    <w:rPr>
      <w:rFonts w:ascii="Aptos" w:cs="Aptos" w:eastAsia="Aptos" w:hAnsi="Aptos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 w:line="276"/>
    </w:pPr>
    <w:rPr>
      <w:rFonts w:ascii="Aptos Light" w:cs="Aptos Light" w:eastAsia="Aptos Light" w:hAnsi="Aptos Light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 w:line="276"/>
    </w:pPr>
    <w:rPr>
      <w:rFonts w:ascii="Aptos Light" w:cs="Aptos Light" w:eastAsia="Aptos Light" w:hAnsi="Aptos Light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 w:line="276"/>
    </w:pPr>
    <w:rPr>
      <w:rFonts w:ascii="Aptos" w:cs="Aptos" w:eastAsia="Aptos" w:hAnsi="Aptos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40" w:after="120" w:line="276"/>
    </w:pPr>
    <w:rPr>
      <w:rFonts w:ascii="Aptos" w:cs="Aptos" w:eastAsia="Aptos" w:hAnsi="Aptos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240" w:after="120" w:line="276"/>
    </w:pPr>
    <w:rPr>
      <w:rFonts w:ascii="Aptos" w:cs="Aptos" w:eastAsia="Aptos" w:hAnsi="Aptos"/>
      <w:b/>
      <w:bCs/>
      <w:color w:val="2E74B5"/>
      <w:sz w:val="22"/>
      <w:szCs w:val="22"/>
    </w:rPr>
  </w:style>
  <w:style w:type="paragraph" w:styleId="Title">
    <w:name w:val="Title"/>
    <w:basedOn w:val="Normal"/>
    <w:next w:val="Normal"/>
    <w:qFormat/>
    <w:pPr>
      <w:spacing w:before="0" w:after="0" w:line="276"/>
      <w:jc w:val="center"/>
    </w:pPr>
    <w:rPr>
      <w:rFonts w:ascii="Aptos Light" w:cs="Aptos Light" w:eastAsia="Aptos Light" w:hAnsi="Aptos Light"/>
      <w:b/>
      <w:bCs/>
      <w:color w:val="000000"/>
      <w:sz w:val="44"/>
      <w:szCs w:val="44"/>
    </w:rPr>
  </w:style>
  <w:style w:type="paragraph" w:styleId="Subtitle">
    <w:name w:val="Subtitle"/>
    <w:basedOn w:val="Normal"/>
    <w:next w:val="Normal"/>
    <w:qFormat/>
    <w:pPr>
      <w:spacing w:before="0" w:after="0" w:line="276"/>
      <w:jc w:val="center"/>
    </w:pPr>
    <w:rPr>
      <w:rFonts w:ascii="Aptos Light" w:cs="Aptos Light" w:eastAsia="Aptos Light" w:hAnsi="Aptos Light"/>
      <w:i/>
      <w:iCs/>
      <w:color w:val="666666"/>
      <w:sz w:val="32"/>
      <w:szCs w:val="32"/>
    </w:rPr>
  </w:style>
  <w:style w:type="paragraph" w:styleId="Quote">
    <w:name w:val="Quote"/>
    <w:basedOn w:val="Normal"/>
    <w:qFormat/>
    <w:pPr>
      <w:spacing w:before="200" w:after="200" w:line="276"/>
      <w:jc w:val="center"/>
    </w:pPr>
    <w:rPr>
      <w:rFonts w:ascii="Aptos" w:cs="Aptos" w:eastAsia="Aptos" w:hAnsi="Aptos"/>
      <w:i/>
      <w:iCs/>
    </w:rPr>
  </w:style>
  <w:style w:type="paragraph" w:styleId="IntenseQuote">
    <w:name w:val="Intense Quote"/>
    <w:basedOn w:val="Normal"/>
    <w:qFormat/>
    <w:pPr>
      <w:spacing w:before="200" w:after="200" w:line="276"/>
      <w:jc w:val="center"/>
    </w:pPr>
    <w:rPr>
      <w:rFonts w:ascii="Aptos" w:cs="Aptos" w:eastAsia="Aptos" w:hAnsi="Aptos"/>
      <w:i/>
      <w:iCs/>
      <w:color w:val="444444"/>
    </w:rPr>
  </w:style>
  <w:style w:type="paragraph" w:styleId="NoSpacing">
    <w:name w:val="No Spacing"/>
    <w:basedOn w:val="Normal"/>
    <w:qFormat/>
    <w:pPr>
      <w:spacing w:before="0" w:after="0" w:line="240"/>
    </w:p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2026-05-27T18:42:49.563Z</dcterms:created>
  <dcterms:modified xsi:type="dcterms:W3CDTF">2026-05-27T18:42:49.563Z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