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C81B81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11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C81B81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1B3C2C05" w14:textId="2621DA6A" w:rsidR="00A10050" w:rsidRPr="002B5290" w:rsidRDefault="00A1005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Obbligatorio esplicitare durante il rilancio che viene fatto con contratto. Non può essere fatto a posteriori dopo chiusura asta. (Es: Offro 1 con contratto -&gt; 3</w:t>
      </w:r>
      <w:r w:rsidR="00C81B81">
        <w:rPr>
          <w:sz w:val="20"/>
          <w:szCs w:val="20"/>
          <w:lang w:val="it-IT"/>
        </w:rPr>
        <w:t>. Chi vuole rilanciare, basta dire 2)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4.4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lastRenderedPageBreak/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panchina, cambi, e inserimento formazione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11.2.,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Qualora non sia possibile il cambio per corrispondenza di ruolo, si applica l’art. 11.2</w:t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56C1CBE" w14:textId="7777777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11 e 12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6,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>di cui all’art. 10</w:t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AE18" w14:textId="77777777" w:rsidR="00325FD4" w:rsidRDefault="00325FD4" w:rsidP="00982DFC">
      <w:pPr>
        <w:spacing w:after="0" w:line="240" w:lineRule="auto"/>
      </w:pPr>
      <w:r>
        <w:separator/>
      </w:r>
    </w:p>
  </w:endnote>
  <w:endnote w:type="continuationSeparator" w:id="0">
    <w:p w14:paraId="163F2FB8" w14:textId="77777777" w:rsidR="00325FD4" w:rsidRDefault="00325FD4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0E803" w14:textId="77777777" w:rsidR="00325FD4" w:rsidRDefault="00325FD4" w:rsidP="00982DFC">
      <w:pPr>
        <w:spacing w:after="0" w:line="240" w:lineRule="auto"/>
      </w:pPr>
      <w:r>
        <w:separator/>
      </w:r>
    </w:p>
  </w:footnote>
  <w:footnote w:type="continuationSeparator" w:id="0">
    <w:p w14:paraId="2C58ACE2" w14:textId="77777777" w:rsidR="00325FD4" w:rsidRDefault="00325FD4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5FD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2764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10050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1B81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92BDD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1753</Words>
  <Characters>9993</Characters>
  <Application>Microsoft Office Word</Application>
  <DocSecurity>0</DocSecurity>
  <Lines>83</Lines>
  <Paragraphs>23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223</cp:revision>
  <dcterms:created xsi:type="dcterms:W3CDTF">2024-07-29T19:23:00Z</dcterms:created>
  <dcterms:modified xsi:type="dcterms:W3CDTF">2026-08-01T09:54:00Z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