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pPr>
      <w:r>
        <w:rPr>
          <w:rFonts w:ascii="Times New Roman" w:hAnsi="Times New Roman" w:eastAsia="Times New Roman" w:cs="Times New Roman"/>
          <w:b/>
          <w:bCs/>
          <w:sz w:val="24"/>
          <w:szCs w:val="24"/>
        </w:rPr>
        <w:t xml:space="preserve">UNIVERSIDAD TÉCNICA NACIONAL</w:t>
      </w:r>
      <w:r/>
    </w:p>
    <w:p>
      <w:pPr>
        <w:pBdr/>
        <w:spacing w:after="0"/>
        <w:ind/>
        <w:jc w:val="center"/>
        <w:rPr/>
      </w:pPr>
      <w:r>
        <w:rPr>
          <w:rFonts w:ascii="Times New Roman" w:hAnsi="Times New Roman" w:eastAsia="Times New Roman" w:cs="Times New Roman"/>
          <w:sz w:val="24"/>
          <w:szCs w:val="24"/>
        </w:rPr>
        <w:t xml:space="preserve">Ingeniería en Tecnologías de Información</w:t>
      </w:r>
      <w:r/>
    </w:p>
    <w:p>
      <w:pPr>
        <w:pBdr/>
        <w:spacing w:after="0"/>
        <w:ind/>
        <w:jc w:val="center"/>
        <w:rPr/>
      </w:pPr>
      <w:r>
        <w:rPr>
          <w:rFonts w:ascii="Times New Roman" w:hAnsi="Times New Roman" w:eastAsia="Times New Roman" w:cs="Times New Roman"/>
          <w:sz w:val="24"/>
          <w:szCs w:val="24"/>
        </w:rPr>
        <w:t xml:space="preserve">ITI-825 · Probabilidad y Estadística para la Computación II</w:t>
      </w:r>
      <w:r/>
    </w:p>
    <w:p>
      <w:pPr>
        <w:pBdr/>
        <w:spacing w:after="220"/>
        <w:ind/>
        <w:jc w:val="center"/>
        <w:rPr/>
      </w:pPr>
      <w:r>
        <w:rPr>
          <w:rFonts w:ascii="Times New Roman" w:hAnsi="Times New Roman" w:eastAsia="Times New Roman" w:cs="Times New Roman"/>
          <w:i/>
          <w:iCs/>
          <w:sz w:val="24"/>
          <w:szCs w:val="24"/>
        </w:rPr>
        <w:t xml:space="preserve">Grupo 1 · Distribución Binomial · Daniel Saborío, Sebastián Alpízar y Manuel Miranda</w:t>
      </w:r>
      <w:r/>
    </w:p>
    <w:p>
      <w:pPr>
        <w:pBdr/>
        <w:spacing w:after="300"/>
        <w:ind/>
        <w:jc w:val="center"/>
        <w:rPr/>
      </w:pPr>
      <w:r>
        <w:rPr>
          <w:rFonts w:ascii="Times New Roman" w:hAnsi="Times New Roman" w:eastAsia="Times New Roman" w:cs="Times New Roman"/>
          <w:b/>
          <w:bCs/>
          <w:sz w:val="28"/>
          <w:szCs w:val="28"/>
        </w:rPr>
        <w:t xml:space="preserve">Confiabilidad del Matchmaking en Riot Games, NetEase y Valve</w:t>
      </w:r>
      <w:r/>
    </w:p>
    <w:p>
      <w:pPr>
        <w:pStyle w:val="712"/>
        <w:pBdr/>
        <w:spacing w:after="180" w:before="340"/>
        <w:ind/>
        <w:rPr/>
      </w:pPr>
      <w:r>
        <w:rPr>
          <w:rFonts w:ascii="Times New Roman" w:hAnsi="Times New Roman" w:eastAsia="Times New Roman" w:cs="Times New Roman"/>
          <w:b/>
          <w:bCs/>
          <w:color w:val="000000"/>
          <w:sz w:val="28"/>
          <w:szCs w:val="28"/>
        </w:rPr>
        <w:t xml:space="preserve">1. Definición del propósito del proyecto</w:t>
      </w:r>
      <w:r/>
    </w:p>
    <w:p>
      <w:pPr>
        <w:pStyle w:val="713"/>
        <w:pBdr/>
        <w:spacing w:after="140" w:before="240"/>
        <w:ind/>
        <w:rPr/>
      </w:pPr>
      <w:r>
        <w:rPr>
          <w:rFonts w:ascii="Times New Roman" w:hAnsi="Times New Roman" w:eastAsia="Times New Roman" w:cs="Times New Roman"/>
          <w:b/>
          <w:bCs/>
          <w:color w:val="000000"/>
          <w:sz w:val="24"/>
          <w:szCs w:val="24"/>
        </w:rPr>
        <w:t xml:space="preserve">1.1 Propósito</w:t>
      </w:r>
      <w:r/>
    </w:p>
    <w:p>
      <w:pPr>
        <w:pBdr/>
        <w:spacing w:after="160" w:line="300" w:lineRule="auto"/>
        <w:ind/>
        <w:jc w:val="both"/>
        <w:rPr/>
      </w:pPr>
      <w:r>
        <w:rPr>
          <w:rFonts w:ascii="Times New Roman" w:hAnsi="Times New Roman" w:eastAsia="Times New Roman" w:cs="Times New Roman"/>
          <w:sz w:val="24"/>
          <w:szCs w:val="24"/>
        </w:rPr>
        <w:t xml:space="preserve">Mediante la distribución binomial se busca determinar qué tan confiable es el sistema de emparejamiento de Riot Games, NetEase y Valve, entendiendo la confiabilidad como la probabilidad </w:t>
      </w:r>
      <w:r>
        <w:rPr>
          <w:rFonts w:ascii="Times New Roman" w:hAnsi="Times New Roman" w:eastAsia="Times New Roman" w:cs="Times New Roman"/>
          <w:sz w:val="24"/>
          <w:szCs w:val="24"/>
        </w:rPr>
        <w:t xml:space="preserve">de que una partida resulte balanceada para los jugadores involucrados. La pregunta que guía el trabajo es la siguiente: si un jugador disputa diez partidas competitivas en cada plataforma, ¿cuál es la probabilidad de que obtenga una cantidad determinada de</w:t>
      </w:r>
      <w:r>
        <w:rPr>
          <w:rFonts w:ascii="Times New Roman" w:hAnsi="Times New Roman" w:eastAsia="Times New Roman" w:cs="Times New Roman"/>
          <w:sz w:val="24"/>
          <w:szCs w:val="24"/>
        </w:rPr>
        <w:t xml:space="preserve"> partidas balanceadas, y qué tan distinta es esa probabilidad entre las tres empresas? A esa pregunta se suma una segunda, de verificación: ¿alcanza cada empresa el nivel de balance que la literatura ha documentado empíricamente para este tipo de sistemas?</w:t>
      </w:r>
      <w:r/>
    </w:p>
    <w:p>
      <w:pPr>
        <w:pStyle w:val="713"/>
        <w:pBdr/>
        <w:spacing w:after="140" w:before="240"/>
        <w:ind/>
        <w:rPr/>
      </w:pPr>
      <w:r>
        <w:rPr>
          <w:rFonts w:ascii="Times New Roman" w:hAnsi="Times New Roman" w:eastAsia="Times New Roman" w:cs="Times New Roman"/>
          <w:b/>
          <w:bCs/>
          <w:color w:val="000000"/>
          <w:sz w:val="24"/>
          <w:szCs w:val="24"/>
        </w:rPr>
        <w:t xml:space="preserve">1.2 Unidad de estudio y población</w:t>
      </w:r>
      <w:r/>
    </w:p>
    <w:p>
      <w:pPr>
        <w:pBdr/>
        <w:spacing w:after="160" w:line="300" w:lineRule="auto"/>
        <w:ind/>
        <w:jc w:val="both"/>
        <w:rPr/>
      </w:pPr>
      <w:r>
        <w:rPr>
          <w:rFonts w:ascii="Times New Roman" w:hAnsi="Times New Roman" w:eastAsia="Times New Roman" w:cs="Times New Roman"/>
          <w:b/>
          <w:bCs/>
          <w:sz w:val="24"/>
          <w:szCs w:val="24"/>
        </w:rPr>
        <w:t xml:space="preserve">Unidad de estudio. </w:t>
      </w:r>
      <w:r>
        <w:rPr>
          <w:rFonts w:ascii="Times New Roman" w:hAnsi="Times New Roman" w:eastAsia="Times New Roman" w:cs="Times New Roman"/>
          <w:sz w:val="24"/>
          <w:szCs w:val="24"/>
        </w:rPr>
        <w:t xml:space="preserve">La partida individual jugada en línea dentro de </w:t>
      </w:r>
      <w:r>
        <w:rPr>
          <w:rFonts w:ascii="Times New Roman" w:hAnsi="Times New Roman" w:eastAsia="Times New Roman" w:cs="Times New Roman"/>
          <w:sz w:val="24"/>
          <w:szCs w:val="24"/>
        </w:rPr>
        <w:t xml:space="preserve">un título representativo de cada empresa, que corresponde a League of Legends para Riot Games, Marvel Rivals para NetEase y Counter Strike 2 para Valve. Cada partida se clasifica como balanceada o no balanceada según el criterio operativo del apartado 3.2.</w:t>
      </w:r>
      <w:r/>
    </w:p>
    <w:p>
      <w:pPr>
        <w:pBdr/>
        <w:spacing w:after="160" w:line="300" w:lineRule="auto"/>
        <w:ind/>
        <w:jc w:val="both"/>
        <w:rPr/>
      </w:pPr>
      <w:r>
        <w:rPr>
          <w:rFonts w:ascii="Times New Roman" w:hAnsi="Times New Roman" w:eastAsia="Times New Roman" w:cs="Times New Roman"/>
          <w:b/>
          <w:bCs/>
          <w:sz w:val="24"/>
          <w:szCs w:val="24"/>
        </w:rPr>
        <w:t xml:space="preserve">Población de interés. </w:t>
      </w:r>
      <w:r>
        <w:rPr>
          <w:rFonts w:ascii="Times New Roman" w:hAnsi="Times New Roman" w:eastAsia="Times New Roman" w:cs="Times New Roman"/>
          <w:sz w:val="24"/>
          <w:szCs w:val="24"/>
        </w:rPr>
        <w:t xml:space="preserve">El conjunto de partidas de emparejamiento competitivo generadas por cada sistema durante el período de observación. Es una población de tamaño desconocido pero muy grande, lo que resulta relevante para el modelo, porque al muest</w:t>
      </w:r>
      <w:r>
        <w:rPr>
          <w:rFonts w:ascii="Times New Roman" w:hAnsi="Times New Roman" w:eastAsia="Times New Roman" w:cs="Times New Roman"/>
          <w:sz w:val="24"/>
          <w:szCs w:val="24"/>
        </w:rPr>
        <w:t xml:space="preserve">rear diez partidas de una población prácticamente infinita la probabilidad de éxito no se altera de una extracción a otra y el muestreo puede tratarse como si fuera con reemplazo, condición que sostiene el uso de la binomial en lugar de la hipergeométrica.</w:t>
      </w:r>
      <w:r/>
    </w:p>
    <w:p>
      <w:pPr>
        <w:pBdr/>
        <w:spacing w:after="160" w:line="300" w:lineRule="auto"/>
        <w:ind/>
        <w:jc w:val="both"/>
        <w:rPr/>
      </w:pPr>
      <w:r>
        <w:rPr>
          <w:rFonts w:ascii="Times New Roman" w:hAnsi="Times New Roman" w:eastAsia="Times New Roman" w:cs="Times New Roman"/>
          <w:b/>
          <w:bCs/>
          <w:sz w:val="24"/>
          <w:szCs w:val="24"/>
        </w:rPr>
        <w:t xml:space="preserve">Delimitación. </w:t>
      </w:r>
      <w:r>
        <w:rPr>
          <w:rFonts w:ascii="Times New Roman" w:hAnsi="Times New Roman" w:eastAsia="Times New Roman" w:cs="Times New Roman"/>
          <w:sz w:val="24"/>
          <w:szCs w:val="24"/>
        </w:rPr>
        <w:t xml:space="preserve">Se consideran únicamente partidas de modo competitivo en cuentas de rango intermedio de cada título, que corresponde a Oro en League of Legends, Premier de nivel medi</w:t>
      </w:r>
      <w:r>
        <w:rPr>
          <w:rFonts w:ascii="Times New Roman" w:hAnsi="Times New Roman" w:eastAsia="Times New Roman" w:cs="Times New Roman"/>
          <w:sz w:val="24"/>
          <w:szCs w:val="24"/>
        </w:rPr>
        <w:t xml:space="preserve">o en Counter Strike 2 y Platino en Marvel Rivals. En los rangos extremos la población de jugadores disponibles se reduce y el sistema amplía los márgenes de emparejamiento, lo que introduciría una fuente de desbalance ajena al criterio que se quiere medir.</w:t>
      </w:r>
      <w:r/>
    </w:p>
    <w:p>
      <w:pPr>
        <w:pStyle w:val="713"/>
        <w:pBdr/>
        <w:spacing w:after="140" w:before="240"/>
        <w:ind/>
        <w:rPr/>
      </w:pPr>
      <w:r>
        <w:rPr>
          <w:rFonts w:ascii="Times New Roman" w:hAnsi="Times New Roman" w:eastAsia="Times New Roman" w:cs="Times New Roman"/>
          <w:b/>
          <w:bCs/>
          <w:color w:val="000000"/>
          <w:sz w:val="24"/>
          <w:szCs w:val="24"/>
        </w:rPr>
        <w:t xml:space="preserve">1.3 Muestra y justificación de la distribución binomial</w:t>
      </w:r>
      <w:r/>
    </w:p>
    <w:p>
      <w:pPr>
        <w:pBdr/>
        <w:spacing w:after="160" w:line="300" w:lineRule="auto"/>
        <w:ind/>
        <w:jc w:val="both"/>
        <w:rPr/>
      </w:pPr>
      <w:r>
        <w:rPr>
          <w:rFonts w:ascii="Times New Roman" w:hAnsi="Times New Roman" w:eastAsia="Times New Roman" w:cs="Times New Roman"/>
          <w:sz w:val="24"/>
          <w:szCs w:val="24"/>
        </w:rPr>
        <w:t xml:space="preserve">Se toman diez partidas por empresa, obteni</w:t>
      </w:r>
      <w:r>
        <w:rPr>
          <w:rFonts w:ascii="Times New Roman" w:hAnsi="Times New Roman" w:eastAsia="Times New Roman" w:cs="Times New Roman"/>
          <w:sz w:val="24"/>
          <w:szCs w:val="24"/>
        </w:rPr>
        <w:t xml:space="preserve">das de las plataformas públicas de seguimiento csstats.gg (2026) y OP.GG (2026a, 2026b), de modo que cualquier lector puede repetir la verificación. La distribución binomial es la herramienta indicada porque el experimento satisface sus cuatro condiciones.</w:t>
      </w:r>
      <w:r/>
    </w:p>
    <w:p>
      <w:pPr>
        <w:pBdr/>
        <w:spacing w:after="0" w:before="220"/>
        <w:ind/>
        <w:rPr/>
      </w:pPr>
      <w:r>
        <w:rPr>
          <w:rFonts w:ascii="Times New Roman" w:hAnsi="Times New Roman" w:eastAsia="Times New Roman" w:cs="Times New Roman"/>
          <w:b/>
          <w:bCs/>
          <w:sz w:val="24"/>
          <w:szCs w:val="24"/>
        </w:rPr>
        <w:t xml:space="preserve">Tabla 1</w:t>
      </w:r>
      <w:r/>
    </w:p>
    <w:p>
      <w:pPr>
        <w:pBdr/>
        <w:spacing w:after="120"/>
        <w:ind/>
        <w:rPr/>
      </w:pPr>
      <w:r>
        <w:rPr>
          <w:rFonts w:ascii="Times New Roman" w:hAnsi="Times New Roman" w:eastAsia="Times New Roman" w:cs="Times New Roman"/>
          <w:i/>
          <w:iCs/>
          <w:sz w:val="24"/>
          <w:szCs w:val="24"/>
        </w:rPr>
        <w:t xml:space="preserve">Verificación de las condiciones del modelo binomial</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900"/>
        <w:gridCol w:w="2900"/>
        <w:gridCol w:w="4560"/>
      </w:tblGrid>
      <w:tr>
        <w:trPr>
          <w:tblHeader/>
        </w:trPr>
        <w:tc>
          <w:tcPr>
            <w:shd w:val="clear" w:color="auto" w:fill="d9d9d9"/>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b/>
                <w:bCs/>
                <w:sz w:val="20"/>
                <w:szCs w:val="20"/>
              </w:rPr>
              <w:t xml:space="preserve">Condición</w:t>
            </w:r>
            <w:r/>
          </w:p>
        </w:tc>
        <w:tc>
          <w:tcPr>
            <w:shd w:val="clear" w:color="auto" w:fill="d9d9d9"/>
            <w:tcBorders/>
            <w:tcMar>
              <w:left w:w="90" w:type="dxa"/>
              <w:top w:w="60" w:type="dxa"/>
              <w:right w:w="90" w:type="dxa"/>
              <w:bottom w:w="60" w:type="dxa"/>
            </w:tcMar>
            <w:tcW w:w="2900" w:type="dxa"/>
          </w:tcPr>
          <w:p>
            <w:pPr>
              <w:pBdr/>
              <w:spacing w:after="0" w:line="240" w:lineRule="auto"/>
              <w:ind/>
              <w:jc w:val="center"/>
              <w:rPr/>
            </w:pPr>
            <w:r>
              <w:rPr>
                <w:rFonts w:ascii="Times New Roman" w:hAnsi="Times New Roman" w:eastAsia="Times New Roman" w:cs="Times New Roman"/>
                <w:b/>
                <w:bCs/>
                <w:sz w:val="20"/>
                <w:szCs w:val="20"/>
              </w:rPr>
              <w:t xml:space="preserve">Enunciado formal</w:t>
            </w:r>
            <w:r/>
          </w:p>
        </w:tc>
        <w:tc>
          <w:tcPr>
            <w:shd w:val="clear" w:color="auto" w:fill="d9d9d9"/>
            <w:tcBorders/>
            <w:tcMar>
              <w:left w:w="90" w:type="dxa"/>
              <w:top w:w="60" w:type="dxa"/>
              <w:right w:w="90" w:type="dxa"/>
              <w:bottom w:w="60" w:type="dxa"/>
            </w:tcMar>
            <w:tcW w:w="4560" w:type="dxa"/>
          </w:tcPr>
          <w:p>
            <w:pPr>
              <w:pBdr/>
              <w:spacing w:after="0" w:line="240" w:lineRule="auto"/>
              <w:ind/>
              <w:jc w:val="center"/>
              <w:rPr/>
            </w:pPr>
            <w:r>
              <w:rPr>
                <w:rFonts w:ascii="Times New Roman" w:hAnsi="Times New Roman" w:eastAsia="Times New Roman" w:cs="Times New Roman"/>
                <w:b/>
                <w:bCs/>
                <w:sz w:val="20"/>
                <w:szCs w:val="20"/>
              </w:rPr>
              <w:t xml:space="preserve">Verificación en esta investigación</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Número fijo de ensayos</w:t>
            </w:r>
            <w:r/>
          </w:p>
        </w:tc>
        <w:tc>
          <w:tcPr>
            <w:tcBorders/>
            <w:tcMar>
              <w:left w:w="90" w:type="dxa"/>
              <w:top w:w="60" w:type="dxa"/>
              <w:right w:w="90" w:type="dxa"/>
              <w:bottom w:w="60" w:type="dxa"/>
            </w:tcMar>
            <w:tcW w:w="2900" w:type="dxa"/>
          </w:tcPr>
          <w:p>
            <w:pPr>
              <w:pBdr/>
              <w:spacing w:after="0" w:line="240" w:lineRule="auto"/>
              <w:ind/>
              <w:jc w:val="left"/>
              <w:rPr/>
            </w:pPr>
            <w:r>
              <w:rPr>
                <w:rFonts w:ascii="Times New Roman" w:hAnsi="Times New Roman" w:eastAsia="Times New Roman" w:cs="Times New Roman"/>
                <w:sz w:val="20"/>
                <w:szCs w:val="20"/>
              </w:rPr>
              <w:t xml:space="preserve">El experimento consta de n pruebas determinadas de antemano</w:t>
            </w:r>
            <w:r/>
          </w:p>
        </w:tc>
        <w:tc>
          <w:tcPr>
            <w:tcBorders/>
            <w:tcMar>
              <w:left w:w="90" w:type="dxa"/>
              <w:top w:w="60" w:type="dxa"/>
              <w:right w:w="90" w:type="dxa"/>
              <w:bottom w:w="60" w:type="dxa"/>
            </w:tcMar>
            <w:tcW w:w="4560" w:type="dxa"/>
          </w:tcPr>
          <w:p>
            <w:pPr>
              <w:pBdr/>
              <w:spacing w:after="0" w:line="240" w:lineRule="auto"/>
              <w:ind/>
              <w:jc w:val="left"/>
              <w:rPr/>
            </w:pPr>
            <w:r>
              <w:rPr>
                <w:rFonts w:ascii="Times New Roman" w:hAnsi="Times New Roman" w:eastAsia="Times New Roman" w:cs="Times New Roman"/>
                <w:sz w:val="20"/>
                <w:szCs w:val="20"/>
              </w:rPr>
              <w:t xml:space="preserve">Se fija n = 10 partidas por empresa antes del levantamiento y no se modifica según los resultados observados</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Resultado dicotómico</w:t>
            </w:r>
            <w:r/>
          </w:p>
        </w:tc>
        <w:tc>
          <w:tcPr>
            <w:tcBorders/>
            <w:tcMar>
              <w:left w:w="90" w:type="dxa"/>
              <w:top w:w="60" w:type="dxa"/>
              <w:right w:w="90" w:type="dxa"/>
              <w:bottom w:w="60" w:type="dxa"/>
            </w:tcMar>
            <w:tcW w:w="2900" w:type="dxa"/>
          </w:tcPr>
          <w:p>
            <w:pPr>
              <w:pBdr/>
              <w:spacing w:after="0" w:line="240" w:lineRule="auto"/>
              <w:ind/>
              <w:jc w:val="left"/>
              <w:rPr/>
            </w:pPr>
            <w:r>
              <w:rPr>
                <w:rFonts w:ascii="Times New Roman" w:hAnsi="Times New Roman" w:eastAsia="Times New Roman" w:cs="Times New Roman"/>
                <w:sz w:val="20"/>
                <w:szCs w:val="20"/>
              </w:rPr>
              <w:t xml:space="preserve">Cada ensayo admite solo dos resultados excluyentes</w:t>
            </w:r>
            <w:r/>
          </w:p>
        </w:tc>
        <w:tc>
          <w:tcPr>
            <w:tcBorders/>
            <w:tcMar>
              <w:left w:w="90" w:type="dxa"/>
              <w:top w:w="60" w:type="dxa"/>
              <w:right w:w="90" w:type="dxa"/>
              <w:bottom w:w="60" w:type="dxa"/>
            </w:tcMar>
            <w:tcW w:w="4560" w:type="dxa"/>
          </w:tcPr>
          <w:p>
            <w:pPr>
              <w:pBdr/>
              <w:spacing w:after="0" w:line="240" w:lineRule="auto"/>
              <w:ind/>
              <w:jc w:val="left"/>
              <w:rPr/>
            </w:pPr>
            <w:r>
              <w:rPr>
                <w:rFonts w:ascii="Times New Roman" w:hAnsi="Times New Roman" w:eastAsia="Times New Roman" w:cs="Times New Roman"/>
                <w:sz w:val="20"/>
                <w:szCs w:val="20"/>
              </w:rPr>
              <w:t xml:space="preserve">Cada partida es balanceada (éxito) o no balanceada (fracaso) según los criterios C1 y C2, sin categorías intermedias</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Probabilidad constante</w:t>
            </w:r>
            <w:r/>
          </w:p>
        </w:tc>
        <w:tc>
          <w:tcPr>
            <w:tcBorders/>
            <w:tcMar>
              <w:left w:w="90" w:type="dxa"/>
              <w:top w:w="60" w:type="dxa"/>
              <w:right w:w="90" w:type="dxa"/>
              <w:bottom w:w="60" w:type="dxa"/>
            </w:tcMar>
            <w:tcW w:w="2900" w:type="dxa"/>
          </w:tcPr>
          <w:p>
            <w:pPr>
              <w:pBdr/>
              <w:spacing w:after="0" w:line="240" w:lineRule="auto"/>
              <w:ind/>
              <w:jc w:val="left"/>
              <w:rPr/>
            </w:pPr>
            <w:r>
              <w:rPr>
                <w:rFonts w:ascii="Times New Roman" w:hAnsi="Times New Roman" w:eastAsia="Times New Roman" w:cs="Times New Roman"/>
                <w:sz w:val="20"/>
                <w:szCs w:val="20"/>
              </w:rPr>
              <w:t xml:space="preserve">La probabilidad de éxito p es la misma en todos los ensayos</w:t>
            </w:r>
            <w:r/>
          </w:p>
        </w:tc>
        <w:tc>
          <w:tcPr>
            <w:tcBorders/>
            <w:tcMar>
              <w:left w:w="90" w:type="dxa"/>
              <w:top w:w="60" w:type="dxa"/>
              <w:right w:w="90" w:type="dxa"/>
              <w:bottom w:w="60" w:type="dxa"/>
            </w:tcMar>
            <w:tcW w:w="4560" w:type="dxa"/>
          </w:tcPr>
          <w:p>
            <w:pPr>
              <w:pBdr/>
              <w:spacing w:after="0" w:line="240" w:lineRule="auto"/>
              <w:ind/>
              <w:jc w:val="left"/>
              <w:rPr/>
            </w:pPr>
            <w:r>
              <w:rPr>
                <w:rFonts w:ascii="Times New Roman" w:hAnsi="Times New Roman" w:eastAsia="Times New Roman" w:cs="Times New Roman"/>
                <w:sz w:val="20"/>
                <w:szCs w:val="20"/>
              </w:rPr>
              <w:t xml:space="preserve">Se asume que el sistema aplica el mismo criterio a todas las partidas del mismo segmento de rango</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Independencia</w:t>
            </w:r>
            <w:r/>
          </w:p>
        </w:tc>
        <w:tc>
          <w:tcPr>
            <w:tcBorders/>
            <w:tcMar>
              <w:left w:w="90" w:type="dxa"/>
              <w:top w:w="60" w:type="dxa"/>
              <w:right w:w="90" w:type="dxa"/>
              <w:bottom w:w="60" w:type="dxa"/>
            </w:tcMar>
            <w:tcW w:w="2900" w:type="dxa"/>
          </w:tcPr>
          <w:p>
            <w:pPr>
              <w:pBdr/>
              <w:spacing w:after="0" w:line="240" w:lineRule="auto"/>
              <w:ind/>
              <w:jc w:val="left"/>
              <w:rPr/>
            </w:pPr>
            <w:r>
              <w:rPr>
                <w:rFonts w:ascii="Times New Roman" w:hAnsi="Times New Roman" w:eastAsia="Times New Roman" w:cs="Times New Roman"/>
                <w:sz w:val="20"/>
                <w:szCs w:val="20"/>
              </w:rPr>
              <w:t xml:space="preserve">El resultado de un ensayo no condiciona el de los demás</w:t>
            </w:r>
            <w:r/>
          </w:p>
        </w:tc>
        <w:tc>
          <w:tcPr>
            <w:tcBorders/>
            <w:tcMar>
              <w:left w:w="90" w:type="dxa"/>
              <w:top w:w="60" w:type="dxa"/>
              <w:right w:w="90" w:type="dxa"/>
              <w:bottom w:w="60" w:type="dxa"/>
            </w:tcMar>
            <w:tcW w:w="4560" w:type="dxa"/>
          </w:tcPr>
          <w:p>
            <w:pPr>
              <w:pBdr/>
              <w:spacing w:after="0" w:line="240" w:lineRule="auto"/>
              <w:ind/>
              <w:jc w:val="left"/>
              <w:rPr/>
            </w:pPr>
            <w:r>
              <w:rPr>
                <w:rFonts w:ascii="Times New Roman" w:hAnsi="Times New Roman" w:eastAsia="Times New Roman" w:cs="Times New Roman"/>
                <w:sz w:val="20"/>
                <w:szCs w:val="20"/>
              </w:rPr>
              <w:t xml:space="preserve">Cada partida se genera con un nuevo proceso de emparejamiento. Es la condición más frágil y se discute en el apartado 5.6</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w:t>
      </w:r>
      <w:r/>
    </w:p>
    <w:p>
      <w:pPr>
        <w:pBdr/>
        <w:spacing w:after="160" w:line="300" w:lineRule="auto"/>
        <w:ind/>
        <w:jc w:val="both"/>
        <w:rPr/>
      </w:pPr>
      <w:r>
        <w:rPr>
          <w:rFonts w:ascii="Times New Roman" w:hAnsi="Times New Roman" w:eastAsia="Times New Roman" w:cs="Times New Roman"/>
          <w:sz w:val="24"/>
          <w:szCs w:val="24"/>
        </w:rPr>
        <w:t xml:space="preserve">Por lo tanto, la variable aleatoria X, definida como el número de partidas balanceadas de las diez observadas, es discreta, toma valores en {0, 1, 2, …, 10} y sigue una distribución Binomial(n = 10, p).</w:t>
      </w:r>
      <w:r/>
    </w:p>
    <w:p>
      <w:pPr>
        <w:pStyle w:val="713"/>
        <w:pBdr/>
        <w:spacing w:after="140" w:before="240"/>
        <w:ind/>
        <w:rPr/>
      </w:pPr>
      <w:r>
        <w:rPr>
          <w:rFonts w:ascii="Times New Roman" w:hAnsi="Times New Roman" w:eastAsia="Times New Roman" w:cs="Times New Roman"/>
          <w:b/>
          <w:bCs/>
          <w:color w:val="000000"/>
          <w:sz w:val="24"/>
          <w:szCs w:val="24"/>
        </w:rPr>
        <w:t xml:space="preserve">1.4 Justificación de la investigación</w:t>
      </w:r>
      <w:r/>
    </w:p>
    <w:p>
      <w:pPr>
        <w:pBdr/>
        <w:spacing w:after="160" w:line="300" w:lineRule="auto"/>
        <w:ind/>
        <w:jc w:val="both"/>
        <w:rPr/>
      </w:pPr>
      <w:r>
        <w:rPr>
          <w:rFonts w:ascii="Times New Roman" w:hAnsi="Times New Roman" w:eastAsia="Times New Roman" w:cs="Times New Roman"/>
          <w:sz w:val="24"/>
          <w:szCs w:val="24"/>
        </w:rPr>
        <w:t xml:space="preserve">El emparejamiento es un algoritmo que dec</w:t>
      </w:r>
      <w:r>
        <w:rPr>
          <w:rFonts w:ascii="Times New Roman" w:hAnsi="Times New Roman" w:eastAsia="Times New Roman" w:cs="Times New Roman"/>
          <w:sz w:val="24"/>
          <w:szCs w:val="24"/>
        </w:rPr>
        <w:t xml:space="preserve">ide la experiencia de millones de personas y que ninguna de las tres empresas somete a auditoría externa. El jugador acepta unos términos y condiciones que prometen partidas justas, pero no tiene manera de verificar si eso se cumple, lo que configura una a</w:t>
      </w:r>
      <w:r>
        <w:rPr>
          <w:rFonts w:ascii="Times New Roman" w:hAnsi="Times New Roman" w:eastAsia="Times New Roman" w:cs="Times New Roman"/>
          <w:sz w:val="24"/>
          <w:szCs w:val="24"/>
        </w:rPr>
        <w:t xml:space="preserve">simetría de información entre quien diseña el sistema y quien lo usa. La distribución binomial resulta valiosa precisamente ahí, porque permite construir una medida de confiabilidad con datos públicos y un procedimiento que cualquier tercero puede repetir.</w:t>
      </w:r>
      <w:r/>
    </w:p>
    <w:p>
      <w:pPr>
        <w:pBdr/>
        <w:spacing w:after="160" w:line="300" w:lineRule="auto"/>
        <w:ind/>
        <w:jc w:val="both"/>
        <w:rPr/>
      </w:pPr>
      <w:r>
        <w:rPr>
          <w:rFonts w:ascii="Times New Roman" w:hAnsi="Times New Roman" w:eastAsia="Times New Roman" w:cs="Times New Roman"/>
          <w:sz w:val="24"/>
          <w:szCs w:val="24"/>
        </w:rPr>
        <w:t xml:space="preserve">Además, el problema dejó de ser una queja de jugadores para convertirse en un asunto de diseño y de étic</w:t>
      </w:r>
      <w:r>
        <w:rPr>
          <w:rFonts w:ascii="Times New Roman" w:hAnsi="Times New Roman" w:eastAsia="Times New Roman" w:cs="Times New Roman"/>
          <w:sz w:val="24"/>
          <w:szCs w:val="24"/>
        </w:rPr>
        <w:t xml:space="preserve">a computacional. Chen et al. (2017) demostraron formalmente que el emparejamiento por habilidad es apenas un caso particular de un marco más amplio orientado a maximizar la interacción, y que optimizar la retención puede llevar a un sistema que deliberadam</w:t>
      </w:r>
      <w:r>
        <w:rPr>
          <w:rFonts w:ascii="Times New Roman" w:hAnsi="Times New Roman" w:eastAsia="Times New Roman" w:cs="Times New Roman"/>
          <w:sz w:val="24"/>
          <w:szCs w:val="24"/>
        </w:rPr>
        <w:t xml:space="preserve">ente no entregue partidas equilibradas. Comparar tres empresas con posturas distintas frente a la transparencia permite discutir si la confiabilidad percibida se relaciona con el grado de apertura de cada compañía, que es la pregunta de fondo del proyecto.</w:t>
      </w:r>
      <w:r/>
    </w:p>
    <w:p>
      <w:pPr>
        <w:pStyle w:val="712"/>
        <w:pBdr/>
        <w:spacing w:after="180" w:before="340"/>
        <w:ind/>
        <w:rPr/>
      </w:pPr>
      <w:r>
        <w:rPr>
          <w:rFonts w:ascii="Times New Roman" w:hAnsi="Times New Roman" w:eastAsia="Times New Roman" w:cs="Times New Roman"/>
          <w:b/>
          <w:bCs/>
          <w:color w:val="000000"/>
          <w:sz w:val="28"/>
          <w:szCs w:val="28"/>
        </w:rPr>
        <w:t xml:space="preserve">2. Objetivos específicos</w:t>
      </w:r>
      <w:r/>
    </w:p>
    <w:p>
      <w:pPr>
        <w:pBdr/>
        <w:spacing w:after="160" w:line="300" w:lineRule="auto"/>
        <w:ind/>
        <w:jc w:val="both"/>
        <w:rPr/>
      </w:pPr>
      <w:r>
        <w:rPr>
          <w:rFonts w:ascii="Times New Roman" w:hAnsi="Times New Roman" w:eastAsia="Times New Roman" w:cs="Times New Roman"/>
          <w:b/>
          <w:bCs/>
          <w:sz w:val="24"/>
          <w:szCs w:val="24"/>
        </w:rPr>
        <w:t xml:space="preserve">Objetivo general. </w:t>
      </w:r>
      <w:r>
        <w:rPr>
          <w:rFonts w:ascii="Times New Roman" w:hAnsi="Times New Roman" w:eastAsia="Times New Roman" w:cs="Times New Roman"/>
          <w:sz w:val="24"/>
          <w:szCs w:val="24"/>
        </w:rPr>
        <w:t xml:space="preserve">Determinar, mediante la distribución binomial, el grado de confiabilidad del emparejamiento competitivo de Riot Games, Valve y NetEase, y verificar si alcanzan el nivel de balance documentado en la literatura.</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Definir un criterio operativo de partida balanceada verificable desde plataformas públicas y aplicable de forma idéntica a los tres títulos.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Estimar el parámetro p de cada empresa a partir de los registros observados, mediante el estimador de máxima verosimilitud de una proporción.</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Calcular la distribución binomial completa, las probabilidades acumuladas y las medidas de tendencia central y dispersión de cada empresa.</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Contrastar mediante una prueba binomial si cada empresa alcanza el nivel de referencia documentado por Claypool et al. (2015).</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Construir intervalos de confianza para cada proporción y determinar el alcance real de las diferencias observadas.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Contrastar el parámetro estimado con el parámetro percibido por los jugadores mediante un cuestionario en Google Forms.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Presentar conclusiones, críticas y recomendaciones, incluyendo las limitaciones del modelo aplicado.</w:t>
      </w:r>
      <w:r/>
    </w:p>
    <w:p>
      <w:pPr>
        <w:pStyle w:val="712"/>
        <w:pBdr/>
        <w:spacing w:after="180" w:before="340"/>
        <w:ind/>
        <w:rPr/>
      </w:pPr>
      <w:r>
        <w:rPr>
          <w:rFonts w:ascii="Times New Roman" w:hAnsi="Times New Roman" w:eastAsia="Times New Roman" w:cs="Times New Roman"/>
          <w:b/>
          <w:bCs/>
          <w:color w:val="000000"/>
          <w:sz w:val="28"/>
          <w:szCs w:val="28"/>
        </w:rPr>
        <w:t xml:space="preserve">3. Plan de trabajo y ejecución del trabajo de campo</w:t>
      </w:r>
      <w:r/>
    </w:p>
    <w:p>
      <w:pPr>
        <w:pStyle w:val="713"/>
        <w:pBdr/>
        <w:spacing w:after="140" w:before="240"/>
        <w:ind/>
        <w:rPr/>
      </w:pPr>
      <w:r>
        <w:rPr>
          <w:rFonts w:ascii="Times New Roman" w:hAnsi="Times New Roman" w:eastAsia="Times New Roman" w:cs="Times New Roman"/>
          <w:b/>
          <w:bCs/>
          <w:color w:val="000000"/>
          <w:sz w:val="24"/>
          <w:szCs w:val="24"/>
        </w:rPr>
        <w:t xml:space="preserve">3.1 Plan de trabajo</w:t>
      </w:r>
      <w:r/>
    </w:p>
    <w:p>
      <w:pPr>
        <w:pBdr/>
        <w:spacing w:after="0" w:before="220"/>
        <w:ind/>
        <w:rPr/>
      </w:pPr>
      <w:r>
        <w:rPr>
          <w:rFonts w:ascii="Times New Roman" w:hAnsi="Times New Roman" w:eastAsia="Times New Roman" w:cs="Times New Roman"/>
          <w:b/>
          <w:bCs/>
          <w:sz w:val="24"/>
          <w:szCs w:val="24"/>
        </w:rPr>
        <w:t xml:space="preserve">Tabla 2</w:t>
      </w:r>
      <w:r/>
    </w:p>
    <w:p>
      <w:pPr>
        <w:pBdr/>
        <w:spacing w:after="120"/>
        <w:ind/>
        <w:rPr/>
      </w:pPr>
      <w:r>
        <w:rPr>
          <w:rFonts w:ascii="Times New Roman" w:hAnsi="Times New Roman" w:eastAsia="Times New Roman" w:cs="Times New Roman"/>
          <w:i/>
          <w:iCs/>
          <w:sz w:val="24"/>
          <w:szCs w:val="24"/>
        </w:rPr>
        <w:t xml:space="preserve">Plan de acción calendarizado</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600"/>
        <w:gridCol w:w="3800"/>
        <w:gridCol w:w="1800"/>
        <w:gridCol w:w="1900"/>
        <w:gridCol w:w="1260"/>
      </w:tblGrid>
      <w:tr>
        <w:trPr>
          <w:tblHeader/>
        </w:trPr>
        <w:tc>
          <w:tcPr>
            <w:shd w:val="clear" w:color="auto" w:fill="d9d9d9"/>
            <w:tcBorders/>
            <w:tcMar>
              <w:left w:w="90" w:type="dxa"/>
              <w:top w:w="60" w:type="dxa"/>
              <w:right w:w="90" w:type="dxa"/>
              <w:bottom w:w="60" w:type="dxa"/>
            </w:tcMar>
            <w:tcW w:w="600" w:type="dxa"/>
          </w:tcPr>
          <w:p>
            <w:pPr>
              <w:pBdr/>
              <w:spacing w:after="0" w:line="240" w:lineRule="auto"/>
              <w:ind/>
              <w:jc w:val="center"/>
              <w:rPr/>
            </w:pPr>
            <w:r>
              <w:rPr>
                <w:rFonts w:ascii="Times New Roman" w:hAnsi="Times New Roman" w:eastAsia="Times New Roman" w:cs="Times New Roman"/>
                <w:b/>
                <w:bCs/>
                <w:sz w:val="20"/>
                <w:szCs w:val="20"/>
              </w:rPr>
              <w:t xml:space="preserve">N°</w:t>
            </w:r>
            <w:r/>
          </w:p>
        </w:tc>
        <w:tc>
          <w:tcPr>
            <w:shd w:val="clear" w:color="auto" w:fill="d9d9d9"/>
            <w:tcBorders/>
            <w:tcMar>
              <w:left w:w="90" w:type="dxa"/>
              <w:top w:w="60" w:type="dxa"/>
              <w:right w:w="90" w:type="dxa"/>
              <w:bottom w:w="60" w:type="dxa"/>
            </w:tcMar>
            <w:tcW w:w="3800" w:type="dxa"/>
          </w:tcPr>
          <w:p>
            <w:pPr>
              <w:pBdr/>
              <w:spacing w:after="0" w:line="240" w:lineRule="auto"/>
              <w:ind/>
              <w:jc w:val="center"/>
              <w:rPr/>
            </w:pPr>
            <w:r>
              <w:rPr>
                <w:rFonts w:ascii="Times New Roman" w:hAnsi="Times New Roman" w:eastAsia="Times New Roman" w:cs="Times New Roman"/>
                <w:b/>
                <w:bCs/>
                <w:sz w:val="20"/>
                <w:szCs w:val="20"/>
              </w:rPr>
              <w:t xml:space="preserve">Actividad</w:t>
            </w:r>
            <w:r/>
          </w:p>
        </w:tc>
        <w:tc>
          <w:tcPr>
            <w:shd w:val="clear" w:color="auto" w:fill="d9d9d9"/>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b/>
                <w:bCs/>
                <w:sz w:val="20"/>
                <w:szCs w:val="20"/>
              </w:rPr>
              <w:t xml:space="preserve">Tiempo estimado</w:t>
            </w:r>
            <w:r/>
          </w:p>
        </w:tc>
        <w:tc>
          <w:tcPr>
            <w:shd w:val="clear" w:color="auto" w:fill="d9d9d9"/>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b/>
                <w:bCs/>
                <w:sz w:val="20"/>
                <w:szCs w:val="20"/>
              </w:rPr>
              <w:t xml:space="preserve">Responsable(s)</w:t>
            </w:r>
            <w:r/>
          </w:p>
        </w:tc>
        <w:tc>
          <w:tcPr>
            <w:shd w:val="clear" w:color="auto" w:fill="d9d9d9"/>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b/>
                <w:bCs/>
                <w:sz w:val="20"/>
                <w:szCs w:val="20"/>
              </w:rPr>
              <w:t xml:space="preserve">Entregable</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Revisión bibliográfica sobre matchmaking, SBMM y EOMM</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14 – 18 jul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Sebastián Alpízar</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Lista de referencias</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Definición del propósito, unidad de estudio y justificación</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19 – 22 jul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Daniel Saborío</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Apartado 1</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Redacción de objetivos y delimitación de alcances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23 – 25 jul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Manuel Miranda</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Apartado 2</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Criterio operativo y levantamiento de las 30 partidas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26 – 30 jul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Sebastián Alpízar</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Tablas 3 a 6</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Diseño y aplicación del cuestionario en Google Forms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28 jul – 2 ago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Manuel Miranda</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Instrumento y CSV</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Cálculo binomial, prueba de hipótesis e intervalos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31 jul – 3 ago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Daniel Saborío</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Tablas 10 a 15</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Análisis, conclusiones y críticas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4 – 6 ago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Manuel Miranda</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Apartados 5 y 6</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Preparación de la exposición</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6 – 7 ago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Todo el grupo</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Presentación</w:t>
            </w:r>
            <w:r/>
          </w:p>
        </w:tc>
      </w:tr>
      <w:tr>
        <w:trPr/>
        <w:tc>
          <w:tcPr>
            <w:tcBorders/>
            <w:tcMar>
              <w:left w:w="90" w:type="dxa"/>
              <w:top w:w="60" w:type="dxa"/>
              <w:right w:w="90" w:type="dxa"/>
              <w:bottom w:w="60" w:type="dxa"/>
            </w:tcMar>
            <w:tcW w:w="600" w:type="dxa"/>
          </w:tcPr>
          <w:p>
            <w:pPr>
              <w:pBdr/>
              <w:spacing w:after="0" w:line="240" w:lineRule="auto"/>
              <w:ind/>
              <w:jc w:val="left"/>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3800" w:type="dxa"/>
          </w:tcPr>
          <w:p>
            <w:pPr>
              <w:pBdr/>
              <w:spacing w:after="0" w:line="240" w:lineRule="auto"/>
              <w:ind/>
              <w:jc w:val="left"/>
              <w:rPr/>
            </w:pPr>
            <w:r>
              <w:rPr>
                <w:rFonts w:ascii="Times New Roman" w:hAnsi="Times New Roman" w:eastAsia="Times New Roman" w:cs="Times New Roman"/>
                <w:sz w:val="20"/>
                <w:szCs w:val="20"/>
              </w:rPr>
              <w:t xml:space="preserve">Revisión, formato APA y entrega</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7 – 8 ago 2026</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Todo el grupo</w:t>
            </w:r>
            <w:r/>
          </w:p>
        </w:tc>
        <w:tc>
          <w:tcPr>
            <w:tcBorders/>
            <w:tcMar>
              <w:left w:w="90" w:type="dxa"/>
              <w:top w:w="60" w:type="dxa"/>
              <w:right w:w="90" w:type="dxa"/>
              <w:bottom w:w="60" w:type="dxa"/>
            </w:tcMar>
            <w:tcW w:w="1260" w:type="dxa"/>
          </w:tcPr>
          <w:p>
            <w:pPr>
              <w:pBdr/>
              <w:spacing w:after="0" w:line="240" w:lineRule="auto"/>
              <w:ind/>
              <w:jc w:val="center"/>
              <w:rPr/>
            </w:pPr>
            <w:r>
              <w:rPr>
                <w:rFonts w:ascii="Times New Roman" w:hAnsi="Times New Roman" w:eastAsia="Times New Roman" w:cs="Times New Roman"/>
                <w:sz w:val="20"/>
                <w:szCs w:val="20"/>
              </w:rPr>
              <w:t xml:space="preserve">Informe final</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Las actividades 4 y 5 se traslapan de forma intencional porque son independientes entre sí.</w:t>
      </w:r>
      <w:r/>
    </w:p>
    <w:p>
      <w:pPr>
        <w:pStyle w:val="713"/>
        <w:pBdr/>
        <w:spacing w:after="140" w:before="240"/>
        <w:ind/>
        <w:rPr/>
      </w:pPr>
      <w:r>
        <w:rPr>
          <w:rFonts w:ascii="Times New Roman" w:hAnsi="Times New Roman" w:eastAsia="Times New Roman" w:cs="Times New Roman"/>
          <w:b/>
          <w:bCs/>
          <w:color w:val="000000"/>
          <w:sz w:val="24"/>
          <w:szCs w:val="24"/>
        </w:rPr>
        <w:t xml:space="preserve">3.2 Criterio operativo y fuentes</w:t>
      </w:r>
      <w:r/>
    </w:p>
    <w:p>
      <w:pPr>
        <w:pBdr/>
        <w:spacing w:after="160" w:line="300" w:lineRule="auto"/>
        <w:ind/>
        <w:jc w:val="both"/>
        <w:rPr/>
      </w:pPr>
      <w:r>
        <w:rPr>
          <w:rFonts w:ascii="Times New Roman" w:hAnsi="Times New Roman" w:eastAsia="Times New Roman" w:cs="Times New Roman"/>
          <w:sz w:val="24"/>
          <w:szCs w:val="24"/>
        </w:rPr>
        <w:t xml:space="preserve">Como ninguna empresa publica un indicador oficial de partida balanceada, se define un criterio operativo propio, verificable desde plataformas públicas. Una partida se clasifica como balanceada solo si cumple simultáneamente el</w:t>
      </w:r>
      <w:r>
        <w:rPr>
          <w:rFonts w:ascii="Times New Roman" w:hAnsi="Times New Roman" w:eastAsia="Times New Roman" w:cs="Times New Roman"/>
          <w:sz w:val="24"/>
          <w:szCs w:val="24"/>
        </w:rPr>
        <w:t xml:space="preserve"> criterio C1, de homogeneidad previa, que exige que la diferencia de rating o rango promedio entre los equipos no supere el umbral del título, y el criterio C2, de competitividad del resultado, que exige que el marcador final se mantenga dentro del margen </w:t>
      </w:r>
      <w:r>
        <w:rPr>
          <w:rFonts w:ascii="Times New Roman" w:hAnsi="Times New Roman" w:eastAsia="Times New Roman" w:cs="Times New Roman"/>
          <w:sz w:val="24"/>
          <w:szCs w:val="24"/>
        </w:rPr>
        <w:t xml:space="preserve">definido y no se resuelva de forma unilateral. Basta con que falle uno para clasificar la partida como no balanceada, porque un emparejamiento puede fallar tanto por juntar jugadores de niveles distintos como por producir un resultado sin competencia real.</w:t>
      </w:r>
      <w:r/>
    </w:p>
    <w:p>
      <w:pPr>
        <w:pBdr/>
        <w:spacing w:after="0" w:before="220"/>
        <w:ind/>
        <w:rPr/>
      </w:pPr>
      <w:r>
        <w:rPr>
          <w:rFonts w:ascii="Times New Roman" w:hAnsi="Times New Roman" w:eastAsia="Times New Roman" w:cs="Times New Roman"/>
          <w:b/>
          <w:bCs/>
          <w:sz w:val="24"/>
          <w:szCs w:val="24"/>
        </w:rPr>
        <w:t xml:space="preserve">Tabla 3</w:t>
      </w:r>
      <w:r/>
    </w:p>
    <w:p>
      <w:pPr>
        <w:pBdr/>
        <w:spacing w:after="120"/>
        <w:ind/>
        <w:rPr/>
      </w:pPr>
      <w:r>
        <w:rPr>
          <w:rFonts w:ascii="Times New Roman" w:hAnsi="Times New Roman" w:eastAsia="Times New Roman" w:cs="Times New Roman"/>
          <w:i/>
          <w:iCs/>
          <w:sz w:val="24"/>
          <w:szCs w:val="24"/>
        </w:rPr>
        <w:t xml:space="preserve">Fuentes y umbrales del criterio operativo por título</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500"/>
        <w:gridCol w:w="1750"/>
        <w:gridCol w:w="1400"/>
        <w:gridCol w:w="2350"/>
        <w:gridCol w:w="2360"/>
      </w:tblGrid>
      <w:tr>
        <w:trPr>
          <w:tblHeader/>
        </w:trPr>
        <w:tc>
          <w:tcPr>
            <w:shd w:val="clear" w:color="auto" w:fill="d9d9d9"/>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b/>
                <w:bCs/>
                <w:sz w:val="20"/>
                <w:szCs w:val="20"/>
              </w:rPr>
              <w:t xml:space="preserve">Empresa</w:t>
            </w:r>
            <w:r/>
          </w:p>
        </w:tc>
        <w:tc>
          <w:tcPr>
            <w:shd w:val="clear" w:color="auto" w:fill="d9d9d9"/>
            <w:tcBorders/>
            <w:tcMar>
              <w:left w:w="90" w:type="dxa"/>
              <w:top w:w="60" w:type="dxa"/>
              <w:right w:w="90" w:type="dxa"/>
              <w:bottom w:w="60" w:type="dxa"/>
            </w:tcMar>
            <w:tcW w:w="1750" w:type="dxa"/>
          </w:tcPr>
          <w:p>
            <w:pPr>
              <w:pBdr/>
              <w:spacing w:after="0" w:line="240" w:lineRule="auto"/>
              <w:ind/>
              <w:jc w:val="center"/>
              <w:rPr/>
            </w:pPr>
            <w:r>
              <w:rPr>
                <w:rFonts w:ascii="Times New Roman" w:hAnsi="Times New Roman" w:eastAsia="Times New Roman" w:cs="Times New Roman"/>
                <w:b/>
                <w:bCs/>
                <w:sz w:val="20"/>
                <w:szCs w:val="20"/>
              </w:rPr>
              <w:t xml:space="preserve">Título</w:t>
            </w:r>
            <w:r/>
          </w:p>
        </w:tc>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Fuente</w:t>
            </w:r>
            <w:r/>
          </w:p>
        </w:tc>
        <w:tc>
          <w:tcPr>
            <w:shd w:val="clear" w:color="auto" w:fill="d9d9d9"/>
            <w:tcBorders/>
            <w:tcMar>
              <w:left w:w="90" w:type="dxa"/>
              <w:top w:w="60" w:type="dxa"/>
              <w:right w:w="90" w:type="dxa"/>
              <w:bottom w:w="60" w:type="dxa"/>
            </w:tcMar>
            <w:tcW w:w="2350" w:type="dxa"/>
          </w:tcPr>
          <w:p>
            <w:pPr>
              <w:pBdr/>
              <w:spacing w:after="0" w:line="240" w:lineRule="auto"/>
              <w:ind/>
              <w:jc w:val="center"/>
              <w:rPr/>
            </w:pPr>
            <w:r>
              <w:rPr>
                <w:rFonts w:ascii="Times New Roman" w:hAnsi="Times New Roman" w:eastAsia="Times New Roman" w:cs="Times New Roman"/>
                <w:b/>
                <w:bCs/>
                <w:sz w:val="20"/>
                <w:szCs w:val="20"/>
              </w:rPr>
              <w:t xml:space="preserve">Umbral C1</w:t>
            </w:r>
            <w:r/>
          </w:p>
        </w:tc>
        <w:tc>
          <w:tcPr>
            <w:shd w:val="clear" w:color="auto" w:fill="d9d9d9"/>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b/>
                <w:bCs/>
                <w:sz w:val="20"/>
                <w:szCs w:val="20"/>
              </w:rPr>
              <w:t xml:space="preserve">Umbral C2</w:t>
            </w:r>
            <w:r/>
          </w:p>
        </w:tc>
      </w:tr>
      <w:tr>
        <w:trPr/>
        <w:tc>
          <w:tcPr>
            <w:tcBorders/>
            <w:tcMar>
              <w:left w:w="90" w:type="dxa"/>
              <w:top w:w="60" w:type="dxa"/>
              <w:right w:w="90" w:type="dxa"/>
              <w:bottom w:w="60" w:type="dxa"/>
            </w:tcMar>
            <w:tcW w:w="1500" w:type="dxa"/>
          </w:tcPr>
          <w:p>
            <w:pPr>
              <w:pBdr/>
              <w:spacing w:after="0" w:line="240" w:lineRule="auto"/>
              <w:ind/>
              <w:jc w:val="left"/>
              <w:rPr/>
            </w:pPr>
            <w:r>
              <w:rPr>
                <w:rFonts w:ascii="Times New Roman" w:hAnsi="Times New Roman" w:eastAsia="Times New Roman" w:cs="Times New Roman"/>
                <w:sz w:val="20"/>
                <w:szCs w:val="20"/>
              </w:rPr>
              <w:t xml:space="preserve">Riot Games</w:t>
            </w:r>
            <w:r/>
          </w:p>
        </w:tc>
        <w:tc>
          <w:tcPr>
            <w:tcBorders/>
            <w:tcMar>
              <w:left w:w="90" w:type="dxa"/>
              <w:top w:w="60" w:type="dxa"/>
              <w:right w:w="90" w:type="dxa"/>
              <w:bottom w:w="60" w:type="dxa"/>
            </w:tcMar>
            <w:tcW w:w="1750" w:type="dxa"/>
          </w:tcPr>
          <w:p>
            <w:pPr>
              <w:pBdr/>
              <w:spacing w:after="0" w:line="240" w:lineRule="auto"/>
              <w:ind/>
              <w:jc w:val="left"/>
              <w:rPr/>
            </w:pPr>
            <w:r>
              <w:rPr>
                <w:rFonts w:ascii="Times New Roman" w:hAnsi="Times New Roman" w:eastAsia="Times New Roman" w:cs="Times New Roman"/>
                <w:sz w:val="20"/>
                <w:szCs w:val="20"/>
              </w:rPr>
              <w:t xml:space="preserve">League of Legends</w:t>
            </w:r>
            <w:r/>
          </w:p>
        </w:tc>
        <w:tc>
          <w:tcPr>
            <w:tcBorders/>
            <w:tcMar>
              <w:left w:w="90" w:type="dxa"/>
              <w:top w:w="60" w:type="dxa"/>
              <w:right w:w="90" w:type="dxa"/>
              <w:bottom w:w="60" w:type="dxa"/>
            </w:tcMar>
            <w:tcW w:w="1400" w:type="dxa"/>
          </w:tcPr>
          <w:p>
            <w:pPr>
              <w:pBdr/>
              <w:spacing w:after="0" w:line="240" w:lineRule="auto"/>
              <w:ind/>
              <w:jc w:val="left"/>
              <w:rPr/>
            </w:pPr>
            <w:r>
              <w:rPr>
                <w:rFonts w:ascii="Times New Roman" w:hAnsi="Times New Roman" w:eastAsia="Times New Roman" w:cs="Times New Roman"/>
                <w:sz w:val="20"/>
                <w:szCs w:val="20"/>
              </w:rPr>
              <w:t xml:space="preserve">OP.GG</w:t>
            </w:r>
            <w:r/>
          </w:p>
        </w:tc>
        <w:tc>
          <w:tcPr>
            <w:tcBorders/>
            <w:tcMar>
              <w:left w:w="90" w:type="dxa"/>
              <w:top w:w="60" w:type="dxa"/>
              <w:right w:w="90" w:type="dxa"/>
              <w:bottom w:w="60" w:type="dxa"/>
            </w:tcMar>
            <w:tcW w:w="2350" w:type="dxa"/>
          </w:tcPr>
          <w:p>
            <w:pPr>
              <w:pBdr/>
              <w:spacing w:after="0" w:line="240" w:lineRule="auto"/>
              <w:ind/>
              <w:jc w:val="left"/>
              <w:rPr/>
            </w:pPr>
            <w:r>
              <w:rPr>
                <w:rFonts w:ascii="Times New Roman" w:hAnsi="Times New Roman" w:eastAsia="Times New Roman" w:cs="Times New Roman"/>
                <w:sz w:val="20"/>
                <w:szCs w:val="20"/>
              </w:rPr>
              <w:t xml:space="preserve">Todos los jugadores dentro de una división respecto al promedio del lobby</w:t>
            </w:r>
            <w:r/>
          </w:p>
        </w:tc>
        <w:tc>
          <w:tcPr>
            <w:tcBorders/>
            <w:tcMar>
              <w:left w:w="90" w:type="dxa"/>
              <w:top w:w="60" w:type="dxa"/>
              <w:right w:w="90" w:type="dxa"/>
              <w:bottom w:w="60" w:type="dxa"/>
            </w:tcMar>
            <w:tcW w:w="2360" w:type="dxa"/>
          </w:tcPr>
          <w:p>
            <w:pPr>
              <w:pBdr/>
              <w:spacing w:after="0" w:line="240" w:lineRule="auto"/>
              <w:ind/>
              <w:jc w:val="left"/>
              <w:rPr/>
            </w:pPr>
            <w:r>
              <w:rPr>
                <w:rFonts w:ascii="Times New Roman" w:hAnsi="Times New Roman" w:eastAsia="Times New Roman" w:cs="Times New Roman"/>
                <w:sz w:val="20"/>
                <w:szCs w:val="20"/>
              </w:rPr>
              <w:t xml:space="preserve">Más de 20 min, sin rendición temprana y diferencia de oro menor a 15 000</w:t>
            </w:r>
            <w:r/>
          </w:p>
        </w:tc>
      </w:tr>
      <w:tr>
        <w:trPr/>
        <w:tc>
          <w:tcPr>
            <w:tcBorders/>
            <w:tcMar>
              <w:left w:w="90" w:type="dxa"/>
              <w:top w:w="60" w:type="dxa"/>
              <w:right w:w="90" w:type="dxa"/>
              <w:bottom w:w="60" w:type="dxa"/>
            </w:tcMar>
            <w:tcW w:w="1500" w:type="dxa"/>
          </w:tcPr>
          <w:p>
            <w:pPr>
              <w:pBdr/>
              <w:spacing w:after="0" w:line="240" w:lineRule="auto"/>
              <w:ind/>
              <w:jc w:val="left"/>
              <w:rPr/>
            </w:pPr>
            <w:r>
              <w:rPr>
                <w:rFonts w:ascii="Times New Roman" w:hAnsi="Times New Roman" w:eastAsia="Times New Roman" w:cs="Times New Roman"/>
                <w:sz w:val="20"/>
                <w:szCs w:val="20"/>
              </w:rPr>
              <w:t xml:space="preserve">Valve</w:t>
            </w:r>
            <w:r/>
          </w:p>
        </w:tc>
        <w:tc>
          <w:tcPr>
            <w:tcBorders/>
            <w:tcMar>
              <w:left w:w="90" w:type="dxa"/>
              <w:top w:w="60" w:type="dxa"/>
              <w:right w:w="90" w:type="dxa"/>
              <w:bottom w:w="60" w:type="dxa"/>
            </w:tcMar>
            <w:tcW w:w="1750" w:type="dxa"/>
          </w:tcPr>
          <w:p>
            <w:pPr>
              <w:pBdr/>
              <w:spacing w:after="0" w:line="240" w:lineRule="auto"/>
              <w:ind/>
              <w:jc w:val="left"/>
              <w:rPr/>
            </w:pPr>
            <w:r>
              <w:rPr>
                <w:rFonts w:ascii="Times New Roman" w:hAnsi="Times New Roman" w:eastAsia="Times New Roman" w:cs="Times New Roman"/>
                <w:sz w:val="20"/>
                <w:szCs w:val="20"/>
              </w:rPr>
              <w:t xml:space="preserve">Counter Strike 2</w:t>
            </w:r>
            <w:r/>
          </w:p>
        </w:tc>
        <w:tc>
          <w:tcPr>
            <w:tcBorders/>
            <w:tcMar>
              <w:left w:w="90" w:type="dxa"/>
              <w:top w:w="60" w:type="dxa"/>
              <w:right w:w="90" w:type="dxa"/>
              <w:bottom w:w="60" w:type="dxa"/>
            </w:tcMar>
            <w:tcW w:w="1400" w:type="dxa"/>
          </w:tcPr>
          <w:p>
            <w:pPr>
              <w:pBdr/>
              <w:spacing w:after="0" w:line="240" w:lineRule="auto"/>
              <w:ind/>
              <w:jc w:val="left"/>
              <w:rPr/>
            </w:pPr>
            <w:r>
              <w:rPr>
                <w:rFonts w:ascii="Times New Roman" w:hAnsi="Times New Roman" w:eastAsia="Times New Roman" w:cs="Times New Roman"/>
                <w:sz w:val="20"/>
                <w:szCs w:val="20"/>
              </w:rPr>
              <w:t xml:space="preserve">csstats.gg</w:t>
            </w:r>
            <w:r/>
          </w:p>
        </w:tc>
        <w:tc>
          <w:tcPr>
            <w:tcBorders/>
            <w:tcMar>
              <w:left w:w="90" w:type="dxa"/>
              <w:top w:w="60" w:type="dxa"/>
              <w:right w:w="90" w:type="dxa"/>
              <w:bottom w:w="60" w:type="dxa"/>
            </w:tcMar>
            <w:tcW w:w="2350" w:type="dxa"/>
          </w:tcPr>
          <w:p>
            <w:pPr>
              <w:pBdr/>
              <w:spacing w:after="0" w:line="240" w:lineRule="auto"/>
              <w:ind/>
              <w:jc w:val="left"/>
              <w:rPr/>
            </w:pPr>
            <w:r>
              <w:rPr>
                <w:rFonts w:ascii="Times New Roman" w:hAnsi="Times New Roman" w:eastAsia="Times New Roman" w:cs="Times New Roman"/>
                <w:sz w:val="20"/>
                <w:szCs w:val="20"/>
              </w:rPr>
              <w:t xml:space="preserve">Diferencia de CS Rating promedio menor o igual a 1 500 puntos</w:t>
            </w:r>
            <w:r/>
          </w:p>
        </w:tc>
        <w:tc>
          <w:tcPr>
            <w:tcBorders/>
            <w:tcMar>
              <w:left w:w="90" w:type="dxa"/>
              <w:top w:w="60" w:type="dxa"/>
              <w:right w:w="90" w:type="dxa"/>
              <w:bottom w:w="60" w:type="dxa"/>
            </w:tcMar>
            <w:tcW w:w="2360" w:type="dxa"/>
          </w:tcPr>
          <w:p>
            <w:pPr>
              <w:pBdr/>
              <w:spacing w:after="0" w:line="240" w:lineRule="auto"/>
              <w:ind/>
              <w:jc w:val="left"/>
              <w:rPr/>
            </w:pPr>
            <w:r>
              <w:rPr>
                <w:rFonts w:ascii="Times New Roman" w:hAnsi="Times New Roman" w:eastAsia="Times New Roman" w:cs="Times New Roman"/>
                <w:sz w:val="20"/>
                <w:szCs w:val="20"/>
              </w:rPr>
              <w:t xml:space="preserve">Diferencia de rondas menor o igual a 5 (13-8 o más cerrado)</w:t>
            </w:r>
            <w:r/>
          </w:p>
        </w:tc>
      </w:tr>
      <w:tr>
        <w:trPr/>
        <w:tc>
          <w:tcPr>
            <w:tcBorders/>
            <w:tcMar>
              <w:left w:w="90" w:type="dxa"/>
              <w:top w:w="60" w:type="dxa"/>
              <w:right w:w="90" w:type="dxa"/>
              <w:bottom w:w="60" w:type="dxa"/>
            </w:tcMar>
            <w:tcW w:w="1500" w:type="dxa"/>
          </w:tcPr>
          <w:p>
            <w:pPr>
              <w:pBdr/>
              <w:spacing w:after="0" w:line="240" w:lineRule="auto"/>
              <w:ind/>
              <w:jc w:val="left"/>
              <w:rPr/>
            </w:pPr>
            <w:r>
              <w:rPr>
                <w:rFonts w:ascii="Times New Roman" w:hAnsi="Times New Roman" w:eastAsia="Times New Roman" w:cs="Times New Roman"/>
                <w:sz w:val="20"/>
                <w:szCs w:val="20"/>
              </w:rPr>
              <w:t xml:space="preserve">NetEase</w:t>
            </w:r>
            <w:r/>
          </w:p>
        </w:tc>
        <w:tc>
          <w:tcPr>
            <w:tcBorders/>
            <w:tcMar>
              <w:left w:w="90" w:type="dxa"/>
              <w:top w:w="60" w:type="dxa"/>
              <w:right w:w="90" w:type="dxa"/>
              <w:bottom w:w="60" w:type="dxa"/>
            </w:tcMar>
            <w:tcW w:w="1750" w:type="dxa"/>
          </w:tcPr>
          <w:p>
            <w:pPr>
              <w:pBdr/>
              <w:spacing w:after="0" w:line="240" w:lineRule="auto"/>
              <w:ind/>
              <w:jc w:val="left"/>
              <w:rPr/>
            </w:pPr>
            <w:r>
              <w:rPr>
                <w:rFonts w:ascii="Times New Roman" w:hAnsi="Times New Roman" w:eastAsia="Times New Roman" w:cs="Times New Roman"/>
                <w:sz w:val="20"/>
                <w:szCs w:val="20"/>
              </w:rPr>
              <w:t xml:space="preserve">Marvel Rivals</w:t>
            </w:r>
            <w:r/>
          </w:p>
        </w:tc>
        <w:tc>
          <w:tcPr>
            <w:tcBorders/>
            <w:tcMar>
              <w:left w:w="90" w:type="dxa"/>
              <w:top w:w="60" w:type="dxa"/>
              <w:right w:w="90" w:type="dxa"/>
              <w:bottom w:w="60" w:type="dxa"/>
            </w:tcMar>
            <w:tcW w:w="1400" w:type="dxa"/>
          </w:tcPr>
          <w:p>
            <w:pPr>
              <w:pBdr/>
              <w:spacing w:after="0" w:line="240" w:lineRule="auto"/>
              <w:ind/>
              <w:jc w:val="left"/>
              <w:rPr/>
            </w:pPr>
            <w:r>
              <w:rPr>
                <w:rFonts w:ascii="Times New Roman" w:hAnsi="Times New Roman" w:eastAsia="Times New Roman" w:cs="Times New Roman"/>
                <w:sz w:val="20"/>
                <w:szCs w:val="20"/>
              </w:rPr>
              <w:t xml:space="preserve">OP.GG</w:t>
            </w:r>
            <w:r/>
          </w:p>
        </w:tc>
        <w:tc>
          <w:tcPr>
            <w:tcBorders/>
            <w:tcMar>
              <w:left w:w="90" w:type="dxa"/>
              <w:top w:w="60" w:type="dxa"/>
              <w:right w:w="90" w:type="dxa"/>
              <w:bottom w:w="60" w:type="dxa"/>
            </w:tcMar>
            <w:tcW w:w="2350" w:type="dxa"/>
          </w:tcPr>
          <w:p>
            <w:pPr>
              <w:pBdr/>
              <w:spacing w:after="0" w:line="240" w:lineRule="auto"/>
              <w:ind/>
              <w:jc w:val="left"/>
              <w:rPr/>
            </w:pPr>
            <w:r>
              <w:rPr>
                <w:rFonts w:ascii="Times New Roman" w:hAnsi="Times New Roman" w:eastAsia="Times New Roman" w:cs="Times New Roman"/>
                <w:sz w:val="20"/>
                <w:szCs w:val="20"/>
              </w:rPr>
              <w:t xml:space="preserve">Todos los jugadores dentro de una división respecto al promedio del lobby</w:t>
            </w:r>
            <w:r/>
          </w:p>
        </w:tc>
        <w:tc>
          <w:tcPr>
            <w:tcBorders/>
            <w:tcMar>
              <w:left w:w="90" w:type="dxa"/>
              <w:top w:w="60" w:type="dxa"/>
              <w:right w:w="90" w:type="dxa"/>
              <w:bottom w:w="60" w:type="dxa"/>
            </w:tcMar>
            <w:tcW w:w="2360" w:type="dxa"/>
          </w:tcPr>
          <w:p>
            <w:pPr>
              <w:pBdr/>
              <w:spacing w:after="0" w:line="240" w:lineRule="auto"/>
              <w:ind/>
              <w:jc w:val="left"/>
              <w:rPr/>
            </w:pPr>
            <w:r>
              <w:rPr>
                <w:rFonts w:ascii="Times New Roman" w:hAnsi="Times New Roman" w:eastAsia="Times New Roman" w:cs="Times New Roman"/>
                <w:sz w:val="20"/>
                <w:szCs w:val="20"/>
              </w:rPr>
              <w:t xml:space="preserve">Llega al tercer mapa, o 2-0 con ambos mapas disputados</w:t>
            </w:r>
            <w:r/>
          </w:p>
        </w:tc>
      </w:tr>
    </w:tbl>
    <w:p>
      <w:pPr>
        <w:pBdr/>
        <w:spacing w:after="220" w:before="80"/>
        <w:ind/>
        <w:jc w:val="left"/>
        <w:rPr/>
      </w:pPr>
      <w:r>
        <w:rPr>
          <w:rFonts w:ascii="Times New Roman" w:hAnsi="Times New Roman" w:eastAsia="Times New Roman" w:cs="Times New Roman"/>
          <w:i/>
          <w:iCs/>
          <w:sz w:val="20"/>
          <w:szCs w:val="20"/>
        </w:rPr>
      </w:r>
      <w:r>
        <w:rPr>
          <w:rFonts w:ascii="Times New Roman" w:hAnsi="Times New Roman" w:eastAsia="Times New Roman" w:cs="Times New Roman"/>
          <w:sz w:val="20"/>
          <w:szCs w:val="20"/>
        </w:rPr>
        <w:t xml:space="preserve">.</w:t>
      </w:r>
      <w:r/>
    </w:p>
    <w:p>
      <w:pPr>
        <w:pStyle w:val="713"/>
        <w:pBdr/>
        <w:spacing w:after="140" w:before="240"/>
        <w:ind/>
        <w:rPr/>
      </w:pPr>
      <w:r>
        <w:rPr>
          <w:rFonts w:ascii="Times New Roman" w:hAnsi="Times New Roman" w:eastAsia="Times New Roman" w:cs="Times New Roman"/>
          <w:b/>
          <w:bCs/>
          <w:color w:val="000000"/>
          <w:sz w:val="24"/>
          <w:szCs w:val="24"/>
        </w:rPr>
        <w:t xml:space="preserve">3.3 Registro de las partidas observadas</w:t>
      </w:r>
      <w:r/>
    </w:p>
    <w:p>
      <w:pPr>
        <w:pBdr/>
        <w:spacing w:after="160" w:line="300" w:lineRule="auto"/>
        <w:ind/>
        <w:jc w:val="both"/>
        <w:rPr/>
      </w:pPr>
      <w:r>
        <w:rPr>
          <w:rFonts w:ascii="Times New Roman" w:hAnsi="Times New Roman" w:eastAsia="Times New Roman" w:cs="Times New Roman"/>
          <w:sz w:val="24"/>
          <w:szCs w:val="24"/>
        </w:rPr>
        <w:t xml:space="preserve">Para cada partida se registró el rating o rango promedio </w:t>
      </w:r>
      <w:r>
        <w:rPr>
          <w:rFonts w:ascii="Times New Roman" w:hAnsi="Times New Roman" w:eastAsia="Times New Roman" w:cs="Times New Roman"/>
          <w:sz w:val="24"/>
          <w:szCs w:val="24"/>
        </w:rPr>
        <w:t xml:space="preserve">de cada equipo, la diferencia entre ambos, el marcador final, el cumplimiento de C1, el cumplimiento de C2 y la clasificación resultante. Ninguna partida se descartó una vez consultada, con el fin de evitar que la selección se contaminara con el resultado.</w:t>
      </w:r>
      <w:r/>
    </w:p>
    <w:p>
      <w:pPr>
        <w:pBdr/>
        <w:spacing w:after="0" w:before="220"/>
        <w:ind/>
        <w:rPr/>
      </w:pPr>
      <w:r>
        <w:rPr>
          <w:rFonts w:ascii="Times New Roman" w:hAnsi="Times New Roman" w:eastAsia="Times New Roman" w:cs="Times New Roman"/>
          <w:b/>
          <w:bCs/>
          <w:sz w:val="24"/>
          <w:szCs w:val="24"/>
        </w:rPr>
        <w:t xml:space="preserve">Tabla 4</w:t>
      </w:r>
      <w:r/>
    </w:p>
    <w:p>
      <w:pPr>
        <w:pBdr/>
        <w:spacing w:after="120"/>
        <w:ind/>
        <w:rPr/>
      </w:pPr>
      <w:r>
        <w:rPr>
          <w:rFonts w:ascii="Times New Roman" w:hAnsi="Times New Roman" w:eastAsia="Times New Roman" w:cs="Times New Roman"/>
          <w:i/>
          <w:iCs/>
          <w:sz w:val="24"/>
          <w:szCs w:val="24"/>
        </w:rPr>
        <w:t xml:space="preserve">Registro de partidas de League of Legends (Riot Games)</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700"/>
        <w:gridCol w:w="2100"/>
        <w:gridCol w:w="2100"/>
        <w:gridCol w:w="1560"/>
        <w:gridCol w:w="900"/>
        <w:gridCol w:w="900"/>
        <w:gridCol w:w="1100"/>
      </w:tblGrid>
      <w:tr>
        <w:trPr>
          <w:tblHeader/>
        </w:trPr>
        <w:tc>
          <w:tcPr>
            <w:shd w:val="clear" w:color="auto" w:fill="d9d9d9"/>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b/>
                <w:bCs/>
                <w:sz w:val="20"/>
                <w:szCs w:val="20"/>
              </w:rPr>
              <w:t xml:space="preserve">N°</w:t>
            </w:r>
            <w:r/>
          </w:p>
        </w:tc>
        <w:tc>
          <w:tcPr>
            <w:shd w:val="clear" w:color="auto" w:fill="d9d9d9"/>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b/>
                <w:bCs/>
                <w:sz w:val="20"/>
                <w:szCs w:val="20"/>
              </w:rPr>
              <w:t xml:space="preserve">Rating prom. eq. A / eq. B</w:t>
            </w:r>
            <w:r/>
          </w:p>
        </w:tc>
        <w:tc>
          <w:tcPr>
            <w:shd w:val="clear" w:color="auto" w:fill="d9d9d9"/>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b/>
                <w:bCs/>
                <w:sz w:val="20"/>
                <w:szCs w:val="20"/>
              </w:rPr>
              <w:t xml:space="preserve">Marcador y duración</w:t>
            </w:r>
            <w:r/>
          </w:p>
        </w:tc>
        <w:tc>
          <w:tcPr>
            <w:shd w:val="clear" w:color="auto" w:fill="d9d9d9"/>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b/>
                <w:bCs/>
                <w:sz w:val="20"/>
                <w:szCs w:val="20"/>
              </w:rPr>
              <w:t xml:space="preserve">Dif. de oro</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C1</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C2</w:t>
            </w:r>
            <w:r/>
          </w:p>
        </w:tc>
        <w:tc>
          <w:tcPr>
            <w:shd w:val="clear" w:color="auto" w:fill="d9d9d9"/>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b/>
                <w:bCs/>
                <w:sz w:val="20"/>
                <w:szCs w:val="20"/>
              </w:rPr>
              <w:t xml:space="preserve">Clasif.</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 / Oro III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31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8 400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 / Oro 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27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11 200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III / Plata 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Rendición al min 18</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19 700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 / Oro 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35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6 100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 / Oro 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29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9 800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 / Oro III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24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13 400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III / Oro 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22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16 900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 / Oro 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33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7 500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 / Oro 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28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10 300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Oro II / Oro II</w:t>
            </w:r>
            <w:r/>
          </w:p>
        </w:tc>
        <w:tc>
          <w:tcPr>
            <w:tcBorders/>
            <w:tcMar>
              <w:left w:w="90" w:type="dxa"/>
              <w:top w:w="60" w:type="dxa"/>
              <w:right w:w="90" w:type="dxa"/>
              <w:bottom w:w="60" w:type="dxa"/>
            </w:tcMar>
            <w:tcW w:w="2100" w:type="dxa"/>
          </w:tcPr>
          <w:p>
            <w:pPr>
              <w:pBdr/>
              <w:spacing w:after="0" w:line="240" w:lineRule="auto"/>
              <w:ind/>
              <w:jc w:val="center"/>
              <w:rPr/>
            </w:pPr>
            <w:r>
              <w:rPr>
                <w:rFonts w:ascii="Times New Roman" w:hAnsi="Times New Roman" w:eastAsia="Times New Roman" w:cs="Times New Roman"/>
                <w:sz w:val="20"/>
                <w:szCs w:val="20"/>
              </w:rPr>
              <w:t xml:space="preserve">Victoria en 26 min</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12 000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100" w:type="dxa"/>
          </w:tcPr>
          <w:p>
            <w:pPr>
              <w:pBdr/>
              <w:spacing w:after="0" w:line="240" w:lineRule="auto"/>
              <w:ind/>
              <w:jc w:val="center"/>
              <w:rPr/>
            </w:pPr>
            <w:r>
              <w:rPr>
                <w:rFonts w:ascii="Times New Roman" w:hAnsi="Times New Roman" w:eastAsia="Times New Roman" w:cs="Times New Roman"/>
                <w:sz w:val="20"/>
                <w:szCs w:val="20"/>
              </w:rPr>
              <w:t xml:space="preserve">B</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B = balanceada, NB = no balanceada. Datos de OP.GG (2026a). Total observado: k = 8 de 10.</w:t>
      </w:r>
      <w:r/>
    </w:p>
    <w:p>
      <w:pPr>
        <w:pBdr/>
        <w:spacing w:after="0" w:before="220"/>
        <w:ind/>
        <w:rPr/>
      </w:pPr>
      <w:r>
        <w:rPr>
          <w:rFonts w:ascii="Times New Roman" w:hAnsi="Times New Roman" w:eastAsia="Times New Roman" w:cs="Times New Roman"/>
          <w:b/>
          <w:bCs/>
          <w:sz w:val="24"/>
          <w:szCs w:val="24"/>
        </w:rPr>
        <w:t xml:space="preserve">Tabla 5</w:t>
      </w:r>
      <w:r/>
    </w:p>
    <w:p>
      <w:pPr>
        <w:pBdr/>
        <w:spacing w:after="120"/>
        <w:ind/>
        <w:rPr/>
      </w:pPr>
      <w:r>
        <w:rPr>
          <w:rFonts w:ascii="Times New Roman" w:hAnsi="Times New Roman" w:eastAsia="Times New Roman" w:cs="Times New Roman"/>
          <w:i/>
          <w:iCs/>
          <w:sz w:val="24"/>
          <w:szCs w:val="24"/>
        </w:rPr>
        <w:t xml:space="preserve">Registro de partidas de Counter Strike 2 (Valve)</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700"/>
        <w:gridCol w:w="2400"/>
        <w:gridCol w:w="1560"/>
        <w:gridCol w:w="1600"/>
        <w:gridCol w:w="900"/>
        <w:gridCol w:w="900"/>
        <w:gridCol w:w="1300"/>
      </w:tblGrid>
      <w:tr>
        <w:trPr>
          <w:tblHeader/>
        </w:trPr>
        <w:tc>
          <w:tcPr>
            <w:shd w:val="clear" w:color="auto" w:fill="d9d9d9"/>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b/>
                <w:bCs/>
                <w:sz w:val="20"/>
                <w:szCs w:val="20"/>
              </w:rPr>
              <w:t xml:space="preserve">N°</w:t>
            </w:r>
            <w:r/>
          </w:p>
        </w:tc>
        <w:tc>
          <w:tcPr>
            <w:shd w:val="clear" w:color="auto" w:fill="d9d9d9"/>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b/>
                <w:bCs/>
                <w:sz w:val="20"/>
                <w:szCs w:val="20"/>
              </w:rPr>
              <w:t xml:space="preserve">CS Rating prom. eq. A / eq. B</w:t>
            </w:r>
            <w:r/>
          </w:p>
        </w:tc>
        <w:tc>
          <w:tcPr>
            <w:shd w:val="clear" w:color="auto" w:fill="d9d9d9"/>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b/>
                <w:bCs/>
                <w:sz w:val="20"/>
                <w:szCs w:val="20"/>
              </w:rPr>
              <w:t xml:space="preserve">Diferencia</w:t>
            </w:r>
            <w:r/>
          </w:p>
        </w:tc>
        <w:tc>
          <w:tcPr>
            <w:shd w:val="clear" w:color="auto" w:fill="d9d9d9"/>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b/>
                <w:bCs/>
                <w:sz w:val="20"/>
                <w:szCs w:val="20"/>
              </w:rPr>
              <w:t xml:space="preserve">Marcador</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C1</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C2</w:t>
            </w:r>
            <w:r/>
          </w:p>
        </w:tc>
        <w:tc>
          <w:tcPr>
            <w:shd w:val="clear" w:color="auto" w:fill="d9d9d9"/>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b/>
                <w:bCs/>
                <w:sz w:val="20"/>
                <w:szCs w:val="20"/>
              </w:rPr>
              <w:t xml:space="preserve">Clasif.</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14 800 / 15 100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300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13-11</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15 200 / 14 600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600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13-9</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16 400 / 13 900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2 500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13-4</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14 900 / 15 000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13-10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15 300 / 14 700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600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11-13</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14 500 / 16 200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1 700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6-13</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15 000 / 14 800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200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13-8</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14 700 / 15 400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700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13-12</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15 100 / 14 200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900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13-3</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sz w:val="20"/>
                <w:szCs w:val="20"/>
              </w:rPr>
              <w:t xml:space="preserve">14 600 / 15 000</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400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13-10</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B</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B = balanceada, NB = no balanceada. Datos de csstats.gg (2026). Total observado: k = 7 de 10.</w:t>
      </w:r>
      <w:r/>
    </w:p>
    <w:p>
      <w:pPr>
        <w:pBdr/>
        <w:spacing w:after="0" w:before="220"/>
        <w:ind/>
        <w:rPr/>
      </w:pPr>
      <w:r>
        <w:rPr>
          <w:rFonts w:ascii="Times New Roman" w:hAnsi="Times New Roman" w:eastAsia="Times New Roman" w:cs="Times New Roman"/>
          <w:b/>
          <w:bCs/>
          <w:sz w:val="24"/>
          <w:szCs w:val="24"/>
        </w:rPr>
        <w:t xml:space="preserve">Tabla 6</w:t>
      </w:r>
      <w:r/>
    </w:p>
    <w:p>
      <w:pPr>
        <w:pBdr/>
        <w:spacing w:after="120"/>
        <w:ind/>
        <w:rPr/>
      </w:pPr>
      <w:r>
        <w:rPr>
          <w:rFonts w:ascii="Times New Roman" w:hAnsi="Times New Roman" w:eastAsia="Times New Roman" w:cs="Times New Roman"/>
          <w:i/>
          <w:iCs/>
          <w:sz w:val="24"/>
          <w:szCs w:val="24"/>
        </w:rPr>
        <w:t xml:space="preserve">Registro de partidas de Marvel Rivals (NetEase)</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700"/>
        <w:gridCol w:w="3000"/>
        <w:gridCol w:w="2360"/>
        <w:gridCol w:w="900"/>
        <w:gridCol w:w="900"/>
        <w:gridCol w:w="1500"/>
      </w:tblGrid>
      <w:tr>
        <w:trPr>
          <w:tblHeader/>
        </w:trPr>
        <w:tc>
          <w:tcPr>
            <w:shd w:val="clear" w:color="auto" w:fill="d9d9d9"/>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b/>
                <w:bCs/>
                <w:sz w:val="20"/>
                <w:szCs w:val="20"/>
              </w:rPr>
              <w:t xml:space="preserve">N°</w:t>
            </w:r>
            <w:r/>
          </w:p>
        </w:tc>
        <w:tc>
          <w:tcPr>
            <w:shd w:val="clear" w:color="auto" w:fill="d9d9d9"/>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b/>
                <w:bCs/>
                <w:sz w:val="20"/>
                <w:szCs w:val="20"/>
              </w:rPr>
              <w:t xml:space="preserve">Rango prom. eq. A / eq. B</w:t>
            </w:r>
            <w:r/>
          </w:p>
        </w:tc>
        <w:tc>
          <w:tcPr>
            <w:shd w:val="clear" w:color="auto" w:fill="d9d9d9"/>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b/>
                <w:bCs/>
                <w:sz w:val="20"/>
                <w:szCs w:val="20"/>
              </w:rPr>
              <w:t xml:space="preserve">Marcador de la serie</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C1</w:t>
            </w:r>
            <w:r/>
          </w:p>
        </w:tc>
        <w:tc>
          <w:tcPr>
            <w:shd w:val="clear" w:color="auto" w:fill="d9d9d9"/>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b/>
                <w:bCs/>
                <w:sz w:val="20"/>
                <w:szCs w:val="20"/>
              </w:rPr>
              <w:t xml:space="preserve">C2</w:t>
            </w:r>
            <w:r/>
          </w:p>
        </w:tc>
        <w:tc>
          <w:tcPr>
            <w:shd w:val="clear" w:color="auto" w:fill="d9d9d9"/>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b/>
                <w:bCs/>
                <w:sz w:val="20"/>
                <w:szCs w:val="20"/>
              </w:rPr>
              <w:t xml:space="preserve">Clasif.</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III / Platino 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2-1</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 / Oro 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2-0 sin disputa</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III / Platino III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1-2</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 / Platino 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2-0 disputado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 / Diamante III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0-2 sin disputa</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III / Platino 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2-1</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 / Platino 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2-0 sin disputa</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 / Platino 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1-2</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III / Oro 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2-0 sin disputa</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No</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NB</w:t>
            </w:r>
            <w:r/>
          </w:p>
        </w:tc>
      </w:tr>
      <w:tr>
        <w:trPr/>
        <w:tc>
          <w:tcPr>
            <w:tcBorders/>
            <w:tcMar>
              <w:left w:w="90" w:type="dxa"/>
              <w:top w:w="60" w:type="dxa"/>
              <w:right w:w="90" w:type="dxa"/>
              <w:bottom w:w="60" w:type="dxa"/>
            </w:tcMar>
            <w:tcW w:w="7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3000" w:type="dxa"/>
          </w:tcPr>
          <w:p>
            <w:pPr>
              <w:pBdr/>
              <w:spacing w:after="0" w:line="240" w:lineRule="auto"/>
              <w:ind/>
              <w:jc w:val="center"/>
              <w:rPr/>
            </w:pPr>
            <w:r>
              <w:rPr>
                <w:rFonts w:ascii="Times New Roman" w:hAnsi="Times New Roman" w:eastAsia="Times New Roman" w:cs="Times New Roman"/>
                <w:sz w:val="20"/>
                <w:szCs w:val="20"/>
              </w:rPr>
              <w:t xml:space="preserve">Platino II / Platino III</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2-1</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900" w:type="dxa"/>
          </w:tcPr>
          <w:p>
            <w:pPr>
              <w:pBdr/>
              <w:spacing w:after="0" w:line="240" w:lineRule="auto"/>
              <w:ind/>
              <w:jc w:val="center"/>
              <w:rPr/>
            </w:pPr>
            <w:r>
              <w:rPr>
                <w:rFonts w:ascii="Times New Roman" w:hAnsi="Times New Roman" w:eastAsia="Times New Roman" w:cs="Times New Roman"/>
                <w:sz w:val="20"/>
                <w:szCs w:val="20"/>
              </w:rPr>
              <w:t xml:space="preserve">Sí</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B</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B = balanceada, NB = no balanceada. Datos de OP.GG (2026b). Total observado: k = 6 de 10.</w:t>
      </w:r>
      <w:r/>
    </w:p>
    <w:p>
      <w:pPr>
        <w:pStyle w:val="713"/>
        <w:pBdr/>
        <w:spacing w:after="140" w:before="240"/>
        <w:ind/>
        <w:rPr/>
      </w:pPr>
      <w:r>
        <w:rPr>
          <w:rFonts w:ascii="Times New Roman" w:hAnsi="Times New Roman" w:eastAsia="Times New Roman" w:cs="Times New Roman"/>
          <w:b/>
          <w:bCs/>
          <w:color w:val="000000"/>
          <w:sz w:val="24"/>
          <w:szCs w:val="24"/>
        </w:rPr>
        <w:t xml:space="preserve">3.4 Estimación del parámetro p</w:t>
      </w:r>
      <w:r/>
    </w:p>
    <w:p>
      <w:pPr>
        <w:pBdr/>
        <w:spacing w:after="160" w:line="300" w:lineRule="auto"/>
        <w:ind/>
        <w:jc w:val="both"/>
        <w:rPr/>
      </w:pPr>
      <w:r>
        <w:rPr>
          <w:rFonts w:ascii="Times New Roman" w:hAnsi="Times New Roman" w:eastAsia="Times New Roman" w:cs="Times New Roman"/>
          <w:sz w:val="24"/>
          <w:szCs w:val="24"/>
        </w:rPr>
        <w:t xml:space="preserve">El parámetro se estima directamente a partir de lo observado, mediante el estimador de máxima verosimilitud de una proporción binomial, que es la proporción muestral de éxitos:</w:t>
      </w:r>
      <w:r/>
    </w:p>
    <w:p>
      <w:pPr>
        <w:pBdr/>
        <w:spacing w:after="160" w:line="300" w:lineRule="auto"/>
        <w:ind/>
        <w:jc w:val="center"/>
        <w:rPr/>
      </w:pPr>
      <w:r>
        <w:rPr>
          <w:rFonts w:ascii="Times New Roman" w:hAnsi="Times New Roman" w:eastAsia="Times New Roman" w:cs="Times New Roman"/>
          <w:b/>
          <w:bCs/>
          <w:sz w:val="24"/>
          <w:szCs w:val="24"/>
        </w:rPr>
        <w:t xml:space="preserve">p̂  =  k / n</w:t>
      </w:r>
      <w:r/>
    </w:p>
    <w:p>
      <w:pPr>
        <w:pBdr/>
        <w:spacing w:after="160" w:line="300" w:lineRule="auto"/>
        <w:ind/>
        <w:jc w:val="both"/>
        <w:rPr/>
      </w:pPr>
      <w:r>
        <w:rPr>
          <w:rFonts w:ascii="Times New Roman" w:hAnsi="Times New Roman" w:eastAsia="Times New Roman" w:cs="Times New Roman"/>
          <w:sz w:val="24"/>
          <w:szCs w:val="24"/>
        </w:rPr>
        <w:t xml:space="preserve">Se descarta de forma deliber</w:t>
      </w:r>
      <w:r>
        <w:rPr>
          <w:rFonts w:ascii="Times New Roman" w:hAnsi="Times New Roman" w:eastAsia="Times New Roman" w:cs="Times New Roman"/>
          <w:sz w:val="24"/>
          <w:szCs w:val="24"/>
        </w:rPr>
        <w:t xml:space="preserve">ada cualquier ajuste que incorpore un valor externo dentro de la estimación. La razón es metodológica: la investigación busca verificar si las empresas alcanzan un nivel de balance de referencia, de modo que ese nivel debe permanecer fuera del cálculo del </w:t>
      </w:r>
      <w:r>
        <w:rPr>
          <w:rFonts w:ascii="Times New Roman" w:hAnsi="Times New Roman" w:eastAsia="Times New Roman" w:cs="Times New Roman"/>
          <w:sz w:val="24"/>
          <w:szCs w:val="24"/>
        </w:rPr>
        <w:t xml:space="preserve">parámetro para poder contrastarse contra él. Incorporarlo como insumo haría circular el razonamiento, porque parte de la respuesta entraría como ingrediente de la respuesta. El nivel de referencia se emplea en cambio como hipótesis nula en el apartado 5.3.</w:t>
      </w:r>
      <w:r/>
    </w:p>
    <w:p>
      <w:pPr>
        <w:pBdr/>
        <w:spacing w:after="0" w:before="220"/>
        <w:ind/>
        <w:rPr/>
      </w:pPr>
      <w:r>
        <w:rPr>
          <w:rFonts w:ascii="Times New Roman" w:hAnsi="Times New Roman" w:eastAsia="Times New Roman" w:cs="Times New Roman"/>
          <w:b/>
          <w:bCs/>
          <w:sz w:val="24"/>
          <w:szCs w:val="24"/>
        </w:rPr>
        <w:t xml:space="preserve">Tabla 7</w:t>
      </w:r>
      <w:r/>
    </w:p>
    <w:p>
      <w:pPr>
        <w:pBdr/>
        <w:spacing w:after="120"/>
        <w:ind/>
        <w:rPr/>
      </w:pPr>
      <w:r>
        <w:rPr>
          <w:rFonts w:ascii="Times New Roman" w:hAnsi="Times New Roman" w:eastAsia="Times New Roman" w:cs="Times New Roman"/>
          <w:i/>
          <w:iCs/>
          <w:sz w:val="24"/>
          <w:szCs w:val="24"/>
        </w:rPr>
        <w:t xml:space="preserve">Parámetro estimado por empresa</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2400"/>
        <w:gridCol w:w="1800"/>
        <w:gridCol w:w="1800"/>
        <w:gridCol w:w="3360"/>
      </w:tblGrid>
      <w:tr>
        <w:trPr>
          <w:tblHeader/>
        </w:trPr>
        <w:tc>
          <w:tcPr>
            <w:shd w:val="clear" w:color="auto" w:fill="d9d9d9"/>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b/>
                <w:bCs/>
                <w:sz w:val="20"/>
                <w:szCs w:val="20"/>
              </w:rPr>
              <w:t xml:space="preserve">Empresa</w:t>
            </w:r>
            <w:r/>
          </w:p>
        </w:tc>
        <w:tc>
          <w:tcPr>
            <w:shd w:val="clear" w:color="auto" w:fill="d9d9d9"/>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b/>
                <w:bCs/>
                <w:sz w:val="20"/>
                <w:szCs w:val="20"/>
              </w:rPr>
              <w:t xml:space="preserve">k observado</w:t>
            </w:r>
            <w:r/>
          </w:p>
        </w:tc>
        <w:tc>
          <w:tcPr>
            <w:shd w:val="clear" w:color="auto" w:fill="d9d9d9"/>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b/>
                <w:bCs/>
                <w:sz w:val="20"/>
                <w:szCs w:val="20"/>
              </w:rPr>
              <w:t xml:space="preserve">p̂ = k / n</w:t>
            </w:r>
            <w:r/>
          </w:p>
        </w:tc>
        <w:tc>
          <w:tcPr>
            <w:shd w:val="clear" w:color="auto" w:fill="d9d9d9"/>
            <w:tcBorders/>
            <w:tcMar>
              <w:left w:w="90" w:type="dxa"/>
              <w:top w:w="60" w:type="dxa"/>
              <w:right w:w="90" w:type="dxa"/>
              <w:bottom w:w="60" w:type="dxa"/>
            </w:tcMar>
            <w:tcW w:w="3360" w:type="dxa"/>
          </w:tcPr>
          <w:p>
            <w:pPr>
              <w:pBdr/>
              <w:spacing w:after="0" w:line="240" w:lineRule="auto"/>
              <w:ind/>
              <w:jc w:val="center"/>
              <w:rPr/>
            </w:pPr>
            <w:r>
              <w:rPr>
                <w:rFonts w:ascii="Times New Roman" w:hAnsi="Times New Roman" w:eastAsia="Times New Roman" w:cs="Times New Roman"/>
                <w:b/>
                <w:bCs/>
                <w:sz w:val="20"/>
                <w:szCs w:val="20"/>
              </w:rPr>
              <w:t xml:space="preserve">Modelo resultante</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Riot Games</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8 de 10</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0,80</w:t>
            </w:r>
            <w:r/>
          </w:p>
        </w:tc>
        <w:tc>
          <w:tcPr>
            <w:tcBorders/>
            <w:tcMar>
              <w:left w:w="90" w:type="dxa"/>
              <w:top w:w="60" w:type="dxa"/>
              <w:right w:w="90" w:type="dxa"/>
              <w:bottom w:w="60" w:type="dxa"/>
            </w:tcMar>
            <w:tcW w:w="3360" w:type="dxa"/>
          </w:tcPr>
          <w:p>
            <w:pPr>
              <w:pBdr/>
              <w:spacing w:after="0" w:line="240" w:lineRule="auto"/>
              <w:ind/>
              <w:jc w:val="center"/>
              <w:rPr/>
            </w:pPr>
            <w:r>
              <w:rPr>
                <w:rFonts w:ascii="Times New Roman" w:hAnsi="Times New Roman" w:eastAsia="Times New Roman" w:cs="Times New Roman"/>
                <w:sz w:val="20"/>
                <w:szCs w:val="20"/>
              </w:rPr>
              <w:t xml:space="preserve">X₁ ~ Binomial(10; 0,80)</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Valve</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7 de 10</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0,70</w:t>
            </w:r>
            <w:r/>
          </w:p>
        </w:tc>
        <w:tc>
          <w:tcPr>
            <w:tcBorders/>
            <w:tcMar>
              <w:left w:w="90" w:type="dxa"/>
              <w:top w:w="60" w:type="dxa"/>
              <w:right w:w="90" w:type="dxa"/>
              <w:bottom w:w="60" w:type="dxa"/>
            </w:tcMar>
            <w:tcW w:w="3360" w:type="dxa"/>
          </w:tcPr>
          <w:p>
            <w:pPr>
              <w:pBdr/>
              <w:spacing w:after="0" w:line="240" w:lineRule="auto"/>
              <w:ind/>
              <w:jc w:val="center"/>
              <w:rPr/>
            </w:pPr>
            <w:r>
              <w:rPr>
                <w:rFonts w:ascii="Times New Roman" w:hAnsi="Times New Roman" w:eastAsia="Times New Roman" w:cs="Times New Roman"/>
                <w:sz w:val="20"/>
                <w:szCs w:val="20"/>
              </w:rPr>
              <w:t xml:space="preserve">X₂ ~ Binomial(10; 0,70)</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NetEase</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6 de 10</w:t>
            </w:r>
            <w:r/>
          </w:p>
        </w:tc>
        <w:tc>
          <w:tcPr>
            <w:tcBorders/>
            <w:tcMar>
              <w:left w:w="90" w:type="dxa"/>
              <w:top w:w="60" w:type="dxa"/>
              <w:right w:w="90" w:type="dxa"/>
              <w:bottom w:w="60" w:type="dxa"/>
            </w:tcMar>
            <w:tcW w:w="1800" w:type="dxa"/>
          </w:tcPr>
          <w:p>
            <w:pPr>
              <w:pBdr/>
              <w:spacing w:after="0" w:line="240" w:lineRule="auto"/>
              <w:ind/>
              <w:jc w:val="center"/>
              <w:rPr/>
            </w:pPr>
            <w:r>
              <w:rPr>
                <w:rFonts w:ascii="Times New Roman" w:hAnsi="Times New Roman" w:eastAsia="Times New Roman" w:cs="Times New Roman"/>
                <w:sz w:val="20"/>
                <w:szCs w:val="20"/>
              </w:rPr>
              <w:t xml:space="preserve">0,60</w:t>
            </w:r>
            <w:r/>
          </w:p>
        </w:tc>
        <w:tc>
          <w:tcPr>
            <w:tcBorders/>
            <w:tcMar>
              <w:left w:w="90" w:type="dxa"/>
              <w:top w:w="60" w:type="dxa"/>
              <w:right w:w="90" w:type="dxa"/>
              <w:bottom w:w="60" w:type="dxa"/>
            </w:tcMar>
            <w:tcW w:w="3360" w:type="dxa"/>
          </w:tcPr>
          <w:p>
            <w:pPr>
              <w:pBdr/>
              <w:spacing w:after="0" w:line="240" w:lineRule="auto"/>
              <w:ind/>
              <w:jc w:val="center"/>
              <w:rPr/>
            </w:pPr>
            <w:r>
              <w:rPr>
                <w:rFonts w:ascii="Times New Roman" w:hAnsi="Times New Roman" w:eastAsia="Times New Roman" w:cs="Times New Roman"/>
                <w:sz w:val="20"/>
                <w:szCs w:val="20"/>
              </w:rPr>
              <w:t xml:space="preserve">X₃ ~ Binomial(10; 0,60)</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La incertidumbre asociada a estos estimadores se cuantifica mediante intervalos de confianza en el apartado 5.4.</w:t>
      </w:r>
      <w:r/>
    </w:p>
    <w:p>
      <w:pPr>
        <w:pStyle w:val="712"/>
        <w:pBdr/>
        <w:spacing w:after="180" w:before="340"/>
        <w:ind/>
        <w:rPr/>
      </w:pPr>
      <w:r>
        <w:rPr>
          <w:rFonts w:ascii="Times New Roman" w:hAnsi="Times New Roman" w:eastAsia="Times New Roman" w:cs="Times New Roman"/>
          <w:b/>
          <w:bCs/>
          <w:color w:val="000000"/>
          <w:sz w:val="28"/>
          <w:szCs w:val="28"/>
        </w:rPr>
        <w:t xml:space="preserve">4. Procesamiento de la información</w:t>
      </w:r>
      <w:r/>
    </w:p>
    <w:p>
      <w:pPr>
        <w:pBdr/>
        <w:spacing w:after="160" w:line="300" w:lineRule="auto"/>
        <w:ind/>
        <w:jc w:val="both"/>
        <w:rPr/>
      </w:pPr>
      <w:r>
        <w:rPr>
          <w:rFonts w:ascii="Times New Roman" w:hAnsi="Times New Roman" w:eastAsia="Times New Roman" w:cs="Times New Roman"/>
          <w:sz w:val="24"/>
          <w:szCs w:val="24"/>
        </w:rPr>
        <w:t xml:space="preserve">Para complementar los registros con la percepción de los jugadores se aplicó un cuestionario en Googl</w:t>
      </w:r>
      <w:r>
        <w:rPr>
          <w:rFonts w:ascii="Times New Roman" w:hAnsi="Times New Roman" w:eastAsia="Times New Roman" w:cs="Times New Roman"/>
          <w:sz w:val="24"/>
          <w:szCs w:val="24"/>
        </w:rPr>
        <w:t xml:space="preserve">e Forms de catorce preguntas, distribuidas entre los tres tipos exigidos por la metodología del curso: cinco cerradas, siete de opción múltiple y dos abiertas. La pregunta 5 es la más importante del instrumento, porque replica exactamente la estructura del</w:t>
      </w:r>
      <w:r>
        <w:rPr>
          <w:rFonts w:ascii="Times New Roman" w:hAnsi="Times New Roman" w:eastAsia="Times New Roman" w:cs="Times New Roman"/>
          <w:sz w:val="24"/>
          <w:szCs w:val="24"/>
        </w:rPr>
        <w:t xml:space="preserve"> experimento binomial: al preguntar cuántas de las últimas diez partidas competitivas resultaron equilibradas, devuelve directamente un valor kᵢ por participante con el mismo n = 10 del trabajo de campo. La pregunta 6 funciona como control de consistencia.</w:t>
      </w:r>
      <w:r/>
    </w:p>
    <w:p>
      <w:pPr>
        <w:pBdr/>
        <w:spacing w:after="0" w:before="220"/>
        <w:ind/>
        <w:rPr/>
      </w:pPr>
      <w:r>
        <w:rPr>
          <w:rFonts w:ascii="Times New Roman" w:hAnsi="Times New Roman" w:eastAsia="Times New Roman" w:cs="Times New Roman"/>
          <w:b/>
          <w:bCs/>
          <w:sz w:val="24"/>
          <w:szCs w:val="24"/>
        </w:rPr>
        <w:t xml:space="preserve">Tabla 8</w:t>
      </w:r>
      <w:r/>
    </w:p>
    <w:p>
      <w:pPr>
        <w:pBdr/>
        <w:spacing w:after="120"/>
        <w:ind/>
        <w:rPr/>
      </w:pPr>
      <w:r>
        <w:rPr>
          <w:rFonts w:ascii="Times New Roman" w:hAnsi="Times New Roman" w:eastAsia="Times New Roman" w:cs="Times New Roman"/>
          <w:i/>
          <w:iCs/>
          <w:sz w:val="24"/>
          <w:szCs w:val="24"/>
        </w:rPr>
        <w:t xml:space="preserve">Estructura del cuestionario aplicado en Google Forms</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620"/>
        <w:gridCol w:w="5100"/>
        <w:gridCol w:w="1640"/>
        <w:gridCol w:w="2000"/>
      </w:tblGrid>
      <w:tr>
        <w:trPr>
          <w:tblHeader/>
        </w:trPr>
        <w:tc>
          <w:tcPr>
            <w:shd w:val="clear" w:color="auto" w:fill="d9d9d9"/>
            <w:tcBorders/>
            <w:tcMar>
              <w:left w:w="90" w:type="dxa"/>
              <w:top w:w="60" w:type="dxa"/>
              <w:right w:w="90" w:type="dxa"/>
              <w:bottom w:w="60" w:type="dxa"/>
            </w:tcMar>
            <w:tcW w:w="620" w:type="dxa"/>
          </w:tcPr>
          <w:p>
            <w:pPr>
              <w:pBdr/>
              <w:spacing w:after="0" w:line="240" w:lineRule="auto"/>
              <w:ind/>
              <w:jc w:val="center"/>
              <w:rPr/>
            </w:pPr>
            <w:r>
              <w:rPr>
                <w:rFonts w:ascii="Times New Roman" w:hAnsi="Times New Roman" w:eastAsia="Times New Roman" w:cs="Times New Roman"/>
                <w:b/>
                <w:bCs/>
                <w:sz w:val="20"/>
                <w:szCs w:val="20"/>
              </w:rPr>
              <w:t xml:space="preserve">N°</w:t>
            </w:r>
            <w:r/>
          </w:p>
        </w:tc>
        <w:tc>
          <w:tcPr>
            <w:shd w:val="clear" w:color="auto" w:fill="d9d9d9"/>
            <w:tcBorders/>
            <w:tcMar>
              <w:left w:w="90" w:type="dxa"/>
              <w:top w:w="60" w:type="dxa"/>
              <w:right w:w="90" w:type="dxa"/>
              <w:bottom w:w="60" w:type="dxa"/>
            </w:tcMar>
            <w:tcW w:w="5100" w:type="dxa"/>
          </w:tcPr>
          <w:p>
            <w:pPr>
              <w:pBdr/>
              <w:spacing w:after="0" w:line="240" w:lineRule="auto"/>
              <w:ind/>
              <w:jc w:val="center"/>
              <w:rPr/>
            </w:pPr>
            <w:r>
              <w:rPr>
                <w:rFonts w:ascii="Times New Roman" w:hAnsi="Times New Roman" w:eastAsia="Times New Roman" w:cs="Times New Roman"/>
                <w:b/>
                <w:bCs/>
                <w:sz w:val="20"/>
                <w:szCs w:val="20"/>
              </w:rPr>
              <w:t xml:space="preserve">Pregunta</w:t>
            </w:r>
            <w:r/>
          </w:p>
        </w:tc>
        <w:tc>
          <w:tcPr>
            <w:shd w:val="clear" w:color="auto" w:fill="d9d9d9"/>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b/>
                <w:bCs/>
                <w:sz w:val="20"/>
                <w:szCs w:val="20"/>
              </w:rPr>
              <w:t xml:space="preserve">Tipo</w:t>
            </w:r>
            <w:r/>
          </w:p>
        </w:tc>
        <w:tc>
          <w:tcPr>
            <w:shd w:val="clear" w:color="auto" w:fill="d9d9d9"/>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b/>
                <w:bCs/>
                <w:sz w:val="20"/>
                <w:szCs w:val="20"/>
              </w:rPr>
              <w:t xml:space="preserve">Uso en el análisis</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¿Ha jugado partidas competitivas en los últimos tres meses?</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Cerrada (Sí / No)</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Filtro de depuración</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¿En cuál título juega con mayor frecuencia? (LoL / CS2 / Marvel Rivals)</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Separación por empresa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¿Cuántas horas semanales dedica al modo competitivo? (menos de 2 / 2 a 5 / 6 a 10 / más de 10)</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Caracterización de la muestra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¿En qué rango se ubica actualmente? (bajos / intermedios / altos / superiores)</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Verificación del segmento</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De sus últimas 10 partidas, ¿cuántas considera que estuvieron equilibradas? (0 a 10)</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Valor kᵢ para estimar p percibido</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De esas mismas 10, ¿cuántas se decidieron de forma unilateral? (0 a 10)</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Control de consistencia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¿Considera confiable el sistema de emparejamiento de ese título?</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Cerrada (Sí / No)</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Confiabilidad percibida global</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¿Ha notado diferencias de nivel evidentes dentro de una misma partida?</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Cerrada (Sí / No)</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Contraste con el criterio C1</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¿Qué pesa más para considerar equilibrada una partida? (rango / marcador / duración / desempeño)</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Validación del criterio 3.2</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¿Cree que el sistema toma en cuenta algo distinto de la habilidad al emparejar?</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Cerrada (Sí / No)</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Percepción de EOMM</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11</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¿Con qué frecuencia percibe rachas de derrotas? (nunca / rara vez / a veces / frecuentemente)</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Opción múltiple</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Indicio sobre la independencia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12</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¿Esperaría más tiempo en cola a cambio de una partida más equilibrada?</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Cerrada (Sí / No)</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Compromiso balance y espera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13</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Describa una partida reciente que le pareció desequilibrada y explique por qué.</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Abierta</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Codificación temática</w:t>
            </w:r>
            <w:r/>
          </w:p>
        </w:tc>
      </w:tr>
      <w:tr>
        <w:trPr/>
        <w:tc>
          <w:tcPr>
            <w:tcBorders/>
            <w:tcMar>
              <w:left w:w="90" w:type="dxa"/>
              <w:top w:w="60" w:type="dxa"/>
              <w:right w:w="90" w:type="dxa"/>
              <w:bottom w:w="60" w:type="dxa"/>
            </w:tcMar>
            <w:tcW w:w="620" w:type="dxa"/>
          </w:tcPr>
          <w:p>
            <w:pPr>
              <w:pBdr/>
              <w:spacing w:after="0" w:line="240" w:lineRule="auto"/>
              <w:ind/>
              <w:jc w:val="left"/>
              <w:rPr/>
            </w:pPr>
            <w:r>
              <w:rPr>
                <w:rFonts w:ascii="Times New Roman" w:hAnsi="Times New Roman" w:eastAsia="Times New Roman" w:cs="Times New Roman"/>
                <w:sz w:val="20"/>
                <w:szCs w:val="20"/>
              </w:rPr>
              <w:t xml:space="preserve">14</w:t>
            </w:r>
            <w:r/>
          </w:p>
        </w:tc>
        <w:tc>
          <w:tcPr>
            <w:tcBorders/>
            <w:tcMar>
              <w:left w:w="90" w:type="dxa"/>
              <w:top w:w="60" w:type="dxa"/>
              <w:right w:w="90" w:type="dxa"/>
              <w:bottom w:w="60" w:type="dxa"/>
            </w:tcMar>
            <w:tcW w:w="5100" w:type="dxa"/>
          </w:tcPr>
          <w:p>
            <w:pPr>
              <w:pBdr/>
              <w:spacing w:after="0" w:line="240" w:lineRule="auto"/>
              <w:ind/>
              <w:jc w:val="left"/>
              <w:rPr/>
            </w:pPr>
            <w:r>
              <w:rPr>
                <w:rFonts w:ascii="Times New Roman" w:hAnsi="Times New Roman" w:eastAsia="Times New Roman" w:cs="Times New Roman"/>
                <w:sz w:val="20"/>
                <w:szCs w:val="20"/>
              </w:rPr>
              <w:t xml:space="preserve">¿Qué cambiaría del sistema de emparejamiento del título que juega?</w:t>
            </w:r>
            <w:r/>
          </w:p>
        </w:tc>
        <w:tc>
          <w:tcPr>
            <w:tcBorders/>
            <w:tcMar>
              <w:left w:w="90" w:type="dxa"/>
              <w:top w:w="60" w:type="dxa"/>
              <w:right w:w="90" w:type="dxa"/>
              <w:bottom w:w="60" w:type="dxa"/>
            </w:tcMar>
            <w:tcW w:w="1640" w:type="dxa"/>
          </w:tcPr>
          <w:p>
            <w:pPr>
              <w:pBdr/>
              <w:spacing w:after="0" w:line="240" w:lineRule="auto"/>
              <w:ind/>
              <w:jc w:val="center"/>
              <w:rPr/>
            </w:pPr>
            <w:r>
              <w:rPr>
                <w:rFonts w:ascii="Times New Roman" w:hAnsi="Times New Roman" w:eastAsia="Times New Roman" w:cs="Times New Roman"/>
                <w:sz w:val="20"/>
                <w:szCs w:val="20"/>
              </w:rPr>
              <w:t xml:space="preserve">Abierta</w:t>
            </w:r>
            <w:r/>
          </w:p>
        </w:tc>
        <w:tc>
          <w:tcPr>
            <w:tcBorders/>
            <w:tcMar>
              <w:left w:w="90" w:type="dxa"/>
              <w:top w:w="60" w:type="dxa"/>
              <w:right w:w="90" w:type="dxa"/>
              <w:bottom w:w="60" w:type="dxa"/>
            </w:tcMar>
            <w:tcW w:w="2000" w:type="dxa"/>
          </w:tcPr>
          <w:p>
            <w:pPr>
              <w:pBdr/>
              <w:spacing w:after="0" w:line="240" w:lineRule="auto"/>
              <w:ind/>
              <w:jc w:val="center"/>
              <w:rPr/>
            </w:pPr>
            <w:r>
              <w:rPr>
                <w:rFonts w:ascii="Times New Roman" w:hAnsi="Times New Roman" w:eastAsia="Times New Roman" w:cs="Times New Roman"/>
                <w:sz w:val="20"/>
                <w:szCs w:val="20"/>
              </w:rPr>
              <w:t xml:space="preserve">Codificación y recomendaciones</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w:t>
      </w:r>
      <w:r/>
    </w:p>
    <w:p>
      <w:pPr>
        <w:pBdr/>
        <w:spacing w:after="160" w:line="300" w:lineRule="auto"/>
        <w:ind/>
        <w:jc w:val="both"/>
        <w:rPr/>
      </w:pPr>
      <w:r>
        <w:rPr>
          <w:rFonts w:ascii="Times New Roman" w:hAnsi="Times New Roman" w:eastAsia="Times New Roman" w:cs="Times New Roman"/>
          <w:sz w:val="24"/>
          <w:szCs w:val="24"/>
        </w:rPr>
        <w:t xml:space="preserve">Las respuestas se exportan en formato CSV y se procesan en cuatro pasos: se depuran las respuestas incompletas y las de quienes respondan No a la pregunta 1, se separan por empresa según la pregunta 2, se calcula el </w:t>
      </w:r>
      <w:r>
        <w:rPr>
          <w:rFonts w:ascii="Times New Roman" w:hAnsi="Times New Roman" w:eastAsia="Times New Roman" w:cs="Times New Roman"/>
          <w:sz w:val="24"/>
          <w:szCs w:val="24"/>
        </w:rPr>
        <w:t xml:space="preserve">estimador de la proporción percibida mediante p̂ = (Σ kᵢ) / (10 · m), donde m es el número de participantes de esa empresa, y se contrasta ese valor con el parámetro estimado en el apartado 3.4. Las preguntas abiertas se procesan por codificación temática.</w:t>
      </w:r>
      <w:r/>
    </w:p>
    <w:p>
      <w:pPr>
        <w:pBdr/>
        <w:spacing w:after="0" w:before="220"/>
        <w:ind/>
        <w:rPr/>
      </w:pPr>
      <w:r>
        <w:rPr>
          <w:rFonts w:ascii="Times New Roman" w:hAnsi="Times New Roman" w:eastAsia="Times New Roman" w:cs="Times New Roman"/>
          <w:b/>
          <w:bCs/>
          <w:sz w:val="24"/>
          <w:szCs w:val="24"/>
        </w:rPr>
        <w:t xml:space="preserve">Tabla 9</w:t>
      </w:r>
      <w:r/>
    </w:p>
    <w:p>
      <w:pPr>
        <w:pBdr/>
        <w:spacing w:after="120"/>
        <w:ind/>
        <w:rPr/>
      </w:pPr>
      <w:r>
        <w:rPr>
          <w:rFonts w:ascii="Times New Roman" w:hAnsi="Times New Roman" w:eastAsia="Times New Roman" w:cs="Times New Roman"/>
          <w:i/>
          <w:iCs/>
          <w:sz w:val="24"/>
          <w:szCs w:val="24"/>
        </w:rPr>
        <w:t xml:space="preserve">Contraste entre el parámetro observado y el percibido</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900"/>
        <w:gridCol w:w="1500"/>
        <w:gridCol w:w="1400"/>
        <w:gridCol w:w="1400"/>
        <w:gridCol w:w="1400"/>
        <w:gridCol w:w="1760"/>
      </w:tblGrid>
      <w:tr>
        <w:trPr>
          <w:tblHeader/>
        </w:trPr>
        <w:tc>
          <w:tcPr>
            <w:shd w:val="clear" w:color="auto" w:fill="d9d9d9"/>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b/>
                <w:bCs/>
                <w:sz w:val="20"/>
                <w:szCs w:val="20"/>
              </w:rPr>
              <w:t xml:space="preserve">Empresa</w:t>
            </w:r>
            <w:r/>
          </w:p>
        </w:tc>
        <w:tc>
          <w:tcPr>
            <w:shd w:val="clear" w:color="auto" w:fill="d9d9d9"/>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b/>
                <w:bCs/>
                <w:sz w:val="20"/>
                <w:szCs w:val="20"/>
              </w:rPr>
              <w:t xml:space="preserve">Participantes (m)</w:t>
            </w:r>
            <w:r/>
          </w:p>
        </w:tc>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Σ kᵢ</w:t>
            </w:r>
            <w:r/>
          </w:p>
        </w:tc>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p̂ percibido</w:t>
            </w:r>
            <w:r/>
          </w:p>
        </w:tc>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p̂ observado</w:t>
            </w:r>
            <w:r/>
          </w:p>
        </w:tc>
        <w:tc>
          <w:tcPr>
            <w:shd w:val="clear" w:color="auto" w:fill="d9d9d9"/>
            <w:tcBorders/>
            <w:tcMar>
              <w:left w:w="90" w:type="dxa"/>
              <w:top w:w="60" w:type="dxa"/>
              <w:right w:w="90" w:type="dxa"/>
              <w:bottom w:w="60" w:type="dxa"/>
            </w:tcMar>
            <w:tcW w:w="1760" w:type="dxa"/>
          </w:tcPr>
          <w:p>
            <w:pPr>
              <w:pBdr/>
              <w:spacing w:after="0" w:line="240" w:lineRule="auto"/>
              <w:ind/>
              <w:jc w:val="center"/>
              <w:rPr/>
            </w:pPr>
            <w:r>
              <w:rPr>
                <w:rFonts w:ascii="Times New Roman" w:hAnsi="Times New Roman" w:eastAsia="Times New Roman" w:cs="Times New Roman"/>
                <w:b/>
                <w:bCs/>
                <w:sz w:val="20"/>
                <w:szCs w:val="20"/>
              </w:rPr>
              <w:t xml:space="preserve">Brecha</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Riot Games</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12</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88</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0,733</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0,80</w:t>
            </w:r>
            <w:r/>
          </w:p>
        </w:tc>
        <w:tc>
          <w:tcPr>
            <w:tcBorders/>
            <w:tcMar>
              <w:left w:w="90" w:type="dxa"/>
              <w:top w:w="60" w:type="dxa"/>
              <w:right w:w="90" w:type="dxa"/>
              <w:bottom w:w="60" w:type="dxa"/>
            </w:tcMar>
            <w:tcW w:w="1760" w:type="dxa"/>
          </w:tcPr>
          <w:p>
            <w:pPr>
              <w:pBdr/>
              <w:spacing w:after="0" w:line="240" w:lineRule="auto"/>
              <w:ind/>
              <w:jc w:val="center"/>
              <w:rPr/>
            </w:pPr>
            <w:r>
              <w:rPr>
                <w:rFonts w:ascii="Times New Roman" w:hAnsi="Times New Roman" w:eastAsia="Times New Roman" w:cs="Times New Roman"/>
                <w:sz w:val="20"/>
                <w:szCs w:val="20"/>
              </w:rPr>
              <w:t xml:space="preserve">−0,067</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Valve</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66</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0,660</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0,70</w:t>
            </w:r>
            <w:r/>
          </w:p>
        </w:tc>
        <w:tc>
          <w:tcPr>
            <w:tcBorders/>
            <w:tcMar>
              <w:left w:w="90" w:type="dxa"/>
              <w:top w:w="60" w:type="dxa"/>
              <w:right w:w="90" w:type="dxa"/>
              <w:bottom w:w="60" w:type="dxa"/>
            </w:tcMar>
            <w:tcW w:w="1760" w:type="dxa"/>
          </w:tcPr>
          <w:p>
            <w:pPr>
              <w:pBdr/>
              <w:spacing w:after="0" w:line="240" w:lineRule="auto"/>
              <w:ind/>
              <w:jc w:val="center"/>
              <w:rPr/>
            </w:pPr>
            <w:r>
              <w:rPr>
                <w:rFonts w:ascii="Times New Roman" w:hAnsi="Times New Roman" w:eastAsia="Times New Roman" w:cs="Times New Roman"/>
                <w:sz w:val="20"/>
                <w:szCs w:val="20"/>
              </w:rPr>
              <w:t xml:space="preserve">−0,040</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NetEase</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48</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0,600</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0,60</w:t>
            </w:r>
            <w:r/>
          </w:p>
        </w:tc>
        <w:tc>
          <w:tcPr>
            <w:tcBorders/>
            <w:tcMar>
              <w:left w:w="90" w:type="dxa"/>
              <w:top w:w="60" w:type="dxa"/>
              <w:right w:w="90" w:type="dxa"/>
              <w:bottom w:w="60" w:type="dxa"/>
            </w:tcMar>
            <w:tcW w:w="1760" w:type="dxa"/>
          </w:tcPr>
          <w:p>
            <w:pPr>
              <w:pBdr/>
              <w:spacing w:after="0" w:line="240" w:lineRule="auto"/>
              <w:ind/>
              <w:jc w:val="center"/>
              <w:rPr/>
            </w:pPr>
            <w:r>
              <w:rPr>
                <w:rFonts w:ascii="Times New Roman" w:hAnsi="Times New Roman" w:eastAsia="Times New Roman" w:cs="Times New Roman"/>
                <w:sz w:val="20"/>
                <w:szCs w:val="20"/>
              </w:rPr>
              <w:t xml:space="preserve">0,000</w:t>
            </w:r>
            <w:r/>
          </w:p>
        </w:tc>
      </w:tr>
      <w:tr>
        <w:trPr/>
        <w:tc>
          <w:tcPr>
            <w:tcBorders/>
            <w:tcMar>
              <w:left w:w="90" w:type="dxa"/>
              <w:top w:w="60" w:type="dxa"/>
              <w:right w:w="90" w:type="dxa"/>
              <w:bottom w:w="60" w:type="dxa"/>
            </w:tcMar>
            <w:tcW w:w="1900" w:type="dxa"/>
          </w:tcPr>
          <w:p>
            <w:pPr>
              <w:pBdr/>
              <w:spacing w:after="0" w:line="240" w:lineRule="auto"/>
              <w:ind/>
              <w:jc w:val="left"/>
              <w:rPr/>
            </w:pPr>
            <w:r>
              <w:rPr>
                <w:rFonts w:ascii="Times New Roman" w:hAnsi="Times New Roman" w:eastAsia="Times New Roman" w:cs="Times New Roman"/>
                <w:sz w:val="20"/>
                <w:szCs w:val="20"/>
              </w:rPr>
              <w:t xml:space="preserve">Total</w:t>
            </w:r>
            <w:r/>
          </w:p>
        </w:tc>
        <w:tc>
          <w:tcPr>
            <w:tcBorders/>
            <w:tcMar>
              <w:left w:w="90" w:type="dxa"/>
              <w:top w:w="60" w:type="dxa"/>
              <w:right w:w="90" w:type="dxa"/>
              <w:bottom w:w="60" w:type="dxa"/>
            </w:tcMar>
            <w:tcW w:w="1500" w:type="dxa"/>
          </w:tcPr>
          <w:p>
            <w:pPr>
              <w:pBdr/>
              <w:spacing w:after="0" w:line="240" w:lineRule="auto"/>
              <w:ind/>
              <w:jc w:val="center"/>
              <w:rPr/>
            </w:pPr>
            <w:r>
              <w:rPr>
                <w:rFonts w:ascii="Times New Roman" w:hAnsi="Times New Roman" w:eastAsia="Times New Roman" w:cs="Times New Roman"/>
                <w:sz w:val="20"/>
                <w:szCs w:val="20"/>
              </w:rPr>
              <w:t xml:space="preserve">30</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202</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0,673</w:t>
            </w:r>
            <w:r/>
          </w:p>
        </w:tc>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w:t>
            </w:r>
            <w:r/>
          </w:p>
        </w:tc>
        <w:tc>
          <w:tcPr>
            <w:tcBorders/>
            <w:tcMar>
              <w:left w:w="90" w:type="dxa"/>
              <w:top w:w="60" w:type="dxa"/>
              <w:right w:w="90" w:type="dxa"/>
              <w:bottom w:w="60" w:type="dxa"/>
            </w:tcMar>
            <w:tcW w:w="1760" w:type="dxa"/>
          </w:tcPr>
          <w:p>
            <w:pPr>
              <w:pBdr/>
              <w:spacing w:after="0" w:line="240" w:lineRule="auto"/>
              <w:ind/>
              <w:jc w:val="center"/>
              <w:rPr/>
            </w:pPr>
            <w:r>
              <w:rPr>
                <w:rFonts w:ascii="Times New Roman" w:hAnsi="Times New Roman" w:eastAsia="Times New Roman" w:cs="Times New Roman"/>
                <w:sz w:val="20"/>
                <w:szCs w:val="20"/>
              </w:rPr>
              <w:t xml:space="preserve">—</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con base en la pregunta 5 del cuestionario. Los valores deben actualizarse con el CSV definitivo exportado de Google Forms antes de la entrega.</w:t>
      </w:r>
      <w:r/>
    </w:p>
    <w:p>
      <w:pPr>
        <w:pBdr/>
        <w:spacing w:after="160" w:line="300" w:lineRule="auto"/>
        <w:ind/>
        <w:jc w:val="both"/>
        <w:rPr/>
      </w:pPr>
      <w:r>
        <w:rPr>
          <w:rFonts w:ascii="Times New Roman" w:hAnsi="Times New Roman" w:eastAsia="Times New Roman" w:cs="Times New Roman"/>
          <w:sz w:val="24"/>
          <w:szCs w:val="24"/>
        </w:rPr>
        <w:t xml:space="preserve">La perce</w:t>
      </w:r>
      <w:r>
        <w:rPr>
          <w:rFonts w:ascii="Times New Roman" w:hAnsi="Times New Roman" w:eastAsia="Times New Roman" w:cs="Times New Roman"/>
          <w:sz w:val="24"/>
          <w:szCs w:val="24"/>
        </w:rPr>
        <w:t xml:space="preserve">pción coincide con lo observado en NetEase y queda por debajo en las otras dos. La codificación de las preguntas abiertas arrojó seis categorías, encabezadas por la diferencia de rango evidente dentro del mismo lobby, las partidas resueltas de forma unilat</w:t>
      </w:r>
      <w:r>
        <w:rPr>
          <w:rFonts w:ascii="Times New Roman" w:hAnsi="Times New Roman" w:eastAsia="Times New Roman" w:cs="Times New Roman"/>
          <w:sz w:val="24"/>
          <w:szCs w:val="24"/>
        </w:rPr>
        <w:t xml:space="preserve">eral desde el inicio y las rachas de derrotas atribuidas al sistema. Esta tercera categoría es la más relevante desde el punto de vista estadístico, porque las rachas percibidas son justamente el fenómeno que pondría en duda la independencia entre ensayos.</w:t>
      </w:r>
      <w:r/>
    </w:p>
    <w:p>
      <w:pPr>
        <w:pStyle w:val="712"/>
        <w:pBdr/>
        <w:spacing w:after="180" w:before="340"/>
        <w:ind/>
        <w:rPr/>
      </w:pPr>
      <w:r>
        <w:rPr>
          <w:rFonts w:ascii="Times New Roman" w:hAnsi="Times New Roman" w:eastAsia="Times New Roman" w:cs="Times New Roman"/>
          <w:b/>
          <w:bCs/>
          <w:color w:val="000000"/>
          <w:sz w:val="28"/>
          <w:szCs w:val="28"/>
        </w:rPr>
        <w:t xml:space="preserve">5. Análisis de los alcances de la distribución binomial</w:t>
      </w:r>
      <w:r/>
    </w:p>
    <w:p>
      <w:pPr>
        <w:pStyle w:val="713"/>
        <w:pBdr/>
        <w:spacing w:after="140" w:before="240"/>
        <w:ind/>
        <w:rPr/>
      </w:pPr>
      <w:r>
        <w:rPr>
          <w:rFonts w:ascii="Times New Roman" w:hAnsi="Times New Roman" w:eastAsia="Times New Roman" w:cs="Times New Roman"/>
          <w:b/>
          <w:bCs/>
          <w:color w:val="000000"/>
          <w:sz w:val="24"/>
          <w:szCs w:val="24"/>
        </w:rPr>
        <w:t xml:space="preserve">5.1 Distribución de probabilidad completa</w:t>
      </w:r>
      <w:r/>
    </w:p>
    <w:p>
      <w:pPr>
        <w:pBdr/>
        <w:spacing w:after="0" w:before="220"/>
        <w:ind/>
        <w:rPr/>
      </w:pPr>
      <w:r>
        <w:rPr>
          <w:rFonts w:ascii="Times New Roman" w:hAnsi="Times New Roman" w:eastAsia="Times New Roman" w:cs="Times New Roman"/>
          <w:b/>
          <w:bCs/>
          <w:sz w:val="24"/>
          <w:szCs w:val="24"/>
        </w:rPr>
        <w:t xml:space="preserve">Tabla 10</w:t>
      </w:r>
      <w:r/>
    </w:p>
    <w:p>
      <w:pPr>
        <w:pBdr/>
        <w:spacing w:after="120"/>
        <w:ind/>
        <w:rPr/>
      </w:pPr>
      <w:r>
        <w:rPr>
          <w:rFonts w:ascii="Times New Roman" w:hAnsi="Times New Roman" w:eastAsia="Times New Roman" w:cs="Times New Roman"/>
          <w:i/>
          <w:iCs/>
          <w:sz w:val="24"/>
          <w:szCs w:val="24"/>
        </w:rPr>
        <w:t xml:space="preserve">Distribución de probabilidad P(x), con n = 10</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000"/>
        <w:gridCol w:w="1600"/>
        <w:gridCol w:w="2200"/>
        <w:gridCol w:w="2200"/>
        <w:gridCol w:w="2360"/>
      </w:tblGrid>
      <w:tr>
        <w:trPr>
          <w:tblHeader/>
        </w:trPr>
        <w:tc>
          <w:tcPr>
            <w:shd w:val="clear" w:color="auto" w:fill="d9d9d9"/>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b/>
                <w:bCs/>
                <w:sz w:val="20"/>
                <w:szCs w:val="20"/>
              </w:rPr>
              <w:t xml:space="preserve">x</w:t>
            </w:r>
            <w:r/>
          </w:p>
        </w:tc>
        <w:tc>
          <w:tcPr>
            <w:shd w:val="clear" w:color="auto" w:fill="d9d9d9"/>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b/>
                <w:bCs/>
                <w:sz w:val="20"/>
                <w:szCs w:val="20"/>
              </w:rPr>
              <w:t xml:space="preserve">C(10, x)</w:t>
            </w:r>
            <w:r/>
          </w:p>
        </w:tc>
        <w:tc>
          <w:tcPr>
            <w:shd w:val="clear" w:color="auto" w:fill="d9d9d9"/>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b/>
                <w:bCs/>
                <w:sz w:val="20"/>
                <w:szCs w:val="20"/>
              </w:rPr>
              <w:t xml:space="preserve">Riot Games p = 0,80</w:t>
            </w:r>
            <w:r/>
          </w:p>
        </w:tc>
        <w:tc>
          <w:tcPr>
            <w:shd w:val="clear" w:color="auto" w:fill="d9d9d9"/>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b/>
                <w:bCs/>
                <w:sz w:val="20"/>
                <w:szCs w:val="20"/>
              </w:rPr>
              <w:t xml:space="preserve">Valve p = 0,70</w:t>
            </w:r>
            <w:r/>
          </w:p>
        </w:tc>
        <w:tc>
          <w:tcPr>
            <w:shd w:val="clear" w:color="auto" w:fill="d9d9d9"/>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b/>
                <w:bCs/>
                <w:sz w:val="20"/>
                <w:szCs w:val="20"/>
              </w:rPr>
              <w:t xml:space="preserve">NetEase p = 0,60</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0,0001</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0,0001</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0,0016</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45</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0,0001</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0,0014</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0,0106</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120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0,0008</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0,0090</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0,0425</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210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0,0055</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0,0368</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0,1115</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252</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0,0264</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0,1029</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0,2007</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210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0,0881</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0,2001</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0,2508</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120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0,2013</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0,2668</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0,2150</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45</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0,3020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0,2335</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0,1209</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0,2684</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0,1211</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0,0403</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0,1074</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0,0282</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0,0060</w:t>
            </w:r>
            <w:r/>
          </w:p>
        </w:tc>
      </w:tr>
      <w:tr>
        <w:trPr/>
        <w:tc>
          <w:tcPr>
            <w:tcBorders/>
            <w:tcMar>
              <w:left w:w="90" w:type="dxa"/>
              <w:top w:w="60" w:type="dxa"/>
              <w:right w:w="90" w:type="dxa"/>
              <w:bottom w:w="60" w:type="dxa"/>
            </w:tcMar>
            <w:tcW w:w="1000" w:type="dxa"/>
          </w:tcPr>
          <w:p>
            <w:pPr>
              <w:pBdr/>
              <w:spacing w:after="0" w:line="240" w:lineRule="auto"/>
              <w:ind/>
              <w:jc w:val="center"/>
              <w:rPr/>
            </w:pPr>
            <w:r>
              <w:rPr>
                <w:rFonts w:ascii="Times New Roman" w:hAnsi="Times New Roman" w:eastAsia="Times New Roman" w:cs="Times New Roman"/>
                <w:sz w:val="20"/>
                <w:szCs w:val="20"/>
              </w:rPr>
              <w:t xml:space="preserve">Suma</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1 024</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1,0000</w:t>
            </w:r>
            <w:r/>
          </w:p>
        </w:tc>
        <w:tc>
          <w:tcPr>
            <w:tcBorders/>
            <w:tcMar>
              <w:left w:w="90" w:type="dxa"/>
              <w:top w:w="60" w:type="dxa"/>
              <w:right w:w="90" w:type="dxa"/>
              <w:bottom w:w="60" w:type="dxa"/>
            </w:tcMar>
            <w:tcW w:w="2200" w:type="dxa"/>
          </w:tcPr>
          <w:p>
            <w:pPr>
              <w:pBdr/>
              <w:spacing w:after="0" w:line="240" w:lineRule="auto"/>
              <w:ind/>
              <w:jc w:val="center"/>
              <w:rPr/>
            </w:pPr>
            <w:r>
              <w:rPr>
                <w:rFonts w:ascii="Times New Roman" w:hAnsi="Times New Roman" w:eastAsia="Times New Roman" w:cs="Times New Roman"/>
                <w:sz w:val="20"/>
                <w:szCs w:val="20"/>
              </w:rPr>
              <w:t xml:space="preserve">1,0000</w:t>
            </w:r>
            <w:r/>
          </w:p>
        </w:tc>
        <w:tc>
          <w:tcPr>
            <w:tcBorders/>
            <w:tcMar>
              <w:left w:w="90" w:type="dxa"/>
              <w:top w:w="60" w:type="dxa"/>
              <w:right w:w="90" w:type="dxa"/>
              <w:bottom w:w="60" w:type="dxa"/>
            </w:tcMar>
            <w:tcW w:w="2360" w:type="dxa"/>
          </w:tcPr>
          <w:p>
            <w:pPr>
              <w:pBdr/>
              <w:spacing w:after="0" w:line="240" w:lineRule="auto"/>
              <w:ind/>
              <w:jc w:val="center"/>
              <w:rPr/>
            </w:pPr>
            <w:r>
              <w:rPr>
                <w:rFonts w:ascii="Times New Roman" w:hAnsi="Times New Roman" w:eastAsia="Times New Roman" w:cs="Times New Roman"/>
                <w:sz w:val="20"/>
                <w:szCs w:val="20"/>
              </w:rPr>
              <w:t xml:space="preserve">1,0000</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Los valores se redondean a cuatro decimales. La suma igual a la unidad confirma que la función construida es una distribución de probabilidad válida.</w:t>
      </w:r>
      <w:r/>
    </w:p>
    <w:p>
      <w:pPr>
        <w:pBdr/>
        <w:spacing w:after="160" w:line="300" w:lineRule="auto"/>
        <w:ind/>
        <w:jc w:val="both"/>
        <w:rPr/>
      </w:pPr>
      <w:r>
        <w:rPr>
          <w:rFonts w:ascii="Times New Roman" w:hAnsi="Times New Roman" w:eastAsia="Times New Roman" w:cs="Times New Roman"/>
          <w:sz w:val="24"/>
          <w:szCs w:val="24"/>
        </w:rPr>
        <w:t xml:space="preserve">La moda se desplaza a la izquierda conforme disminuye p: x = 8 en Riot Games con 30,20 %, x = 7 en Valve con 26,68 % y x = 6 en NetEase con 25,08 %. La representación gráfica lo muestra con claridad.</w:t>
      </w:r>
      <w:r/>
    </w:p>
    <w:p>
      <w:pPr>
        <w:pBdr/>
        <w:spacing w:after="0" w:before="220"/>
        <w:ind/>
        <w:rPr/>
      </w:pPr>
      <w:r>
        <w:rPr>
          <w:rFonts w:ascii="Times New Roman" w:hAnsi="Times New Roman" w:eastAsia="Times New Roman" w:cs="Times New Roman"/>
          <w:b/>
          <w:bCs/>
          <w:sz w:val="24"/>
          <w:szCs w:val="24"/>
        </w:rPr>
        <w:t xml:space="preserve">Figura 1</w:t>
      </w:r>
      <w:r/>
    </w:p>
    <w:p>
      <w:pPr>
        <w:pBdr/>
        <w:spacing w:after="120"/>
        <w:ind/>
        <w:rPr/>
      </w:pPr>
      <w:r>
        <w:rPr>
          <w:rFonts w:ascii="Times New Roman" w:hAnsi="Times New Roman" w:eastAsia="Times New Roman" w:cs="Times New Roman"/>
          <w:i/>
          <w:iCs/>
          <w:sz w:val="24"/>
          <w:szCs w:val="24"/>
        </w:rPr>
        <w:t xml:space="preserve">Comparación de las tres distribuciones binomiales, con n = 10</w:t>
      </w:r>
      <w:r/>
    </w:p>
    <w:p>
      <w:pPr>
        <w:pBdr/>
        <w:spacing w:after="160" w:before="120"/>
        <w:ind/>
        <w:jc w:val="center"/>
        <w:rPr/>
      </w:pPr>
      <w:r>
        <mc:AlternateContent>
          <mc:Choice Requires="wpg">
            <w:drawing>
              <wp:inline xmlns:wp="http://schemas.openxmlformats.org/drawingml/2006/wordprocessingDrawing" distT="0" distB="0" distL="0" distR="0">
                <wp:extent cx="5715000" cy="26289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715000" cy="2628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07.00pt;mso-wrap-distance-left:0.00pt;mso-wrap-distance-top:0.00pt;mso-wrap-distance-right:0.00pt;mso-wrap-distance-bottom:0.00pt;z-index:1;" stroked="false">
                <v:imagedata r:id="rId9" o:title=""/>
                <o:lock v:ext="edit" rotation="t"/>
              </v:shape>
            </w:pict>
          </mc:Fallback>
        </mc:AlternateContent>
      </w:r>
      <w:r/>
    </w:p>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con base en los valores de la Tabla 10. Las curvas se desplazan hacia la izquierda y se ensanchan conforme disminuye p.</w:t>
      </w:r>
      <w:r/>
    </w:p>
    <w:p>
      <w:pPr>
        <w:pStyle w:val="713"/>
        <w:pBdr/>
        <w:spacing w:after="140" w:before="240"/>
        <w:ind/>
        <w:rPr/>
      </w:pPr>
      <w:r>
        <w:rPr>
          <w:rFonts w:ascii="Times New Roman" w:hAnsi="Times New Roman" w:eastAsia="Times New Roman" w:cs="Times New Roman"/>
          <w:b/>
          <w:bCs/>
          <w:color w:val="000000"/>
          <w:sz w:val="24"/>
          <w:szCs w:val="24"/>
        </w:rPr>
        <w:t xml:space="preserve">5.2 Probabilidades acumuladas y medidas</w:t>
      </w:r>
      <w:r/>
    </w:p>
    <w:p>
      <w:pPr>
        <w:pBdr/>
        <w:spacing w:after="0" w:before="220"/>
        <w:ind/>
        <w:rPr/>
      </w:pPr>
      <w:r>
        <w:rPr>
          <w:rFonts w:ascii="Times New Roman" w:hAnsi="Times New Roman" w:eastAsia="Times New Roman" w:cs="Times New Roman"/>
          <w:b/>
          <w:bCs/>
          <w:sz w:val="24"/>
          <w:szCs w:val="24"/>
        </w:rPr>
        <w:t xml:space="preserve">Tabla 11</w:t>
      </w:r>
      <w:r/>
    </w:p>
    <w:p>
      <w:pPr>
        <w:pBdr/>
        <w:spacing w:after="120"/>
        <w:ind/>
        <w:rPr/>
      </w:pPr>
      <w:r>
        <w:rPr>
          <w:rFonts w:ascii="Times New Roman" w:hAnsi="Times New Roman" w:eastAsia="Times New Roman" w:cs="Times New Roman"/>
          <w:i/>
          <w:iCs/>
          <w:sz w:val="24"/>
          <w:szCs w:val="24"/>
        </w:rPr>
        <w:t xml:space="preserve">Probabilidad acumulada F(x) = P(X ≤ x)</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400"/>
        <w:gridCol w:w="2600"/>
        <w:gridCol w:w="2600"/>
        <w:gridCol w:w="2760"/>
      </w:tblGrid>
      <w:tr>
        <w:trPr>
          <w:tblHeader/>
        </w:trPr>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x</w:t>
            </w:r>
            <w:r/>
          </w:p>
        </w:tc>
        <w:tc>
          <w:tcPr>
            <w:shd w:val="clear" w:color="auto" w:fill="d9d9d9"/>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b/>
                <w:bCs/>
                <w:sz w:val="20"/>
                <w:szCs w:val="20"/>
              </w:rPr>
              <w:t xml:space="preserve">Riot Games p = 0,80</w:t>
            </w:r>
            <w:r/>
          </w:p>
        </w:tc>
        <w:tc>
          <w:tcPr>
            <w:shd w:val="clear" w:color="auto" w:fill="d9d9d9"/>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b/>
                <w:bCs/>
                <w:sz w:val="20"/>
                <w:szCs w:val="20"/>
              </w:rPr>
              <w:t xml:space="preserve">Valve p = 0,70</w:t>
            </w:r>
            <w:r/>
          </w:p>
        </w:tc>
        <w:tc>
          <w:tcPr>
            <w:shd w:val="clear" w:color="auto" w:fill="d9d9d9"/>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b/>
                <w:bCs/>
                <w:sz w:val="20"/>
                <w:szCs w:val="20"/>
              </w:rPr>
              <w:t xml:space="preserve">NetEase p = 0,60</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0</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0,0001</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1</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0,0000</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0,0001</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0,0017</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2</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0,0001</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0,0016</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0,0123</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0,0009</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0,0106</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0,0548</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0,0064</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0,0473</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0,1662</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0,0328</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0,1503</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0,3669</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6</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0,1209</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0,3504</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0,6177</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7</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0,3222</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0,6172</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0,8327</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8</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0,6242</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0,8507</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0,9536</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9</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0,8926</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0,9718</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0,9940</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10</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1,0000</w:t>
            </w:r>
            <w:r/>
          </w:p>
        </w:tc>
        <w:tc>
          <w:tcPr>
            <w:tcBorders/>
            <w:tcMar>
              <w:left w:w="90" w:type="dxa"/>
              <w:top w:w="60" w:type="dxa"/>
              <w:right w:w="90" w:type="dxa"/>
              <w:bottom w:w="60" w:type="dxa"/>
            </w:tcMar>
            <w:tcW w:w="2600" w:type="dxa"/>
          </w:tcPr>
          <w:p>
            <w:pPr>
              <w:pBdr/>
              <w:spacing w:after="0" w:line="240" w:lineRule="auto"/>
              <w:ind/>
              <w:jc w:val="center"/>
              <w:rPr/>
            </w:pPr>
            <w:r>
              <w:rPr>
                <w:rFonts w:ascii="Times New Roman" w:hAnsi="Times New Roman" w:eastAsia="Times New Roman" w:cs="Times New Roman"/>
                <w:sz w:val="20"/>
                <w:szCs w:val="20"/>
              </w:rPr>
              <w:t xml:space="preserve">1,0000</w:t>
            </w:r>
            <w:r/>
          </w:p>
        </w:tc>
        <w:tc>
          <w:tcPr>
            <w:tcBorders/>
            <w:tcMar>
              <w:left w:w="90" w:type="dxa"/>
              <w:top w:w="60" w:type="dxa"/>
              <w:right w:w="90" w:type="dxa"/>
              <w:bottom w:w="60" w:type="dxa"/>
            </w:tcMar>
            <w:tcW w:w="2760" w:type="dxa"/>
          </w:tcPr>
          <w:p>
            <w:pPr>
              <w:pBdr/>
              <w:spacing w:after="0" w:line="240" w:lineRule="auto"/>
              <w:ind/>
              <w:jc w:val="center"/>
              <w:rPr/>
            </w:pPr>
            <w:r>
              <w:rPr>
                <w:rFonts w:ascii="Times New Roman" w:hAnsi="Times New Roman" w:eastAsia="Times New Roman" w:cs="Times New Roman"/>
                <w:sz w:val="20"/>
                <w:szCs w:val="20"/>
              </w:rPr>
              <w:t xml:space="preserve">1,0000</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w:t>
      </w:r>
      <w:r/>
    </w:p>
    <w:p>
      <w:pPr>
        <w:pBdr/>
        <w:spacing w:after="0" w:before="220"/>
        <w:ind/>
        <w:rPr/>
      </w:pPr>
      <w:r>
        <w:rPr>
          <w:rFonts w:ascii="Times New Roman" w:hAnsi="Times New Roman" w:eastAsia="Times New Roman" w:cs="Times New Roman"/>
          <w:b/>
          <w:bCs/>
          <w:sz w:val="24"/>
          <w:szCs w:val="24"/>
        </w:rPr>
        <w:t xml:space="preserve">Tabla 12</w:t>
      </w:r>
      <w:r/>
    </w:p>
    <w:p>
      <w:pPr>
        <w:pBdr/>
        <w:spacing w:after="120"/>
        <w:ind/>
        <w:rPr/>
      </w:pPr>
      <w:r>
        <w:rPr>
          <w:rFonts w:ascii="Times New Roman" w:hAnsi="Times New Roman" w:eastAsia="Times New Roman" w:cs="Times New Roman"/>
          <w:i/>
          <w:iCs/>
          <w:sz w:val="24"/>
          <w:szCs w:val="24"/>
        </w:rPr>
        <w:t xml:space="preserve">Medidas de tendencia central y de dispersión</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700"/>
        <w:gridCol w:w="1300"/>
        <w:gridCol w:w="1600"/>
        <w:gridCol w:w="1600"/>
        <w:gridCol w:w="1600"/>
        <w:gridCol w:w="1560"/>
      </w:tblGrid>
      <w:tr>
        <w:trPr>
          <w:tblHeader/>
        </w:trPr>
        <w:tc>
          <w:tcPr>
            <w:shd w:val="clear" w:color="auto" w:fill="d9d9d9"/>
            <w:tcBorders/>
            <w:tcMar>
              <w:left w:w="90" w:type="dxa"/>
              <w:top w:w="60" w:type="dxa"/>
              <w:right w:w="90" w:type="dxa"/>
              <w:bottom w:w="60" w:type="dxa"/>
            </w:tcMar>
            <w:tcW w:w="1700" w:type="dxa"/>
          </w:tcPr>
          <w:p>
            <w:pPr>
              <w:pBdr/>
              <w:spacing w:after="0" w:line="240" w:lineRule="auto"/>
              <w:ind/>
              <w:jc w:val="center"/>
              <w:rPr/>
            </w:pPr>
            <w:r>
              <w:rPr>
                <w:rFonts w:ascii="Times New Roman" w:hAnsi="Times New Roman" w:eastAsia="Times New Roman" w:cs="Times New Roman"/>
                <w:b/>
                <w:bCs/>
                <w:sz w:val="20"/>
                <w:szCs w:val="20"/>
              </w:rPr>
              <w:t xml:space="preserve">Empresa</w:t>
            </w:r>
            <w:r/>
          </w:p>
        </w:tc>
        <w:tc>
          <w:tcPr>
            <w:shd w:val="clear" w:color="auto" w:fill="d9d9d9"/>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b/>
                <w:bCs/>
                <w:sz w:val="20"/>
                <w:szCs w:val="20"/>
              </w:rPr>
              <w:t xml:space="preserve">p</w:t>
            </w:r>
            <w:r/>
          </w:p>
        </w:tc>
        <w:tc>
          <w:tcPr>
            <w:shd w:val="clear" w:color="auto" w:fill="d9d9d9"/>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b/>
                <w:bCs/>
                <w:sz w:val="20"/>
                <w:szCs w:val="20"/>
              </w:rPr>
              <w:t xml:space="preserve">E(X) = n · p</w:t>
            </w:r>
            <w:r/>
          </w:p>
        </w:tc>
        <w:tc>
          <w:tcPr>
            <w:shd w:val="clear" w:color="auto" w:fill="d9d9d9"/>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b/>
                <w:bCs/>
                <w:sz w:val="20"/>
                <w:szCs w:val="20"/>
              </w:rPr>
              <w:t xml:space="preserve">Var(X) = n · p · q</w:t>
            </w:r>
            <w:r/>
          </w:p>
        </w:tc>
        <w:tc>
          <w:tcPr>
            <w:shd w:val="clear" w:color="auto" w:fill="d9d9d9"/>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b/>
                <w:bCs/>
                <w:sz w:val="20"/>
                <w:szCs w:val="20"/>
              </w:rPr>
              <w:t xml:space="preserve">σ</w:t>
            </w:r>
            <w:r/>
          </w:p>
        </w:tc>
        <w:tc>
          <w:tcPr>
            <w:shd w:val="clear" w:color="auto" w:fill="d9d9d9"/>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b/>
                <w:bCs/>
                <w:sz w:val="20"/>
                <w:szCs w:val="20"/>
              </w:rPr>
              <w:t xml:space="preserve">CV = σ / E(X)</w:t>
            </w:r>
            <w:r/>
          </w:p>
        </w:tc>
      </w:tr>
      <w:tr>
        <w:trPr/>
        <w:tc>
          <w:tcPr>
            <w:tcBorders/>
            <w:tcMar>
              <w:left w:w="90" w:type="dxa"/>
              <w:top w:w="60" w:type="dxa"/>
              <w:right w:w="90" w:type="dxa"/>
              <w:bottom w:w="60" w:type="dxa"/>
            </w:tcMar>
            <w:tcW w:w="1700" w:type="dxa"/>
          </w:tcPr>
          <w:p>
            <w:pPr>
              <w:pBdr/>
              <w:spacing w:after="0" w:line="240" w:lineRule="auto"/>
              <w:ind/>
              <w:jc w:val="left"/>
              <w:rPr/>
            </w:pPr>
            <w:r>
              <w:rPr>
                <w:rFonts w:ascii="Times New Roman" w:hAnsi="Times New Roman" w:eastAsia="Times New Roman" w:cs="Times New Roman"/>
                <w:sz w:val="20"/>
                <w:szCs w:val="20"/>
              </w:rPr>
              <w:t xml:space="preserve">Riot Games</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0,80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8,00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1,600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1,2649</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15,81 %</w:t>
            </w:r>
            <w:r/>
          </w:p>
        </w:tc>
      </w:tr>
      <w:tr>
        <w:trPr/>
        <w:tc>
          <w:tcPr>
            <w:tcBorders/>
            <w:tcMar>
              <w:left w:w="90" w:type="dxa"/>
              <w:top w:w="60" w:type="dxa"/>
              <w:right w:w="90" w:type="dxa"/>
              <w:bottom w:w="60" w:type="dxa"/>
            </w:tcMar>
            <w:tcW w:w="1700" w:type="dxa"/>
          </w:tcPr>
          <w:p>
            <w:pPr>
              <w:pBdr/>
              <w:spacing w:after="0" w:line="240" w:lineRule="auto"/>
              <w:ind/>
              <w:jc w:val="left"/>
              <w:rPr/>
            </w:pPr>
            <w:r>
              <w:rPr>
                <w:rFonts w:ascii="Times New Roman" w:hAnsi="Times New Roman" w:eastAsia="Times New Roman" w:cs="Times New Roman"/>
                <w:sz w:val="20"/>
                <w:szCs w:val="20"/>
              </w:rPr>
              <w:t xml:space="preserve">Valve</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0,70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7,00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2,100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1,4491</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20,70 %</w:t>
            </w:r>
            <w:r/>
          </w:p>
        </w:tc>
      </w:tr>
      <w:tr>
        <w:trPr/>
        <w:tc>
          <w:tcPr>
            <w:tcBorders/>
            <w:tcMar>
              <w:left w:w="90" w:type="dxa"/>
              <w:top w:w="60" w:type="dxa"/>
              <w:right w:w="90" w:type="dxa"/>
              <w:bottom w:w="60" w:type="dxa"/>
            </w:tcMar>
            <w:tcW w:w="1700" w:type="dxa"/>
          </w:tcPr>
          <w:p>
            <w:pPr>
              <w:pBdr/>
              <w:spacing w:after="0" w:line="240" w:lineRule="auto"/>
              <w:ind/>
              <w:jc w:val="left"/>
              <w:rPr/>
            </w:pPr>
            <w:r>
              <w:rPr>
                <w:rFonts w:ascii="Times New Roman" w:hAnsi="Times New Roman" w:eastAsia="Times New Roman" w:cs="Times New Roman"/>
                <w:sz w:val="20"/>
                <w:szCs w:val="20"/>
              </w:rPr>
              <w:t xml:space="preserve">NetEase</w:t>
            </w:r>
            <w:r/>
          </w:p>
        </w:tc>
        <w:tc>
          <w:tcPr>
            <w:tcBorders/>
            <w:tcMar>
              <w:left w:w="90" w:type="dxa"/>
              <w:top w:w="60" w:type="dxa"/>
              <w:right w:w="90" w:type="dxa"/>
              <w:bottom w:w="60" w:type="dxa"/>
            </w:tcMar>
            <w:tcW w:w="1300" w:type="dxa"/>
          </w:tcPr>
          <w:p>
            <w:pPr>
              <w:pBdr/>
              <w:spacing w:after="0" w:line="240" w:lineRule="auto"/>
              <w:ind/>
              <w:jc w:val="center"/>
              <w:rPr/>
            </w:pPr>
            <w:r>
              <w:rPr>
                <w:rFonts w:ascii="Times New Roman" w:hAnsi="Times New Roman" w:eastAsia="Times New Roman" w:cs="Times New Roman"/>
                <w:sz w:val="20"/>
                <w:szCs w:val="20"/>
              </w:rPr>
              <w:t xml:space="preserve">0,60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6,00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2,400</w:t>
            </w:r>
            <w:r/>
          </w:p>
        </w:tc>
        <w:tc>
          <w:tcPr>
            <w:tcBorders/>
            <w:tcMar>
              <w:left w:w="90" w:type="dxa"/>
              <w:top w:w="60" w:type="dxa"/>
              <w:right w:w="90" w:type="dxa"/>
              <w:bottom w:w="60" w:type="dxa"/>
            </w:tcMar>
            <w:tcW w:w="1600" w:type="dxa"/>
          </w:tcPr>
          <w:p>
            <w:pPr>
              <w:pBdr/>
              <w:spacing w:after="0" w:line="240" w:lineRule="auto"/>
              <w:ind/>
              <w:jc w:val="center"/>
              <w:rPr/>
            </w:pPr>
            <w:r>
              <w:rPr>
                <w:rFonts w:ascii="Times New Roman" w:hAnsi="Times New Roman" w:eastAsia="Times New Roman" w:cs="Times New Roman"/>
                <w:sz w:val="20"/>
                <w:szCs w:val="20"/>
              </w:rPr>
              <w:t xml:space="preserve">1,5492</w:t>
            </w:r>
            <w:r/>
          </w:p>
        </w:tc>
        <w:tc>
          <w:tcPr>
            <w:tcBorders/>
            <w:tcMar>
              <w:left w:w="90" w:type="dxa"/>
              <w:top w:w="60" w:type="dxa"/>
              <w:right w:w="90" w:type="dxa"/>
              <w:bottom w:w="60" w:type="dxa"/>
            </w:tcMar>
            <w:tcW w:w="1560" w:type="dxa"/>
          </w:tcPr>
          <w:p>
            <w:pPr>
              <w:pBdr/>
              <w:spacing w:after="0" w:line="240" w:lineRule="auto"/>
              <w:ind/>
              <w:jc w:val="center"/>
              <w:rPr/>
            </w:pPr>
            <w:r>
              <w:rPr>
                <w:rFonts w:ascii="Times New Roman" w:hAnsi="Times New Roman" w:eastAsia="Times New Roman" w:cs="Times New Roman"/>
                <w:sz w:val="20"/>
                <w:szCs w:val="20"/>
              </w:rPr>
              <w:t xml:space="preserve">25,82 %</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q = 1 − p.</w:t>
      </w:r>
      <w:r/>
    </w:p>
    <w:p>
      <w:pPr>
        <w:pBdr/>
        <w:spacing w:after="160" w:line="300" w:lineRule="auto"/>
        <w:ind/>
        <w:jc w:val="both"/>
        <w:rPr/>
      </w:pPr>
      <w:r>
        <w:rPr>
          <w:rFonts w:ascii="Times New Roman" w:hAnsi="Times New Roman" w:eastAsia="Times New Roman" w:cs="Times New Roman"/>
          <w:sz w:val="24"/>
          <w:szCs w:val="24"/>
        </w:rPr>
        <w:t xml:space="preserve">El resultado es doblemente desfavorable para las empresas con menor p, porque no solo esperan menos partidas balanceadas sino que además su distribución es más dispersa. El coeficiente de variación de NetEase supera al de Riot</w:t>
      </w:r>
      <w:r>
        <w:rPr>
          <w:rFonts w:ascii="Times New Roman" w:hAnsi="Times New Roman" w:eastAsia="Times New Roman" w:cs="Times New Roman"/>
          <w:sz w:val="24"/>
          <w:szCs w:val="24"/>
        </w:rPr>
        <w:t xml:space="preserve"> Games en diez puntos porcentuales, lo que significa que el jugador no solo obtiene en promedio menos partidas equilibradas sino que también puede anticipar peor cuántas obtendrá, que es exactamente lo contrario de lo que se espera de un sistema confiable.</w:t>
      </w:r>
      <w:r/>
    </w:p>
    <w:p>
      <w:pPr>
        <w:pBdr/>
        <w:spacing w:after="0" w:before="220"/>
        <w:ind/>
        <w:rPr/>
      </w:pPr>
      <w:r>
        <w:rPr>
          <w:rFonts w:ascii="Times New Roman" w:hAnsi="Times New Roman" w:eastAsia="Times New Roman" w:cs="Times New Roman"/>
          <w:b/>
          <w:bCs/>
          <w:sz w:val="24"/>
          <w:szCs w:val="24"/>
        </w:rPr>
        <w:t xml:space="preserve">Tabla 13</w:t>
      </w:r>
      <w:r/>
    </w:p>
    <w:p>
      <w:pPr>
        <w:pBdr/>
        <w:spacing w:after="120"/>
        <w:ind/>
        <w:rPr/>
      </w:pPr>
      <w:r>
        <w:rPr>
          <w:rFonts w:ascii="Times New Roman" w:hAnsi="Times New Roman" w:eastAsia="Times New Roman" w:cs="Times New Roman"/>
          <w:i/>
          <w:iCs/>
          <w:sz w:val="24"/>
          <w:szCs w:val="24"/>
        </w:rPr>
        <w:t xml:space="preserve">Probabilidades comparativas de sucesos relevantes</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3400"/>
        <w:gridCol w:w="1900"/>
        <w:gridCol w:w="1900"/>
        <w:gridCol w:w="2160"/>
      </w:tblGrid>
      <w:tr>
        <w:trPr>
          <w:tblHeader/>
        </w:trPr>
        <w:tc>
          <w:tcPr>
            <w:shd w:val="clear" w:color="auto" w:fill="d9d9d9"/>
            <w:tcBorders/>
            <w:tcMar>
              <w:left w:w="90" w:type="dxa"/>
              <w:top w:w="60" w:type="dxa"/>
              <w:right w:w="90" w:type="dxa"/>
              <w:bottom w:w="60" w:type="dxa"/>
            </w:tcMar>
            <w:tcW w:w="3400" w:type="dxa"/>
          </w:tcPr>
          <w:p>
            <w:pPr>
              <w:pBdr/>
              <w:spacing w:after="0" w:line="240" w:lineRule="auto"/>
              <w:ind/>
              <w:jc w:val="center"/>
              <w:rPr/>
            </w:pPr>
            <w:r>
              <w:rPr>
                <w:rFonts w:ascii="Times New Roman" w:hAnsi="Times New Roman" w:eastAsia="Times New Roman" w:cs="Times New Roman"/>
                <w:b/>
                <w:bCs/>
                <w:sz w:val="20"/>
                <w:szCs w:val="20"/>
              </w:rPr>
              <w:t xml:space="preserve">Suceso</w:t>
            </w:r>
            <w:r/>
          </w:p>
        </w:tc>
        <w:tc>
          <w:tcPr>
            <w:shd w:val="clear" w:color="auto" w:fill="d9d9d9"/>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b/>
                <w:bCs/>
                <w:sz w:val="20"/>
                <w:szCs w:val="20"/>
              </w:rPr>
              <w:t xml:space="preserve">Riot Games</w:t>
            </w:r>
            <w:r/>
          </w:p>
        </w:tc>
        <w:tc>
          <w:tcPr>
            <w:shd w:val="clear" w:color="auto" w:fill="d9d9d9"/>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b/>
                <w:bCs/>
                <w:sz w:val="20"/>
                <w:szCs w:val="20"/>
              </w:rPr>
              <w:t xml:space="preserve">Valve</w:t>
            </w:r>
            <w:r/>
          </w:p>
        </w:tc>
        <w:tc>
          <w:tcPr>
            <w:shd w:val="clear" w:color="auto" w:fill="d9d9d9"/>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b/>
                <w:bCs/>
                <w:sz w:val="20"/>
                <w:szCs w:val="20"/>
              </w:rPr>
              <w:t xml:space="preserve">NetEase</w:t>
            </w:r>
            <w:r/>
          </w:p>
        </w:tc>
      </w:tr>
      <w:tr>
        <w:trPr/>
        <w:tc>
          <w:tcPr>
            <w:tcBorders/>
            <w:tcMar>
              <w:left w:w="90" w:type="dxa"/>
              <w:top w:w="60" w:type="dxa"/>
              <w:right w:w="90" w:type="dxa"/>
              <w:bottom w:w="60" w:type="dxa"/>
            </w:tcMar>
            <w:tcW w:w="3400" w:type="dxa"/>
          </w:tcPr>
          <w:p>
            <w:pPr>
              <w:pBdr/>
              <w:spacing w:after="0" w:line="240" w:lineRule="auto"/>
              <w:ind/>
              <w:jc w:val="left"/>
              <w:rPr/>
            </w:pPr>
            <w:r>
              <w:rPr>
                <w:rFonts w:ascii="Times New Roman" w:hAnsi="Times New Roman" w:eastAsia="Times New Roman" w:cs="Times New Roman"/>
                <w:sz w:val="20"/>
                <w:szCs w:val="20"/>
              </w:rPr>
              <w:t xml:space="preserve">P(X ≥ 8), al menos 8 balanceadas</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0,6778</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0,3828</w:t>
            </w:r>
            <w:r/>
          </w:p>
        </w:tc>
        <w:tc>
          <w:tcPr>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sz w:val="20"/>
                <w:szCs w:val="20"/>
              </w:rPr>
              <w:t xml:space="preserve">0,1673</w:t>
            </w:r>
            <w:r/>
          </w:p>
        </w:tc>
      </w:tr>
      <w:tr>
        <w:trPr/>
        <w:tc>
          <w:tcPr>
            <w:tcBorders/>
            <w:tcMar>
              <w:left w:w="90" w:type="dxa"/>
              <w:top w:w="60" w:type="dxa"/>
              <w:right w:w="90" w:type="dxa"/>
              <w:bottom w:w="60" w:type="dxa"/>
            </w:tcMar>
            <w:tcW w:w="3400" w:type="dxa"/>
          </w:tcPr>
          <w:p>
            <w:pPr>
              <w:pBdr/>
              <w:spacing w:after="0" w:line="240" w:lineRule="auto"/>
              <w:ind/>
              <w:jc w:val="left"/>
              <w:rPr/>
            </w:pPr>
            <w:r>
              <w:rPr>
                <w:rFonts w:ascii="Times New Roman" w:hAnsi="Times New Roman" w:eastAsia="Times New Roman" w:cs="Times New Roman"/>
                <w:sz w:val="20"/>
                <w:szCs w:val="20"/>
              </w:rPr>
              <w:t xml:space="preserve">P(X ≥ 9), casi todas balanceadas</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0,3758</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0,1493</w:t>
            </w:r>
            <w:r/>
          </w:p>
        </w:tc>
        <w:tc>
          <w:tcPr>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sz w:val="20"/>
                <w:szCs w:val="20"/>
              </w:rPr>
              <w:t xml:space="preserve">0,0464</w:t>
            </w:r>
            <w:r/>
          </w:p>
        </w:tc>
      </w:tr>
      <w:tr>
        <w:trPr/>
        <w:tc>
          <w:tcPr>
            <w:tcBorders/>
            <w:tcMar>
              <w:left w:w="90" w:type="dxa"/>
              <w:top w:w="60" w:type="dxa"/>
              <w:right w:w="90" w:type="dxa"/>
              <w:bottom w:w="60" w:type="dxa"/>
            </w:tcMar>
            <w:tcW w:w="3400" w:type="dxa"/>
          </w:tcPr>
          <w:p>
            <w:pPr>
              <w:pBdr/>
              <w:spacing w:after="0" w:line="240" w:lineRule="auto"/>
              <w:ind/>
              <w:jc w:val="left"/>
              <w:rPr/>
            </w:pPr>
            <w:r>
              <w:rPr>
                <w:rFonts w:ascii="Times New Roman" w:hAnsi="Times New Roman" w:eastAsia="Times New Roman" w:cs="Times New Roman"/>
                <w:sz w:val="20"/>
                <w:szCs w:val="20"/>
              </w:rPr>
              <w:t xml:space="preserve">P(X = 10), las diez balanceadas</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0,1074</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0,0282</w:t>
            </w:r>
            <w:r/>
          </w:p>
        </w:tc>
        <w:tc>
          <w:tcPr>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sz w:val="20"/>
                <w:szCs w:val="20"/>
              </w:rPr>
              <w:t xml:space="preserve">0,0060</w:t>
            </w:r>
            <w:r/>
          </w:p>
        </w:tc>
      </w:tr>
      <w:tr>
        <w:trPr/>
        <w:tc>
          <w:tcPr>
            <w:tcBorders/>
            <w:tcMar>
              <w:left w:w="90" w:type="dxa"/>
              <w:top w:w="60" w:type="dxa"/>
              <w:right w:w="90" w:type="dxa"/>
              <w:bottom w:w="60" w:type="dxa"/>
            </w:tcMar>
            <w:tcW w:w="3400" w:type="dxa"/>
          </w:tcPr>
          <w:p>
            <w:pPr>
              <w:pBdr/>
              <w:spacing w:after="0" w:line="240" w:lineRule="auto"/>
              <w:ind/>
              <w:jc w:val="left"/>
              <w:rPr/>
            </w:pPr>
            <w:r>
              <w:rPr>
                <w:rFonts w:ascii="Times New Roman" w:hAnsi="Times New Roman" w:eastAsia="Times New Roman" w:cs="Times New Roman"/>
                <w:sz w:val="20"/>
                <w:szCs w:val="20"/>
              </w:rPr>
              <w:t xml:space="preserve">P(X ≤ 5), la mitad o menos balanceadas</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0,0328</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0,1503</w:t>
            </w:r>
            <w:r/>
          </w:p>
        </w:tc>
        <w:tc>
          <w:tcPr>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sz w:val="20"/>
                <w:szCs w:val="20"/>
              </w:rPr>
              <w:t xml:space="preserve">0,3669</w:t>
            </w:r>
            <w:r/>
          </w:p>
        </w:tc>
      </w:tr>
      <w:tr>
        <w:trPr/>
        <w:tc>
          <w:tcPr>
            <w:tcBorders/>
            <w:tcMar>
              <w:left w:w="90" w:type="dxa"/>
              <w:top w:w="60" w:type="dxa"/>
              <w:right w:w="90" w:type="dxa"/>
              <w:bottom w:w="60" w:type="dxa"/>
            </w:tcMar>
            <w:tcW w:w="3400" w:type="dxa"/>
          </w:tcPr>
          <w:p>
            <w:pPr>
              <w:pBdr/>
              <w:spacing w:after="0" w:line="240" w:lineRule="auto"/>
              <w:ind/>
              <w:jc w:val="left"/>
              <w:rPr/>
            </w:pPr>
            <w:r>
              <w:rPr>
                <w:rFonts w:ascii="Times New Roman" w:hAnsi="Times New Roman" w:eastAsia="Times New Roman" w:cs="Times New Roman"/>
                <w:sz w:val="20"/>
                <w:szCs w:val="20"/>
              </w:rPr>
              <w:t xml:space="preserve">P(X ≤ 3), escenario crítico</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0,0009</w:t>
            </w:r>
            <w:r/>
          </w:p>
        </w:tc>
        <w:tc>
          <w:tcPr>
            <w:tcBorders/>
            <w:tcMar>
              <w:left w:w="90" w:type="dxa"/>
              <w:top w:w="60" w:type="dxa"/>
              <w:right w:w="90" w:type="dxa"/>
              <w:bottom w:w="60" w:type="dxa"/>
            </w:tcMar>
            <w:tcW w:w="1900" w:type="dxa"/>
          </w:tcPr>
          <w:p>
            <w:pPr>
              <w:pBdr/>
              <w:spacing w:after="0" w:line="240" w:lineRule="auto"/>
              <w:ind/>
              <w:jc w:val="center"/>
              <w:rPr/>
            </w:pPr>
            <w:r>
              <w:rPr>
                <w:rFonts w:ascii="Times New Roman" w:hAnsi="Times New Roman" w:eastAsia="Times New Roman" w:cs="Times New Roman"/>
                <w:sz w:val="20"/>
                <w:szCs w:val="20"/>
              </w:rPr>
              <w:t xml:space="preserve">0,0106</w:t>
            </w:r>
            <w:r/>
          </w:p>
        </w:tc>
        <w:tc>
          <w:tcPr>
            <w:tcBorders/>
            <w:tcMar>
              <w:left w:w="90" w:type="dxa"/>
              <w:top w:w="60" w:type="dxa"/>
              <w:right w:w="90" w:type="dxa"/>
              <w:bottom w:w="60" w:type="dxa"/>
            </w:tcMar>
            <w:tcW w:w="2160" w:type="dxa"/>
          </w:tcPr>
          <w:p>
            <w:pPr>
              <w:pBdr/>
              <w:spacing w:after="0" w:line="240" w:lineRule="auto"/>
              <w:ind/>
              <w:jc w:val="center"/>
              <w:rPr/>
            </w:pPr>
            <w:r>
              <w:rPr>
                <w:rFonts w:ascii="Times New Roman" w:hAnsi="Times New Roman" w:eastAsia="Times New Roman" w:cs="Times New Roman"/>
                <w:sz w:val="20"/>
                <w:szCs w:val="20"/>
              </w:rPr>
              <w:t xml:space="preserve">0,0548</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 Las probabilidades acumuladas superiores se obtienen como P(X ≥ a) = 1 − F(a − 1).</w:t>
      </w:r>
      <w:r/>
    </w:p>
    <w:p>
      <w:pPr>
        <w:pBdr/>
        <w:spacing w:after="160" w:line="300" w:lineRule="auto"/>
        <w:ind/>
        <w:jc w:val="both"/>
        <w:rPr/>
      </w:pPr>
      <w:r>
        <w:rPr>
          <w:rFonts w:ascii="Times New Roman" w:hAnsi="Times New Roman" w:eastAsia="Times New Roman" w:cs="Times New Roman"/>
          <w:sz w:val="24"/>
          <w:szCs w:val="24"/>
        </w:rPr>
        <w:t xml:space="preserve">La diferencia más elocuente aparece en P(X ≥ 8). Un jugador de League of Legends tiene 67,78 % de probabilidad de obtener al menos ocho partidas equilibradas de cada diez, mientras que en</w:t>
      </w:r>
      <w:r>
        <w:rPr>
          <w:rFonts w:ascii="Times New Roman" w:hAnsi="Times New Roman" w:eastAsia="Times New Roman" w:cs="Times New Roman"/>
          <w:sz w:val="24"/>
          <w:szCs w:val="24"/>
        </w:rPr>
        <w:t xml:space="preserve"> Marvel Rivals esa probabilidad cae a 16,73 %, es decir, cuatro veces menos. En el extremo opuesto, la probabilidad de que la mitad o más de las partidas resulten desequilibradas es de 3,28 % en Riot Games y de 36,69 % en NetEase, once veces mayor. Esa amp</w:t>
      </w:r>
      <w:r>
        <w:rPr>
          <w:rFonts w:ascii="Times New Roman" w:hAnsi="Times New Roman" w:eastAsia="Times New Roman" w:cs="Times New Roman"/>
          <w:sz w:val="24"/>
          <w:szCs w:val="24"/>
        </w:rPr>
        <w:t xml:space="preserve">lificación es propia de las distribuciones acumuladas y constituye uno de los aportes analíticos del trabajo, porque muestra que variaciones moderadas en la calidad del emparejamiento producen diferencias muy grandes en la experiencia agregada del usuario.</w:t>
      </w:r>
      <w:r/>
    </w:p>
    <w:p>
      <w:pPr>
        <w:pStyle w:val="713"/>
        <w:pBdr/>
        <w:spacing w:after="140" w:before="240"/>
        <w:ind/>
        <w:rPr/>
      </w:pPr>
      <w:r>
        <w:rPr>
          <w:rFonts w:ascii="Times New Roman" w:hAnsi="Times New Roman" w:eastAsia="Times New Roman" w:cs="Times New Roman"/>
          <w:b/>
          <w:bCs/>
          <w:color w:val="000000"/>
          <w:sz w:val="24"/>
          <w:szCs w:val="24"/>
        </w:rPr>
        <w:t xml:space="preserve">5.5 Alcances del modelo</w:t>
      </w:r>
      <w:r/>
    </w:p>
    <w:p>
      <w:pPr>
        <w:pBdr/>
        <w:spacing w:after="160" w:line="300" w:lineRule="auto"/>
        <w:ind/>
        <w:jc w:val="both"/>
        <w:rPr/>
      </w:pPr>
      <w:r>
        <w:rPr>
          <w:rFonts w:ascii="Times New Roman" w:hAnsi="Times New Roman" w:eastAsia="Times New Roman" w:cs="Times New Roman"/>
          <w:sz w:val="24"/>
          <w:szCs w:val="24"/>
        </w:rPr>
        <w:t xml:space="preserve">La distribución binomial resulta adecuada para este problema por cuatro razones. Permite convertir un fenómeno cualitativo, la percepción de justicia en una partida, e</w:t>
      </w:r>
      <w:r>
        <w:rPr>
          <w:rFonts w:ascii="Times New Roman" w:hAnsi="Times New Roman" w:eastAsia="Times New Roman" w:cs="Times New Roman"/>
          <w:sz w:val="24"/>
          <w:szCs w:val="24"/>
        </w:rPr>
        <w:t xml:space="preserve">n una medida numérica reproducible por cualquier tercero. Entrega no solo un promedio sino la distribución completa, lo que hace posible responder preguntas sobre escenarios específicos. Sus medidas de dispersión aportan una dimensión de la confiabilidad q</w:t>
      </w:r>
      <w:r>
        <w:rPr>
          <w:rFonts w:ascii="Times New Roman" w:hAnsi="Times New Roman" w:eastAsia="Times New Roman" w:cs="Times New Roman"/>
          <w:sz w:val="24"/>
          <w:szCs w:val="24"/>
        </w:rPr>
        <w:t xml:space="preserve">ue un simple porcentaje no capturaría. Y es exacta para cualquier valor de n, de modo que no requiere las condiciones de aproximación que sí exigen otros modelos, lo que permitió aplicar una prueba de hipótesis exacta pese al tamaño reducido de la muestra.</w:t>
      </w:r>
      <w:r/>
    </w:p>
    <w:p>
      <w:pPr>
        <w:pBdr/>
        <w:spacing w:after="160" w:line="300" w:lineRule="auto"/>
        <w:ind/>
        <w:jc w:val="both"/>
        <w:rPr/>
      </w:pPr>
      <w:r>
        <w:rPr>
          <w:rFonts w:ascii="Times New Roman" w:hAnsi="Times New Roman" w:eastAsia="Times New Roman" w:cs="Times New Roman"/>
          <w:sz w:val="24"/>
          <w:szCs w:val="24"/>
        </w:rPr>
        <w:t xml:space="preserve">El modelo se conecta además de manera directa con la noción de confiabilidad de software, en la que un sistema se evalúa por la probabilidad de entregar el</w:t>
      </w:r>
      <w:r>
        <w:rPr>
          <w:rFonts w:ascii="Times New Roman" w:hAnsi="Times New Roman" w:eastAsia="Times New Roman" w:cs="Times New Roman"/>
          <w:sz w:val="24"/>
          <w:szCs w:val="24"/>
        </w:rPr>
        <w:t xml:space="preserve"> servicio esperado en un número dado de ejecuciones. Tratar cada partida como una ejecución del servicio de emparejamiento permite aplicar al matchmaking el mismo aparato estadístico que se usaría para evaluar la tasa de éxito de un servicio en producción.</w:t>
      </w:r>
      <w:r/>
    </w:p>
    <w:p>
      <w:pPr>
        <w:pStyle w:val="713"/>
        <w:pBdr/>
        <w:spacing w:after="140" w:before="240"/>
        <w:ind/>
        <w:rPr/>
      </w:pPr>
      <w:r>
        <w:rPr>
          <w:rFonts w:ascii="Times New Roman" w:hAnsi="Times New Roman" w:eastAsia="Times New Roman" w:cs="Times New Roman"/>
          <w:b/>
          <w:bCs/>
          <w:color w:val="000000"/>
          <w:sz w:val="24"/>
          <w:szCs w:val="24"/>
        </w:rPr>
        <w:t xml:space="preserve">5.6 Limitaciones y críticas</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La independencia es el supuesto más discutible. Si alguna empresa aplicara emparejamiento optimizado por interacción en la línea que formalizan Chen et al. (2</w:t>
      </w:r>
      <w:r>
        <w:rPr>
          <w:rFonts w:ascii="Times New Roman" w:hAnsi="Times New Roman" w:eastAsia="Times New Roman" w:cs="Times New Roman"/>
          <w:sz w:val="24"/>
          <w:szCs w:val="24"/>
        </w:rPr>
        <w:t xml:space="preserve">017), el resultado de una partida condicionaría el emparejamiento de la siguiente. La categoría de rachas percibidas apareció con frecuencia alta en las respuestas abiertas y apunta en esa dirección. El modelo no puede confirmar ni descartar ese mecanismo.</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El supuesto de probabilidad constante también es discutible, porque p podría variar según la hora, la región del servidor o el tamaño de la cola. La delimitación a un solo segmento de rango reduce el problema pero no lo elimina.</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El tamaño de muestra es pequeño. Los intervalos del apartado 5.4 tienen una amplitud cercana a medio punto de probabilidad, lo que impide afirmar diferencias significativas entre empresas.</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El nivel de referencia proviene de un estudio de 2015 sobre una versión anterior de League of L</w:t>
      </w:r>
      <w:r>
        <w:rPr>
          <w:rFonts w:ascii="Times New Roman" w:hAnsi="Times New Roman" w:eastAsia="Times New Roman" w:cs="Times New Roman"/>
          <w:sz w:val="24"/>
          <w:szCs w:val="24"/>
        </w:rPr>
        <w:t xml:space="preserve">egends, con 52 respuestas de 23 usuarios en un laboratorio universitario, y mide únicamente homogeneidad de rango, equivalente al criterio C1. Como el criterio de este trabajo exige además C2, ese 80 % opera como cota superior y no como equivalente exacto.</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Los umbrales de C1 y C2 los fijó el grupo y no las empresas, de modo que otros </w:t>
      </w:r>
      <w:r>
        <w:rPr>
          <w:rFonts w:ascii="Times New Roman" w:hAnsi="Times New Roman" w:eastAsia="Times New Roman" w:cs="Times New Roman"/>
          <w:sz w:val="24"/>
          <w:szCs w:val="24"/>
        </w:rPr>
        <w:t xml:space="preserve">umbrales razonables producirían otras clasificaciones. Lo que sí garantiza el diseño es que el criterio se aplicó de forma idéntica a las tres compañías, por lo que la comparación entre ellas se mantiene válida aunque el nivel absoluto de p sea discutible.</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La dicotomía fuerza una simplificación, porque el balance es un fenómeno continuo y clasificarlo como éxito o fracaso descarta información sobre el grado de desbalance. Es el precio que se paga por poder aplicar la binomial.</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El muestreo no es aleatorio, ya que las partidas se tomaron de perfiles públicos accesibles y no de un sorteo sobre el total de partidas jugadas, lo que introduce un sesgo de selección no cuantificable.</w:t>
      </w:r>
      <w:r/>
    </w:p>
    <w:p>
      <w:pPr>
        <w:pStyle w:val="719"/>
        <w:numPr>
          <w:ilvl w:val="0"/>
          <w:numId w:val="3"/>
        </w:numPr>
        <w:pBdr/>
        <w:spacing w:after="100" w:line="300" w:lineRule="auto"/>
        <w:ind/>
        <w:jc w:val="both"/>
        <w:rPr/>
      </w:pPr>
      <w:r>
        <w:rPr>
          <w:rFonts w:ascii="Times New Roman" w:hAnsi="Times New Roman" w:eastAsia="Times New Roman" w:cs="Times New Roman"/>
          <w:sz w:val="24"/>
          <w:szCs w:val="24"/>
        </w:rPr>
        <w:t xml:space="preserve">Los tres títulos</w:t>
      </w:r>
      <w:r>
        <w:rPr>
          <w:rFonts w:ascii="Times New Roman" w:hAnsi="Times New Roman" w:eastAsia="Times New Roman" w:cs="Times New Roman"/>
          <w:sz w:val="24"/>
          <w:szCs w:val="24"/>
        </w:rPr>
        <w:t xml:space="preserve"> no son estrictamente equivalentes, porque un MOBA, un juego de disparos por rondas y un juego de héroes al mejor de tres mapas tienen estructuras distintas, de modo que la etiqueta de partida balanceada no significa exactamente lo mismo en los tres casos.</w:t>
      </w:r>
      <w:r/>
    </w:p>
    <w:p>
      <w:pPr>
        <w:pBdr/>
        <w:spacing w:after="160" w:line="300" w:lineRule="auto"/>
        <w:ind/>
        <w:jc w:val="both"/>
        <w:rPr/>
      </w:pPr>
      <w:r>
        <w:rPr>
          <w:rFonts w:ascii="Times New Roman" w:hAnsi="Times New Roman" w:eastAsia="Times New Roman" w:cs="Times New Roman"/>
          <w:sz w:val="24"/>
          <w:szCs w:val="24"/>
        </w:rPr>
        <w:t xml:space="preserve">Más allá de los números, el estudio deja tres críticas al tema investigado. La primera es que ninguna empresa publica métricas de balance verificables pese a prometer partidas justas en sus términos y condiciones, lo que t</w:t>
      </w:r>
      <w:r>
        <w:rPr>
          <w:rFonts w:ascii="Times New Roman" w:hAnsi="Times New Roman" w:eastAsia="Times New Roman" w:cs="Times New Roman"/>
          <w:sz w:val="24"/>
          <w:szCs w:val="24"/>
        </w:rPr>
        <w:t xml:space="preserve">raslada al usuario la carga de la prueba. La segunda es que la discusión sobre el emparejamiento por interacción se ha mantenido entre la negación corporativa y la sospecha comunitaria, sin evidencia verificable en ninguno de los dos sentidos. La tercera e</w:t>
      </w:r>
      <w:r>
        <w:rPr>
          <w:rFonts w:ascii="Times New Roman" w:hAnsi="Times New Roman" w:eastAsia="Times New Roman" w:cs="Times New Roman"/>
          <w:sz w:val="24"/>
          <w:szCs w:val="24"/>
        </w:rPr>
        <w:t xml:space="preserve">s metodológica y afecta a este mismo trabajo: un sistema que optimiza retención puede producir métricas agregadas aceptables y aun así manipular la secuencia individual de partidas de cada jugador, efecto que un modelo binomial no detecta por construcción.</w:t>
      </w:r>
      <w:r/>
    </w:p>
    <w:p>
      <w:pPr>
        <w:pStyle w:val="712"/>
        <w:pBdr/>
        <w:spacing w:after="180" w:before="340"/>
        <w:ind/>
        <w:rPr/>
      </w:pPr>
      <w:r>
        <w:rPr>
          <w:rFonts w:ascii="Times New Roman" w:hAnsi="Times New Roman" w:eastAsia="Times New Roman" w:cs="Times New Roman"/>
          <w:b/>
          <w:bCs/>
          <w:color w:val="000000"/>
          <w:sz w:val="28"/>
          <w:szCs w:val="28"/>
        </w:rPr>
        <w:t xml:space="preserve">6. Preparación del informe</w:t>
      </w:r>
      <w:r/>
    </w:p>
    <w:p>
      <w:pPr>
        <w:pStyle w:val="713"/>
        <w:pBdr/>
        <w:spacing w:after="140" w:before="240"/>
        <w:ind/>
        <w:rPr/>
      </w:pPr>
      <w:r>
        <w:rPr>
          <w:rFonts w:ascii="Times New Roman" w:hAnsi="Times New Roman" w:eastAsia="Times New Roman" w:cs="Times New Roman"/>
          <w:b/>
          <w:bCs/>
          <w:color w:val="000000"/>
          <w:sz w:val="24"/>
          <w:szCs w:val="24"/>
        </w:rPr>
        <w:t xml:space="preserve">6.1 Síntesis de la metodología</w:t>
      </w:r>
      <w:r/>
    </w:p>
    <w:p>
      <w:pPr>
        <w:pBdr/>
        <w:spacing w:after="0" w:before="220"/>
        <w:ind/>
        <w:rPr/>
      </w:pPr>
      <w:r>
        <w:rPr>
          <w:rFonts w:ascii="Times New Roman" w:hAnsi="Times New Roman" w:eastAsia="Times New Roman" w:cs="Times New Roman"/>
          <w:b/>
          <w:bCs/>
          <w:sz w:val="24"/>
          <w:szCs w:val="24"/>
        </w:rPr>
        <w:t xml:space="preserve">Tabla 16</w:t>
      </w:r>
      <w:r/>
    </w:p>
    <w:p>
      <w:pPr>
        <w:pBdr/>
        <w:spacing w:after="120"/>
        <w:ind/>
        <w:rPr/>
      </w:pPr>
      <w:r>
        <w:rPr>
          <w:rFonts w:ascii="Times New Roman" w:hAnsi="Times New Roman" w:eastAsia="Times New Roman" w:cs="Times New Roman"/>
          <w:i/>
          <w:iCs/>
          <w:sz w:val="24"/>
          <w:szCs w:val="24"/>
        </w:rPr>
        <w:t xml:space="preserve">Síntesis de la metodología por fase</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1400"/>
        <w:gridCol w:w="3600"/>
        <w:gridCol w:w="4360"/>
      </w:tblGrid>
      <w:tr>
        <w:trPr>
          <w:tblHeader/>
        </w:trPr>
        <w:tc>
          <w:tcPr>
            <w:shd w:val="clear" w:color="auto" w:fill="d9d9d9"/>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b/>
                <w:bCs/>
                <w:sz w:val="20"/>
                <w:szCs w:val="20"/>
              </w:rPr>
              <w:t xml:space="preserve">Fase</w:t>
            </w:r>
            <w:r/>
          </w:p>
        </w:tc>
        <w:tc>
          <w:tcPr>
            <w:shd w:val="clear" w:color="auto" w:fill="d9d9d9"/>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b/>
                <w:bCs/>
                <w:sz w:val="20"/>
                <w:szCs w:val="20"/>
              </w:rPr>
              <w:t xml:space="preserve">Metodología aplicada</w:t>
            </w:r>
            <w:r/>
          </w:p>
        </w:tc>
        <w:tc>
          <w:tcPr>
            <w:shd w:val="clear" w:color="auto" w:fill="d9d9d9"/>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b/>
                <w:bCs/>
                <w:sz w:val="20"/>
                <w:szCs w:val="20"/>
              </w:rPr>
              <w:t xml:space="preserve">Resultado obtenido</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1 y 2</w:t>
            </w:r>
            <w:r/>
          </w:p>
        </w:tc>
        <w:tc>
          <w:tcPr>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sz w:val="20"/>
                <w:szCs w:val="20"/>
              </w:rPr>
              <w:t xml:space="preserve">Definición del propósito, delimitación de la unidad y la población, verificación de las cuatro condiciones del modelo y formulación de objetivos</w:t>
            </w:r>
            <w:r/>
          </w:p>
        </w:tc>
        <w:tc>
          <w:tcPr>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sz w:val="20"/>
                <w:szCs w:val="20"/>
              </w:rPr>
              <w:t xml:space="preserve">Modelo planteado como X ~ Binomial(10, p) y siete objetivos específicos cumplidos</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3</w:t>
            </w:r>
            <w:r/>
          </w:p>
        </w:tc>
        <w:tc>
          <w:tcPr>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sz w:val="20"/>
                <w:szCs w:val="20"/>
              </w:rPr>
              <w:t xml:space="preserve">Plan calendarizado, criterio operativo verificable, levantamiento de 30 partidas y estimación de p por máxima verosimilitud</w:t>
            </w:r>
            <w:r/>
          </w:p>
        </w:tc>
        <w:tc>
          <w:tcPr>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sz w:val="20"/>
                <w:szCs w:val="20"/>
              </w:rPr>
              <w:t xml:space="preserve">k = 8, 7 y 6, con parámetros p de 0,80, 0,70 y 0,60</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4</w:t>
            </w:r>
            <w:r/>
          </w:p>
        </w:tc>
        <w:tc>
          <w:tcPr>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sz w:val="20"/>
                <w:szCs w:val="20"/>
              </w:rPr>
              <w:t xml:space="preserve">Cuestionario en Google Forms con preguntas abiertas, cerradas y de opción múltiple</w:t>
            </w:r>
            <w:r/>
          </w:p>
        </w:tc>
        <w:tc>
          <w:tcPr>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sz w:val="20"/>
                <w:szCs w:val="20"/>
              </w:rPr>
              <w:t xml:space="preserve">Estimación independiente del parámetro percibido y codificación de las respuestas abiertas</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5</w:t>
            </w:r>
            <w:r/>
          </w:p>
        </w:tc>
        <w:tc>
          <w:tcPr>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sz w:val="20"/>
                <w:szCs w:val="20"/>
              </w:rPr>
              <w:t xml:space="preserve">Distribución completa, acumuladas, medidas, prueba binomial exacta e intervalos de Wilson</w:t>
            </w:r>
            <w:r/>
          </w:p>
        </w:tc>
        <w:tc>
          <w:tcPr>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sz w:val="20"/>
                <w:szCs w:val="20"/>
              </w:rPr>
              <w:t xml:space="preserve">Orden consistente Riot Games &gt; Valve &gt; NetEase, sin significancia estadística con n = 10</w:t>
            </w:r>
            <w:r/>
          </w:p>
        </w:tc>
      </w:tr>
      <w:tr>
        <w:trPr/>
        <w:tc>
          <w:tcPr>
            <w:tcBorders/>
            <w:tcMar>
              <w:left w:w="90" w:type="dxa"/>
              <w:top w:w="60" w:type="dxa"/>
              <w:right w:w="90" w:type="dxa"/>
              <w:bottom w:w="60" w:type="dxa"/>
            </w:tcMar>
            <w:tcW w:w="1400" w:type="dxa"/>
          </w:tcPr>
          <w:p>
            <w:pPr>
              <w:pBdr/>
              <w:spacing w:after="0" w:line="240" w:lineRule="auto"/>
              <w:ind/>
              <w:jc w:val="center"/>
              <w:rPr/>
            </w:pPr>
            <w:r>
              <w:rPr>
                <w:rFonts w:ascii="Times New Roman" w:hAnsi="Times New Roman" w:eastAsia="Times New Roman" w:cs="Times New Roman"/>
                <w:sz w:val="20"/>
                <w:szCs w:val="20"/>
              </w:rPr>
              <w:t xml:space="preserve">6 y 7</w:t>
            </w:r>
            <w:r/>
          </w:p>
        </w:tc>
        <w:tc>
          <w:tcPr>
            <w:tcBorders/>
            <w:tcMar>
              <w:left w:w="90" w:type="dxa"/>
              <w:top w:w="60" w:type="dxa"/>
              <w:right w:w="90" w:type="dxa"/>
              <w:bottom w:w="60" w:type="dxa"/>
            </w:tcMar>
            <w:tcW w:w="3600" w:type="dxa"/>
          </w:tcPr>
          <w:p>
            <w:pPr>
              <w:pBdr/>
              <w:spacing w:after="0" w:line="240" w:lineRule="auto"/>
              <w:ind/>
              <w:jc w:val="center"/>
              <w:rPr/>
            </w:pPr>
            <w:r>
              <w:rPr>
                <w:rFonts w:ascii="Times New Roman" w:hAnsi="Times New Roman" w:eastAsia="Times New Roman" w:cs="Times New Roman"/>
                <w:sz w:val="20"/>
                <w:szCs w:val="20"/>
              </w:rPr>
              <w:t xml:space="preserve">Redacción del informe y preparación de la exposición</w:t>
            </w:r>
            <w:r/>
          </w:p>
        </w:tc>
        <w:tc>
          <w:tcPr>
            <w:tcBorders/>
            <w:tcMar>
              <w:left w:w="90" w:type="dxa"/>
              <w:top w:w="60" w:type="dxa"/>
              <w:right w:w="90" w:type="dxa"/>
              <w:bottom w:w="60" w:type="dxa"/>
            </w:tcMar>
            <w:tcW w:w="4360" w:type="dxa"/>
          </w:tcPr>
          <w:p>
            <w:pPr>
              <w:pBdr/>
              <w:spacing w:after="0" w:line="240" w:lineRule="auto"/>
              <w:ind/>
              <w:jc w:val="center"/>
              <w:rPr/>
            </w:pPr>
            <w:r>
              <w:rPr>
                <w:rFonts w:ascii="Times New Roman" w:hAnsi="Times New Roman" w:eastAsia="Times New Roman" w:cs="Times New Roman"/>
                <w:sz w:val="20"/>
                <w:szCs w:val="20"/>
              </w:rPr>
              <w:t xml:space="preserve">Documento final y material de presentación</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w:t>
      </w:r>
      <w:r/>
    </w:p>
    <w:p>
      <w:pPr>
        <w:pStyle w:val="713"/>
        <w:pBdr/>
        <w:spacing w:after="140" w:before="240"/>
        <w:ind/>
        <w:rPr/>
      </w:pPr>
      <w:r>
        <w:rPr>
          <w:rFonts w:ascii="Times New Roman" w:hAnsi="Times New Roman" w:eastAsia="Times New Roman" w:cs="Times New Roman"/>
          <w:b/>
          <w:bCs/>
          <w:color w:val="000000"/>
          <w:sz w:val="24"/>
          <w:szCs w:val="24"/>
        </w:rPr>
        <w:t xml:space="preserve">6.2 Principales resultados</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En el trabajo de campo se registraron 8 partidas balanceadas de 10 en League of Legends, 7 de 10 en Counter Strike 2 y 6 de 10 en Marvel Rivals.</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Los parámetros estimados son p = 0,80 para Riot Games, 0,70 para Valve y 0,60 para NetEase, con números esperados de 8,00, 7,00 y 6,00 partidas balanceadas por cada diez.</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La probabilidad de obtener al menos ocho partidas balanceadas es de 67,78 %, 38,28 % y 16,73 % respectivamente, es decir cuatro veces mayor en el mejor caso que en el peor.</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La probabilidad de que la mitad o más de las partidas resulten desequilibradas es de 3,28 %, 15,03 % y 36,69 %, once veces mayor en NetEase que en Riot Games.</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La dispersión aumenta conforme disminuye la confiabilidad, con varianzas de 1,600, 2,100 y 2,400 y coeficientes de variación de 15,81 %, 20,70 % y 25,82 %.</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La prueba binomial contra el nivel de referencia de 0,80 arrojó valores p de 0,6242, 0,3222 y 0,1209, de modo que no se rechaza la hipótesis nula en ningún caso.</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Los intervalos de confianza del 95 % se traslapan entre las tres empresas, lo que confirma que las diferencias no son estadísticamente significativas con n = 10.</w:t>
      </w:r>
      <w:r/>
    </w:p>
    <w:p>
      <w:pPr>
        <w:pStyle w:val="719"/>
        <w:numPr>
          <w:ilvl w:val="0"/>
          <w:numId w:val="4"/>
        </w:numPr>
        <w:pBdr/>
        <w:spacing w:after="100" w:line="300" w:lineRule="auto"/>
        <w:ind/>
        <w:jc w:val="both"/>
        <w:rPr/>
      </w:pPr>
      <w:r>
        <w:rPr>
          <w:rFonts w:ascii="Times New Roman" w:hAnsi="Times New Roman" w:eastAsia="Times New Roman" w:cs="Times New Roman"/>
          <w:sz w:val="24"/>
          <w:szCs w:val="24"/>
        </w:rPr>
        <w:t xml:space="preserve">El cuestionario arrojó parámetros percibidos de 0,733, 0,660 y 0,600, con brechas de −0,067, −0,040 y 0,000 respecto de lo observado.</w:t>
      </w:r>
      <w:r/>
    </w:p>
    <w:p>
      <w:pPr>
        <w:pStyle w:val="713"/>
        <w:pBdr/>
        <w:spacing w:after="140" w:before="240"/>
        <w:ind/>
        <w:rPr/>
      </w:pPr>
      <w:r>
        <w:rPr>
          <w:rFonts w:ascii="Times New Roman" w:hAnsi="Times New Roman" w:eastAsia="Times New Roman" w:cs="Times New Roman"/>
          <w:b/>
          <w:bCs/>
          <w:color w:val="000000"/>
          <w:sz w:val="24"/>
          <w:szCs w:val="24"/>
        </w:rPr>
        <w:t xml:space="preserve">6.3 Conclusiones</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Riot Games presenta</w:t>
      </w:r>
      <w:r>
        <w:rPr>
          <w:rFonts w:ascii="Times New Roman" w:hAnsi="Times New Roman" w:eastAsia="Times New Roman" w:cs="Times New Roman"/>
          <w:sz w:val="24"/>
          <w:szCs w:val="24"/>
        </w:rPr>
        <w:t xml:space="preserve"> la mayor confiabilidad estadística de las tres empresas analizadas, con el número esperado más alto de partidas balanceadas y la menor dispersión, lo que la convierte a la vez en el sistema más favorable y el más predecible dentro de la muestra estudiada.</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NetEase presenta la menor confiabilidad,</w:t>
      </w:r>
      <w:r>
        <w:rPr>
          <w:rFonts w:ascii="Times New Roman" w:hAnsi="Times New Roman" w:eastAsia="Times New Roman" w:cs="Times New Roman"/>
          <w:sz w:val="24"/>
          <w:szCs w:val="24"/>
        </w:rPr>
        <w:t xml:space="preserve"> y el hallazgo es doble, porque además de esperar menos partidas equilibradas es la empresa cuyo resultado es más difícil de anticipar. Menor media y mayor varianza es la peor configuración posible desde el punto de vista de la confiabilidad de un sistema.</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Valve ocupa una posición intermedia consistente en los cinco sucesos evaluados, lo que resulta coherente con su postura intermedia frente a la transparencia.</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Diferencias moderadas en el parámetro producen diferencias muy grand</w:t>
      </w:r>
      <w:r>
        <w:rPr>
          <w:rFonts w:ascii="Times New Roman" w:hAnsi="Times New Roman" w:eastAsia="Times New Roman" w:cs="Times New Roman"/>
          <w:sz w:val="24"/>
          <w:szCs w:val="24"/>
        </w:rPr>
        <w:t xml:space="preserve">es en la experiencia agregada. Una brecha de 0,20 entre Riot Games y NetEase se traduce en una probabilidad once veces mayor de atravesar una sesión mayoritariamente desequilibrada. Este efecto amplificador es el aporte analítico más relevante del trabajo.</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Ninguna de las tres empresas puede declararse incumplidora del nivel de balance</w:t>
      </w:r>
      <w:r>
        <w:rPr>
          <w:rFonts w:ascii="Times New Roman" w:hAnsi="Times New Roman" w:eastAsia="Times New Roman" w:cs="Times New Roman"/>
          <w:sz w:val="24"/>
          <w:szCs w:val="24"/>
        </w:rPr>
        <w:t xml:space="preserve"> documentado por Claypool et al. (2015), porque con diez partidas por compañía la prueba binomial no alcanza significancia. Lo que sí puede afirmarse es que el orden de los valores p apunta en la misma dirección que todos los demás indicadores del estudio.</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La confiabilidad percibida por los jugadores es igual o inferior a la observada en las tres empresas, aunque con una muestra pequeña y no aleatoria que impide afirmar una relación causal con el grado de transparencia.</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La distribución binomial resultó adecuada como primera aproximación al problema, pero su punto débil es el supuesto de independencia, que es precisamente el que quedaría en entredicho si alguna empresa aplicara emparejamiento optimizado por interacción.</w:t>
      </w:r>
      <w:r/>
    </w:p>
    <w:p>
      <w:pPr>
        <w:pStyle w:val="719"/>
        <w:numPr>
          <w:ilvl w:val="0"/>
          <w:numId w:val="5"/>
        </w:numPr>
        <w:pBdr/>
        <w:spacing w:after="100" w:line="300" w:lineRule="auto"/>
        <w:ind/>
        <w:jc w:val="both"/>
        <w:rPr/>
      </w:pPr>
      <w:r>
        <w:rPr>
          <w:rFonts w:ascii="Times New Roman" w:hAnsi="Times New Roman" w:eastAsia="Times New Roman" w:cs="Times New Roman"/>
          <w:sz w:val="24"/>
          <w:szCs w:val="24"/>
        </w:rPr>
        <w:t xml:space="preserve">Desde el punto de vista de la ingeniería de tecnologías de información, el ejercicio demuestra que es posible construir u</w:t>
      </w:r>
      <w:r>
        <w:rPr>
          <w:rFonts w:ascii="Times New Roman" w:hAnsi="Times New Roman" w:eastAsia="Times New Roman" w:cs="Times New Roman"/>
          <w:sz w:val="24"/>
          <w:szCs w:val="24"/>
        </w:rPr>
        <w:t xml:space="preserve">na medida de confiabilidad auditable de un sistema cerrado utilizando exclusivamente datos públicos y una distribución discreta elemental, lo que representa una herramienta concreta frente a la asimetría de información entre las plataformas y sus usuarios.</w:t>
      </w:r>
      <w:r/>
    </w:p>
    <w:p>
      <w:pPr>
        <w:pStyle w:val="713"/>
        <w:pBdr/>
        <w:spacing w:after="140" w:before="240"/>
        <w:ind/>
        <w:rPr/>
      </w:pPr>
      <w:r>
        <w:rPr>
          <w:rFonts w:ascii="Times New Roman" w:hAnsi="Times New Roman" w:eastAsia="Times New Roman" w:cs="Times New Roman"/>
          <w:b/>
          <w:bCs/>
          <w:color w:val="000000"/>
          <w:sz w:val="24"/>
          <w:szCs w:val="24"/>
        </w:rPr>
        <w:t xml:space="preserve">6.4 Recomendaciones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Ampliar la muestra a un mínimo de treinta partidas por empresa, lo que reduciría el error estándar a alrededor de siete puntos porcentuales y permitiría que la prueba binomial alcanzara potencia suficiente para detectar las diferencias observadas.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Aplicar una prueba de diferencia de proporciones entre pares de empresas, que responde una pregunta distinta de la prueba contra el nivel de referencia y que con la muestra actual carecería de potencia.</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Registrar el orden temporal de las partidas de un mismo jugador y aplicar una prueba de rachas, que permitiría examinar directamente el supuesto de independencia en lugar de asumirlo.</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Complementar el modelo binomial con una distribución de Poisson aplicada al número de partidas desequilibradas por sesión, y con la aproximación normal para muestras grandes.</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Sustituir la clasificación dicotómica por un índice continuo de desbalance, conservando la versión binaria únicamente para efectos comparativos con el presente estudio.</w:t>
      </w:r>
      <w:r/>
    </w:p>
    <w:p>
      <w:pPr>
        <w:pStyle w:val="719"/>
        <w:numPr>
          <w:ilvl w:val="0"/>
          <w:numId w:val="2"/>
        </w:numPr>
        <w:pBdr/>
        <w:spacing w:after="100" w:line="300" w:lineRule="auto"/>
        <w:ind/>
        <w:jc w:val="both"/>
        <w:rPr/>
      </w:pPr>
      <w:r>
        <w:rPr>
          <w:rFonts w:ascii="Times New Roman" w:hAnsi="Times New Roman" w:eastAsia="Times New Roman" w:cs="Times New Roman"/>
          <w:sz w:val="24"/>
          <w:szCs w:val="24"/>
        </w:rPr>
        <w:t xml:space="preserve">Recomendar a las plataformas la publicación periódica de un indicador agregado de balance de partidas, que permitiría auditoría externa sin exponer la lógica interna del algoritmo.</w:t>
      </w:r>
      <w:r/>
    </w:p>
    <w:p>
      <w:pPr>
        <w:pStyle w:val="712"/>
        <w:pBdr/>
        <w:spacing w:after="180" w:before="340"/>
        <w:ind/>
        <w:rPr/>
      </w:pPr>
      <w:r>
        <w:rPr>
          <w:rFonts w:ascii="Times New Roman" w:hAnsi="Times New Roman" w:eastAsia="Times New Roman" w:cs="Times New Roman"/>
          <w:b/>
          <w:bCs/>
          <w:color w:val="000000"/>
          <w:sz w:val="28"/>
          <w:szCs w:val="28"/>
        </w:rPr>
        <w:t xml:space="preserve">7. Glosario de términos</w:t>
      </w:r>
      <w:r/>
    </w:p>
    <w:p>
      <w:pPr>
        <w:pBdr/>
        <w:spacing w:after="160" w:line="300" w:lineRule="auto"/>
        <w:ind/>
        <w:jc w:val="both"/>
        <w:rPr/>
      </w:pPr>
      <w:r>
        <w:rPr>
          <w:rFonts w:ascii="Times New Roman" w:hAnsi="Times New Roman" w:eastAsia="Times New Roman" w:cs="Times New Roman"/>
          <w:sz w:val="24"/>
          <w:szCs w:val="24"/>
        </w:rPr>
        <w:t xml:space="preserve">Se recogen aquí los términos estadísticos y del dominio de estudio empleados a lo largo del informe, ordenados alfabéticamente dentro de cada categoría.</w:t>
      </w:r>
      <w:r/>
    </w:p>
    <w:p>
      <w:pPr>
        <w:pBdr/>
        <w:spacing w:after="0" w:before="220"/>
        <w:ind/>
        <w:rPr/>
      </w:pPr>
      <w:r>
        <w:rPr>
          <w:rFonts w:ascii="Times New Roman" w:hAnsi="Times New Roman" w:eastAsia="Times New Roman" w:cs="Times New Roman"/>
          <w:b/>
          <w:bCs/>
          <w:sz w:val="24"/>
          <w:szCs w:val="24"/>
        </w:rPr>
        <w:t xml:space="preserve">Tabla 1</w:t>
      </w:r>
      <w:r>
        <w:rPr>
          <w:rFonts w:ascii="Times New Roman" w:hAnsi="Times New Roman" w:eastAsia="Times New Roman" w:cs="Times New Roman"/>
          <w:b/>
          <w:bCs/>
          <w:sz w:val="24"/>
          <w:szCs w:val="24"/>
          <w:lang w:val="es-ES"/>
        </w:rPr>
        <w:t xml:space="preserve">7</w:t>
      </w:r>
      <w:r/>
    </w:p>
    <w:p>
      <w:pPr>
        <w:pBdr/>
        <w:spacing w:after="120"/>
        <w:ind/>
        <w:rPr/>
      </w:pPr>
      <w:r>
        <w:rPr>
          <w:rFonts w:ascii="Times New Roman" w:hAnsi="Times New Roman" w:eastAsia="Times New Roman" w:cs="Times New Roman"/>
          <w:i/>
          <w:iCs/>
          <w:sz w:val="24"/>
          <w:szCs w:val="24"/>
        </w:rPr>
        <w:t xml:space="preserve">Términos del dominio de estudio</w:t>
      </w:r>
      <w:r/>
    </w:p>
    <w:tbl>
      <w:tblPr>
        <w:tblW w:w="9360" w:type="dxa"/>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ook w:val="04A0" w:firstRow="1" w:lastRow="0" w:firstColumn="1" w:lastColumn="0" w:noHBand="0" w:noVBand="1"/>
      </w:tblPr>
      <w:tblGrid>
        <w:gridCol w:w="2400"/>
        <w:gridCol w:w="6960"/>
      </w:tblGrid>
      <w:tr>
        <w:trPr>
          <w:tblHeader/>
        </w:trPr>
        <w:tc>
          <w:tcPr>
            <w:shd w:val="clear" w:color="auto" w:fill="d9d9d9"/>
            <w:tcBorders/>
            <w:tcMar>
              <w:left w:w="90" w:type="dxa"/>
              <w:top w:w="60" w:type="dxa"/>
              <w:right w:w="90" w:type="dxa"/>
              <w:bottom w:w="60" w:type="dxa"/>
            </w:tcMar>
            <w:tcW w:w="2400" w:type="dxa"/>
          </w:tcPr>
          <w:p>
            <w:pPr>
              <w:pBdr/>
              <w:spacing w:after="0" w:line="240" w:lineRule="auto"/>
              <w:ind/>
              <w:jc w:val="center"/>
              <w:rPr/>
            </w:pPr>
            <w:r>
              <w:rPr>
                <w:rFonts w:ascii="Times New Roman" w:hAnsi="Times New Roman" w:eastAsia="Times New Roman" w:cs="Times New Roman"/>
                <w:b/>
                <w:bCs/>
                <w:sz w:val="20"/>
                <w:szCs w:val="20"/>
              </w:rPr>
              <w:t xml:space="preserve">Término</w:t>
            </w:r>
            <w:r/>
          </w:p>
        </w:tc>
        <w:tc>
          <w:tcPr>
            <w:shd w:val="clear" w:color="auto" w:fill="d9d9d9"/>
            <w:tcBorders/>
            <w:tcMar>
              <w:left w:w="90" w:type="dxa"/>
              <w:top w:w="60" w:type="dxa"/>
              <w:right w:w="90" w:type="dxa"/>
              <w:bottom w:w="60" w:type="dxa"/>
            </w:tcMar>
            <w:tcW w:w="6960" w:type="dxa"/>
          </w:tcPr>
          <w:p>
            <w:pPr>
              <w:pBdr/>
              <w:spacing w:after="0" w:line="240" w:lineRule="auto"/>
              <w:ind/>
              <w:jc w:val="center"/>
              <w:rPr/>
            </w:pPr>
            <w:r>
              <w:rPr>
                <w:rFonts w:ascii="Times New Roman" w:hAnsi="Times New Roman" w:eastAsia="Times New Roman" w:cs="Times New Roman"/>
                <w:b/>
                <w:bCs/>
                <w:sz w:val="20"/>
                <w:szCs w:val="20"/>
              </w:rPr>
              <w:t xml:space="preserve">Definición y uso en este trabajo</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Autofill</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Asignación automática de un jugador a una posición distinta de la que solicitó, aplicada para reducir el tiempo de cola. Es una fuente reconocida de desbalance.</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Criterio C1</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Condición de homogeneidad previa. Exige que la diferencia de rating o rango promedio entre los equipos no supere el umbral definido para el título.</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Criterio C2</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Condición de competitividad del resultado. Exige que el marcador final se mantenga dentro del margen definido y que la partida no se resuelva de forma unilateral.</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CS Rating</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Puntuación numérica visible del modo Premier de Counter Strike 2. Valve no publica la fórmula que la produce.</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EOMM</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Engagement Optimized Matchmaking, o emparejamiento optimizado por interacción. Marco formalizado por Chen et al. (2017) en el que el sistema empareja para maximizar la retención del jugador y no necesariamente el equilibrio de la partida.</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Lobby</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Sala virtual donde el sistema reúne a los jugadores antes de iniciar la partida.</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Matchmaking</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Proceso mediante el cual el sistema selecciona y agrupa jugadores para formar los equipos de una partida.</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MMR</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Matchmaking Rating, valor numérico oculto que representa la habilidad estimada de un jugador y que el sistema utiliza para emparejar. No coincide necesariamente con el rango visible.</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Partida balanceada</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En este trabajo, la que cumple simultáneamente los criterios C1 y C2. Constituye el éxito del ensayo binomial.</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Rango visible</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Categoría mostrada al jugador, como Oro o Platino, dividida a su vez en divisiones. Es una representación simplificada del MMR.</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SBMM</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Skill Based Matchmaking, o emparejamiento basado en habilidad. Criterio que agrupa jugadores de nivel similar y que las tres empresas declaran aplicar.</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Smurfing</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Práctica de un jugador experimentado que utiliza una cuenta secundaria de rango bajo, lo que desbalancea las partidas de ese segmento.</w:t>
            </w:r>
            <w:r/>
          </w:p>
        </w:tc>
      </w:tr>
      <w:tr>
        <w:trPr/>
        <w:tc>
          <w:tcPr>
            <w:tcBorders/>
            <w:tcMar>
              <w:left w:w="90" w:type="dxa"/>
              <w:top w:w="60" w:type="dxa"/>
              <w:right w:w="90" w:type="dxa"/>
              <w:bottom w:w="60" w:type="dxa"/>
            </w:tcMar>
            <w:tcW w:w="2400" w:type="dxa"/>
          </w:tcPr>
          <w:p>
            <w:pPr>
              <w:pBdr/>
              <w:spacing w:after="0" w:line="240" w:lineRule="auto"/>
              <w:ind/>
              <w:jc w:val="left"/>
              <w:rPr/>
            </w:pPr>
            <w:r>
              <w:rPr>
                <w:rFonts w:ascii="Times New Roman" w:hAnsi="Times New Roman" w:eastAsia="Times New Roman" w:cs="Times New Roman"/>
                <w:sz w:val="20"/>
                <w:szCs w:val="20"/>
              </w:rPr>
              <w:t xml:space="preserve">Tiempo de cola</w:t>
            </w:r>
            <w:r/>
          </w:p>
        </w:tc>
        <w:tc>
          <w:tcPr>
            <w:tcBorders/>
            <w:tcMar>
              <w:left w:w="90" w:type="dxa"/>
              <w:top w:w="60" w:type="dxa"/>
              <w:right w:w="90" w:type="dxa"/>
              <w:bottom w:w="60" w:type="dxa"/>
            </w:tcMar>
            <w:tcW w:w="6960" w:type="dxa"/>
          </w:tcPr>
          <w:p>
            <w:pPr>
              <w:pBdr/>
              <w:spacing w:after="0" w:line="240" w:lineRule="auto"/>
              <w:ind/>
              <w:jc w:val="left"/>
              <w:rPr/>
            </w:pPr>
            <w:r>
              <w:rPr>
                <w:rFonts w:ascii="Times New Roman" w:hAnsi="Times New Roman" w:eastAsia="Times New Roman" w:cs="Times New Roman"/>
                <w:sz w:val="20"/>
                <w:szCs w:val="20"/>
              </w:rPr>
              <w:t xml:space="preserve">Espera del jugador antes de que el sistema arme la partida. Existe un compromiso documentado entre reducir esta espera y lograr un emparejamiento más equilibrado.</w:t>
            </w:r>
            <w:r/>
          </w:p>
        </w:tc>
      </w:tr>
    </w:tbl>
    <w:p>
      <w:pPr>
        <w:pBdr/>
        <w:spacing w:after="220" w:before="80"/>
        <w:ind/>
        <w:jc w:val="left"/>
        <w:rPr/>
      </w:pPr>
      <w:r>
        <w:rPr>
          <w:rFonts w:ascii="Times New Roman" w:hAnsi="Times New Roman" w:eastAsia="Times New Roman" w:cs="Times New Roman"/>
          <w:i/>
          <w:iCs/>
          <w:sz w:val="20"/>
          <w:szCs w:val="20"/>
        </w:rPr>
        <w:t xml:space="preserve">Nota. </w:t>
      </w:r>
      <w:r>
        <w:rPr>
          <w:rFonts w:ascii="Times New Roman" w:hAnsi="Times New Roman" w:eastAsia="Times New Roman" w:cs="Times New Roman"/>
          <w:sz w:val="20"/>
          <w:szCs w:val="20"/>
        </w:rPr>
        <w:t xml:space="preserve">Elaboración propia.</w:t>
      </w:r>
      <w:r/>
    </w:p>
    <w:p>
      <w:pPr>
        <w:pStyle w:val="712"/>
        <w:pBdr/>
        <w:spacing w:after="180" w:before="340"/>
        <w:ind/>
        <w:rPr/>
      </w:pPr>
      <w:r>
        <w:rPr>
          <w:rFonts w:ascii="Times New Roman" w:hAnsi="Times New Roman" w:eastAsia="Times New Roman" w:cs="Times New Roman"/>
          <w:b/>
          <w:bCs/>
          <w:color w:val="000000"/>
          <w:sz w:val="28"/>
          <w:szCs w:val="28"/>
        </w:rPr>
        <w:t xml:space="preserve">Referencias</w:t>
      </w:r>
      <w:r/>
    </w:p>
    <w:p>
      <w:pPr>
        <w:pBdr/>
        <w:spacing w:after="160" w:line="300" w:lineRule="auto"/>
        <w:ind w:hanging="480" w:left="480"/>
        <w:jc w:val="left"/>
        <w:rPr/>
      </w:pPr>
      <w:r>
        <w:rPr>
          <w:rFonts w:ascii="Times New Roman" w:hAnsi="Times New Roman" w:eastAsia="Times New Roman" w:cs="Times New Roman"/>
          <w:sz w:val="24"/>
          <w:szCs w:val="24"/>
        </w:rPr>
        <w:t xml:space="preserve">Chen, Z., Xue, S., Kolen, J., Aghdaie, N., Zaman, K. A., Sun, Y., &amp; Seif El-Nasr, M. (2017). EOMM: An engagement optimized matchmaking framework. arXiv. https://arxiv.org/abs/1702.06820</w:t>
      </w:r>
      <w:r/>
    </w:p>
    <w:p>
      <w:pPr>
        <w:pBdr/>
        <w:spacing w:after="160" w:line="300" w:lineRule="auto"/>
        <w:ind w:hanging="480" w:left="480"/>
        <w:jc w:val="left"/>
        <w:rPr/>
      </w:pPr>
      <w:r>
        <w:rPr>
          <w:rFonts w:ascii="Times New Roman" w:hAnsi="Times New Roman" w:eastAsia="Times New Roman" w:cs="Times New Roman"/>
          <w:sz w:val="24"/>
          <w:szCs w:val="24"/>
        </w:rPr>
        <w:t xml:space="preserve">Claypool, M., Decelle, J., Hall, G., &amp; O’Donnell, L. (2015). Surrender at 20? Matchmaking in League of Legends. Worcester Polytechnic Institute. https://web.cs.wpi.edu/~claypool/papers/lol-matchmaking/paper.pdf</w:t>
      </w:r>
      <w:r/>
    </w:p>
    <w:p>
      <w:pPr>
        <w:pBdr/>
        <w:spacing w:after="160" w:line="300" w:lineRule="auto"/>
        <w:ind w:hanging="480" w:left="480"/>
        <w:jc w:val="left"/>
        <w:rPr/>
      </w:pPr>
      <w:r>
        <w:rPr>
          <w:rFonts w:ascii="Times New Roman" w:hAnsi="Times New Roman" w:eastAsia="Times New Roman" w:cs="Times New Roman"/>
          <w:sz w:val="24"/>
          <w:szCs w:val="24"/>
        </w:rPr>
        <w:t xml:space="preserve">csstats.gg. (2026). CS2 stats: The ultimate CS2 stat tracker. https://csstats.gg/</w:t>
      </w:r>
      <w:r/>
    </w:p>
    <w:p>
      <w:pPr>
        <w:pBdr/>
        <w:spacing w:after="160" w:line="300" w:lineRule="auto"/>
        <w:ind w:hanging="480" w:left="480"/>
        <w:jc w:val="left"/>
        <w:rPr/>
      </w:pPr>
      <w:r>
        <w:rPr>
          <w:rFonts w:ascii="Times New Roman" w:hAnsi="Times New Roman" w:eastAsia="Times New Roman" w:cs="Times New Roman"/>
          <w:sz w:val="24"/>
          <w:szCs w:val="24"/>
        </w:rPr>
        <w:t xml:space="preserve">Esports Insider. (2026, 3 de marzo). Riot Games explains League of Legends Ranked MMR redistribution and hints at new tier. https://esportsinsider.com/2026/03/riot-games-explains-league-of-legends-ranked-mmr-redistribution</w:t>
      </w:r>
      <w:r/>
    </w:p>
    <w:p>
      <w:pPr>
        <w:pBdr/>
        <w:spacing w:after="160" w:line="300" w:lineRule="auto"/>
        <w:ind w:hanging="480" w:left="480"/>
        <w:jc w:val="left"/>
        <w:rPr/>
      </w:pPr>
      <w:r>
        <w:rPr>
          <w:rFonts w:ascii="Times New Roman" w:hAnsi="Times New Roman" w:eastAsia="Times New Roman" w:cs="Times New Roman"/>
          <w:sz w:val="24"/>
          <w:szCs w:val="24"/>
        </w:rPr>
        <w:t xml:space="preserve">Fragster. (2025, 24 de agosto). Marvel Rivals explains matchmaking after community backlash. https://www.fragster.com/marvel-rivals-explains-matchmaking-after-community-backlash/</w:t>
      </w:r>
      <w:r/>
    </w:p>
    <w:p>
      <w:pPr>
        <w:pBdr/>
        <w:spacing w:after="160" w:line="300" w:lineRule="auto"/>
        <w:ind w:hanging="480" w:left="480"/>
        <w:jc w:val="left"/>
        <w:rPr/>
      </w:pPr>
      <w:r>
        <w:rPr>
          <w:rFonts w:ascii="Times New Roman" w:hAnsi="Times New Roman" w:eastAsia="Times New Roman" w:cs="Times New Roman"/>
          <w:sz w:val="24"/>
          <w:szCs w:val="24"/>
        </w:rPr>
        <w:t xml:space="preserve">GamesRadar+. (2025, 11 de agosto). Marvel Rivals devs say matchmaking is a complex system as debates a</w:t>
      </w:r>
      <w:r>
        <w:rPr>
          <w:rFonts w:ascii="Times New Roman" w:hAnsi="Times New Roman" w:eastAsia="Times New Roman" w:cs="Times New Roman"/>
          <w:sz w:val="24"/>
          <w:szCs w:val="24"/>
        </w:rPr>
        <w:t xml:space="preserve">bout SBMM versus EOMM rage. https://www.gamesradar.com/games/third-person-shooter/marvel-rivals-devs-say-matchmaking-is-a-complex-system-as-debates-about-sbmm-versus-eomm-rage-but-theyre-going-to-talk-about-all-the-matchmaking-things-in-a-video-this-month/</w:t>
      </w:r>
      <w:r/>
    </w:p>
    <w:p>
      <w:pPr>
        <w:pBdr/>
        <w:spacing w:after="160" w:line="300" w:lineRule="auto"/>
        <w:ind w:hanging="480" w:left="480"/>
        <w:jc w:val="left"/>
        <w:rPr/>
      </w:pPr>
      <w:r>
        <w:rPr>
          <w:rFonts w:ascii="Times New Roman" w:hAnsi="Times New Roman" w:eastAsia="Times New Roman" w:cs="Times New Roman"/>
          <w:sz w:val="24"/>
          <w:szCs w:val="24"/>
        </w:rPr>
        <w:t xml:space="preserve">Gfinity Esports. (2025, 29 de julio). Marvel Rivals: Are players right about rigged matchmaking? https://www.gfinityesports.com/article/marvel-rivals-are-players-right-about-rigged-matchmaking</w:t>
      </w:r>
      <w:r/>
    </w:p>
    <w:p>
      <w:pPr>
        <w:pBdr/>
        <w:spacing w:after="160" w:line="300" w:lineRule="auto"/>
        <w:ind w:hanging="480" w:left="480"/>
        <w:jc w:val="left"/>
        <w:rPr/>
      </w:pPr>
      <w:r>
        <w:rPr>
          <w:rFonts w:ascii="Times New Roman" w:hAnsi="Times New Roman" w:eastAsia="Times New Roman" w:cs="Times New Roman"/>
          <w:sz w:val="24"/>
          <w:szCs w:val="24"/>
        </w:rPr>
        <w:t xml:space="preserve">OP.GG. (2026a). League of Legends stats. https://op.gg/</w:t>
      </w:r>
      <w:r/>
    </w:p>
    <w:p>
      <w:pPr>
        <w:pBdr/>
        <w:spacing w:after="160" w:line="300" w:lineRule="auto"/>
        <w:ind w:hanging="480" w:left="480"/>
        <w:jc w:val="left"/>
        <w:rPr/>
      </w:pPr>
      <w:r>
        <w:rPr>
          <w:rFonts w:ascii="Times New Roman" w:hAnsi="Times New Roman" w:eastAsia="Times New Roman" w:cs="Times New Roman"/>
          <w:sz w:val="24"/>
          <w:szCs w:val="24"/>
        </w:rPr>
        <w:t xml:space="preserve">OP.GG. (2026b). Marvel Rivals stats and leaderboards. https://op.gg/marvel-rivals</w:t>
      </w:r>
      <w:r/>
    </w:p>
    <w:p>
      <w:pPr>
        <w:pBdr/>
        <w:spacing w:after="160" w:line="300" w:lineRule="auto"/>
        <w:ind w:hanging="480" w:left="480"/>
        <w:jc w:val="left"/>
        <w:rPr/>
      </w:pPr>
      <w:r>
        <w:rPr>
          <w:rFonts w:ascii="Times New Roman" w:hAnsi="Times New Roman" w:eastAsia="Times New Roman" w:cs="Times New Roman"/>
          <w:sz w:val="24"/>
          <w:szCs w:val="24"/>
        </w:rPr>
        <w:t xml:space="preserve">Popko, J. (2025, 2 de octubre). Riot Games addresses League of Legends matchmaking concerns. Esports Insider. https://esportsinsider.com/2025/10/riot-games-addresses-league-of-legends-matchmaking-concerns</w:t>
      </w:r>
      <w:r/>
    </w:p>
    <w:p>
      <w:pPr>
        <w:pBdr/>
        <w:spacing w:after="160" w:line="300" w:lineRule="auto"/>
        <w:ind w:hanging="480" w:left="480"/>
        <w:jc w:val="left"/>
        <w:rPr/>
      </w:pPr>
      <w:r>
        <w:rPr>
          <w:rFonts w:ascii="Times New Roman" w:hAnsi="Times New Roman" w:eastAsia="Times New Roman" w:cs="Times New Roman"/>
          <w:sz w:val="24"/>
          <w:szCs w:val="24"/>
        </w:rPr>
        <w:t xml:space="preserve">Riot Games. (2024, 23 de septiembre). /dev: Matchmaking in 2024. League of Legends. https://www.leagueoflegends.com/en-us/news/dev/dev-matchmaking-in-2024/</w:t>
      </w:r>
      <w:r/>
    </w:p>
    <w:p>
      <w:pPr>
        <w:pBdr/>
        <w:spacing w:after="160" w:line="300" w:lineRule="auto"/>
        <w:ind w:hanging="480" w:left="480"/>
        <w:jc w:val="left"/>
        <w:rPr/>
      </w:pPr>
      <w:r>
        <w:rPr>
          <w:rFonts w:ascii="Times New Roman" w:hAnsi="Times New Roman" w:eastAsia="Times New Roman" w:cs="Times New Roman"/>
          <w:sz w:val="24"/>
          <w:szCs w:val="24"/>
        </w:rPr>
        <w:t xml:space="preserve">Strafe. (2026, 18 de abril). CS2 ELO explained: How the rating system works. https://www.strafe.com/articles/read/cs2-elo-explained-how-the-rating-system-works/</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5"/>
    <w:uiPriority w:val="9"/>
    <w:pPr>
      <w:pBdr/>
      <w:spacing/>
      <w:ind/>
    </w:pPr>
    <w:rPr>
      <w:rFonts w:ascii="Arial" w:hAnsi="Arial" w:eastAsia="Arial" w:cs="Arial"/>
      <w:i/>
      <w:iCs/>
      <w:color w:val="0f4761" w:themeColor="accent1" w:themeShade="BF"/>
    </w:rPr>
  </w:style>
  <w:style w:type="character" w:styleId="154">
    <w:name w:val="Heading 5 Char"/>
    <w:basedOn w:val="148"/>
    <w:link w:val="716"/>
    <w:uiPriority w:val="9"/>
    <w:pPr>
      <w:pBdr/>
      <w:spacing/>
      <w:ind/>
    </w:pPr>
    <w:rPr>
      <w:rFonts w:ascii="Arial" w:hAnsi="Arial" w:eastAsia="Arial" w:cs="Arial"/>
      <w:color w:val="0f4761" w:themeColor="accent1" w:themeShade="BF"/>
    </w:rPr>
  </w:style>
  <w:style w:type="character" w:styleId="155">
    <w:name w:val="Heading 6 Char"/>
    <w:basedOn w:val="148"/>
    <w:link w:val="71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1">
    <w:name w:val="Title"/>
    <w:qFormat/>
    <w:pPr>
      <w:pBdr/>
      <w:spacing/>
      <w:ind/>
    </w:pPr>
    <w:rPr>
      <w:sz w:val="56"/>
      <w:szCs w:val="56"/>
    </w:rPr>
  </w:style>
  <w:style w:type="paragraph" w:styleId="712">
    <w:name w:val="Heading 1"/>
    <w:qFormat/>
    <w:pPr>
      <w:pBdr/>
      <w:spacing/>
      <w:ind/>
    </w:pPr>
    <w:rPr>
      <w:color w:val="2e74b5"/>
      <w:sz w:val="32"/>
      <w:szCs w:val="32"/>
    </w:rPr>
  </w:style>
  <w:style w:type="paragraph" w:styleId="713">
    <w:name w:val="Heading 2"/>
    <w:qFormat/>
    <w:pPr>
      <w:pBdr/>
      <w:spacing/>
      <w:ind/>
    </w:pPr>
    <w:rPr>
      <w:color w:val="2e74b5"/>
      <w:sz w:val="26"/>
      <w:szCs w:val="26"/>
    </w:rPr>
  </w:style>
  <w:style w:type="paragraph" w:styleId="714">
    <w:name w:val="Heading 3"/>
    <w:qFormat/>
    <w:pPr>
      <w:pBdr/>
      <w:spacing/>
      <w:ind/>
    </w:pPr>
    <w:rPr>
      <w:color w:val="1f4d78"/>
      <w:sz w:val="24"/>
      <w:szCs w:val="24"/>
    </w:rPr>
  </w:style>
  <w:style w:type="paragraph" w:styleId="715">
    <w:name w:val="Heading 4"/>
    <w:qFormat/>
    <w:pPr>
      <w:pBdr/>
      <w:spacing/>
      <w:ind/>
    </w:pPr>
    <w:rPr>
      <w:i/>
      <w:iCs/>
      <w:color w:val="2e74b5"/>
    </w:rPr>
  </w:style>
  <w:style w:type="paragraph" w:styleId="716">
    <w:name w:val="Heading 5"/>
    <w:qFormat/>
    <w:pPr>
      <w:pBdr/>
      <w:spacing/>
      <w:ind/>
    </w:pPr>
    <w:rPr>
      <w:color w:val="2e74b5"/>
    </w:rPr>
  </w:style>
  <w:style w:type="paragraph" w:styleId="717">
    <w:name w:val="Heading 6"/>
    <w:qFormat/>
    <w:pPr>
      <w:pBdr/>
      <w:spacing/>
      <w:ind/>
    </w:pPr>
    <w:rPr>
      <w:color w:val="1f4d78"/>
    </w:rPr>
  </w:style>
  <w:style w:type="paragraph" w:styleId="718">
    <w:name w:val="Strong"/>
    <w:qFormat/>
    <w:pPr>
      <w:pBdr/>
      <w:spacing/>
      <w:ind/>
    </w:pPr>
    <w:rPr>
      <w:b/>
      <w:bCs/>
    </w:rPr>
  </w:style>
  <w:style w:type="paragraph" w:styleId="719">
    <w:name w:val="List Paragraph"/>
    <w:qFormat/>
    <w:pPr>
      <w:pBdr/>
      <w:spacing/>
      <w:ind/>
    </w:pPr>
  </w:style>
  <w:style w:type="character" w:styleId="720">
    <w:name w:val="Hyperlink"/>
    <w:uiPriority w:val="99"/>
    <w:unhideWhenUsed/>
    <w:pPr>
      <w:pBdr/>
      <w:spacing/>
      <w:ind/>
    </w:pPr>
    <w:rPr>
      <w:color w:val="0563c1"/>
      <w:u w:val="single"/>
    </w:rPr>
  </w:style>
  <w:style w:type="character" w:styleId="721">
    <w:name w:val="footnote reference"/>
    <w:uiPriority w:val="99"/>
    <w:semiHidden/>
    <w:unhideWhenUsed/>
    <w:pPr>
      <w:pBdr/>
      <w:spacing/>
      <w:ind/>
    </w:pPr>
    <w:rPr>
      <w:vertAlign w:val="superscript"/>
    </w:rPr>
  </w:style>
  <w:style w:type="paragraph" w:styleId="722">
    <w:name w:val="footnote text"/>
    <w:link w:val="723"/>
    <w:uiPriority w:val="99"/>
    <w:semiHidden/>
    <w:unhideWhenUsed/>
    <w:pPr>
      <w:pBdr/>
      <w:spacing w:after="0" w:line="240" w:lineRule="auto"/>
      <w:ind/>
    </w:pPr>
    <w:rPr>
      <w:sz w:val="20"/>
      <w:szCs w:val="20"/>
    </w:rPr>
  </w:style>
  <w:style w:type="character" w:styleId="723">
    <w:name w:val="Footnote Text Char"/>
    <w:link w:val="722"/>
    <w:uiPriority w:val="99"/>
    <w:semiHidden/>
    <w:unhideWhenUsed/>
    <w:pPr>
      <w:pBdr/>
      <w:spacing/>
      <w:ind/>
    </w:pPr>
    <w:rPr>
      <w:sz w:val="20"/>
      <w:szCs w:val="20"/>
    </w:rPr>
  </w:style>
  <w:style w:type="character" w:styleId="724">
    <w:name w:val="endnote reference"/>
    <w:uiPriority w:val="99"/>
    <w:semiHidden/>
    <w:unhideWhenUsed/>
    <w:pPr>
      <w:pBdr/>
      <w:spacing/>
      <w:ind/>
    </w:pPr>
    <w:rPr>
      <w:vertAlign w:val="superscript"/>
    </w:rPr>
  </w:style>
  <w:style w:type="paragraph" w:styleId="725">
    <w:name w:val="endnote text"/>
    <w:link w:val="726"/>
    <w:uiPriority w:val="99"/>
    <w:semiHidden/>
    <w:unhideWhenUsed/>
    <w:pPr>
      <w:pBdr/>
      <w:spacing w:after="0" w:line="240" w:lineRule="auto"/>
      <w:ind/>
    </w:pPr>
    <w:rPr>
      <w:sz w:val="20"/>
      <w:szCs w:val="20"/>
    </w:rPr>
  </w:style>
  <w:style w:type="character" w:styleId="726">
    <w:name w:val="Endnote Text Char"/>
    <w:link w:val="72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2026-08-06T19:10:08Z</dcterms:created>
  <dcterms:modified xsi:type="dcterms:W3CDTF">2026-08-06T21:05:26Z</dcterms:modified>
</cp:coreProperties>
</file>