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lastRenderedPageBreak/>
              <w:t>Matricula</w:t>
            </w:r>
            <w:proofErr w:type="gramEnd"/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 xml:space="preserve">, School, </w:t>
            </w:r>
            <w:proofErr w:type="gramStart"/>
            <w:r w:rsidR="001E765A">
              <w:rPr>
                <w:rFonts w:cstheme="minorHAnsi"/>
              </w:rPr>
              <w:t>Matricula</w:t>
            </w:r>
            <w:proofErr w:type="gramEnd"/>
            <w:r w:rsidR="001E765A">
              <w:rPr>
                <w:rFonts w:cstheme="minorHAnsi"/>
              </w:rPr>
              <w:t xml:space="preserve">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Faz a </w:t>
            </w:r>
            <w:proofErr w:type="gramStart"/>
            <w:r>
              <w:rPr>
                <w:rFonts w:cstheme="minorHAnsi"/>
              </w:rPr>
              <w:t>matricula</w:t>
            </w:r>
            <w:proofErr w:type="gramEnd"/>
            <w:r>
              <w:rPr>
                <w:rFonts w:cstheme="minorHAnsi"/>
              </w:rPr>
              <w:t xml:space="preserve">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Irá gerar dados de teste na base de dados desde os anos 1960 </w:t>
            </w:r>
            <w:proofErr w:type="gramStart"/>
            <w:r>
              <w:rPr>
                <w:rFonts w:cstheme="minorHAnsi"/>
              </w:rPr>
              <w:t>ate</w:t>
            </w:r>
            <w:proofErr w:type="gramEnd"/>
            <w:r>
              <w:rPr>
                <w:rFonts w:cstheme="minorHAnsi"/>
              </w:rPr>
              <w:t xml:space="preserve">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>(58% da query)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>Custo de 0.0509(13% da query)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lastRenderedPageBreak/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 xml:space="preserve">através da referência ao código utilizado (restrições da BD, consultas/views, SPs, </w:t>
      </w:r>
      <w:proofErr w:type="gramStart"/>
      <w:r w:rsidRPr="0019318A">
        <w:rPr>
          <w:i/>
          <w:color w:val="A6A6A6" w:themeColor="background1" w:themeShade="A6"/>
        </w:rPr>
        <w:t>triggers,…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gramStart"/>
      <w:r w:rsidR="00B023D4">
        <w:rPr>
          <w:i/>
          <w:color w:val="A6A6A6" w:themeColor="background1" w:themeShade="A6"/>
        </w:rPr>
        <w:t>SPs,…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Dados de teste que façam despoletar situação de inconformidade (e.g., RI implementadas com checks ou triggers)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Script SQL para testar a execução dos sp</w:t>
      </w:r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RI.sql</w:t>
            </w:r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89BF" w14:textId="77777777" w:rsidR="00611748" w:rsidRDefault="00611748" w:rsidP="00814C59">
      <w:pPr>
        <w:spacing w:after="0" w:line="240" w:lineRule="auto"/>
      </w:pPr>
      <w:r>
        <w:separator/>
      </w:r>
    </w:p>
  </w:endnote>
  <w:endnote w:type="continuationSeparator" w:id="0">
    <w:p w14:paraId="3949AA6D" w14:textId="77777777" w:rsidR="00611748" w:rsidRDefault="0061174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15AF" w14:textId="77777777" w:rsidR="00611748" w:rsidRDefault="00611748" w:rsidP="00814C59">
      <w:pPr>
        <w:spacing w:after="0" w:line="240" w:lineRule="auto"/>
      </w:pPr>
      <w:r>
        <w:separator/>
      </w:r>
    </w:p>
  </w:footnote>
  <w:footnote w:type="continuationSeparator" w:id="0">
    <w:p w14:paraId="79BEA00D" w14:textId="77777777" w:rsidR="00611748" w:rsidRDefault="0061174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E2D00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C5DEA"/>
    <w:rsid w:val="007D5C24"/>
    <w:rsid w:val="007E31C4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A11339"/>
    <w:rsid w:val="00A116E9"/>
    <w:rsid w:val="00A12C89"/>
    <w:rsid w:val="00A215E5"/>
    <w:rsid w:val="00A2766C"/>
    <w:rsid w:val="00A27CCB"/>
    <w:rsid w:val="00A405B7"/>
    <w:rsid w:val="00A4485B"/>
    <w:rsid w:val="00A47800"/>
    <w:rsid w:val="00A5694C"/>
    <w:rsid w:val="00A6041A"/>
    <w:rsid w:val="00A6394C"/>
    <w:rsid w:val="00A73B50"/>
    <w:rsid w:val="00A75467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422F7"/>
    <w:rsid w:val="00B47DA6"/>
    <w:rsid w:val="00B61F8D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74204"/>
    <w:rsid w:val="00C9112C"/>
    <w:rsid w:val="00C96E31"/>
    <w:rsid w:val="00CA088F"/>
    <w:rsid w:val="00CB0955"/>
    <w:rsid w:val="00CB0BB7"/>
    <w:rsid w:val="00CC421E"/>
    <w:rsid w:val="00CE0CF7"/>
    <w:rsid w:val="00CE2996"/>
    <w:rsid w:val="00D0243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71F5D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9C2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22</Pages>
  <Words>2930</Words>
  <Characters>15823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56</cp:revision>
  <dcterms:created xsi:type="dcterms:W3CDTF">2022-01-21T11:21:00Z</dcterms:created>
  <dcterms:modified xsi:type="dcterms:W3CDTF">2022-01-29T16:38:00Z</dcterms:modified>
</cp:coreProperties>
</file>