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Produkt: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Vegansk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Klima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Miljø-venlig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Orangutaner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Afsender</w:t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Organic manics, (Øko, miljø, aber, træer)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Målgruppe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Indre by, venstrefløj, 20-40årige, </w:t>
        <w:br w:type="textWrapping"/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Produkter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Orangutang Tee (Du betaler et års ophold for en monke på en institution)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 tee ( Du får en tee med et billede af et træ du har reddet.) </w:t>
      </w:r>
      <w:r w:rsidDel="00000000" w:rsidR="00000000" w:rsidRPr="00000000">
        <w:rPr/>
        <w:drawing>
          <wp:inline distB="114300" distT="114300" distL="114300" distR="114300">
            <wp:extent cx="1195388" cy="14929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4929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Plant a seed, be the change! (en pakke frø til køkkenhaven, voldsom overpris, går til at plante træer i regnskoven)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Kangaroo pouch (bælte taske designet som en kænguru) </w:t>
        <w:br w:type="textWrapping"/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USP (Unique Selling Points)</w:t>
        <w:br w:type="textWrapping"/>
        <w:br w:type="textWrapping"/>
      </w:r>
      <w:r w:rsidDel="00000000" w:rsidR="00000000" w:rsidRPr="00000000">
        <w:rPr>
          <w:rtl w:val="0"/>
        </w:rPr>
        <w:t xml:space="preserve">Støtter velgørenhed, etisk produktion, identitetsmarkør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