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Bases del proyecto de simulación bursátil con Monte Carlo</w:t>
      </w:r>
    </w:p>
    <w:p>
      <w:pPr>
        <w:pStyle w:val="Subtitle"/>
      </w:pPr>
      <w:r>
        <w:t>Especificación de negocio y técnica para el desarrollo del portfolio</w:t>
      </w:r>
    </w:p>
    <w:p>
      <w:r>
        <w:t>Versión 1.0  |  16 de octubre de 2026  |  Zona horaria America/Buenos_Aires</w:t>
      </w:r>
    </w:p>
    <w:p>
      <w:r>
        <w:t>Este documento establece las decisiones vigentes para desarrollar un proyecto personal de ciencia de datos sobre acciones argentinas y, en una segunda etapa, CEDEAR. Su propósito es conservar el alcance, los criterios de calidad y las restricciones acordadas, y servir como referencia durante todo el desarrollo.</w:t>
      </w:r>
    </w:p>
    <w:p>
      <w:r>
        <w:t>La base aprobada es un portfolio sin servicio a inversores, con costo cero en suscripciones y servicios, Python, Power BI y yfinance. La simulación Monte Carlo producirá escenarios y pronósticos que se evaluarán de forma cronológica. La precisión se comprobará con evidencia; no se considerará garantizada por el método elegido.</w:t>
      </w:r>
    </w:p>
    <w:p>
      <w:pPr>
        <w:pStyle w:val="Heading2"/>
      </w:pPr>
      <w:r>
        <w:t>Cómo utilizar esta especificación</w:t>
      </w:r>
    </w:p>
    <w:p>
      <w:pPr>
        <w:pStyle w:val="ListBullet"/>
      </w:pPr>
      <w:r>
        <w:t>Releer el documento al iniciar el desarrollo o retomar una etapa, y antes de modificar datos, modelos, validación o publicación.</w:t>
      </w:r>
    </w:p>
    <w:p>
      <w:pPr>
        <w:pStyle w:val="ListBullet"/>
      </w:pPr>
      <w:r>
        <w:t>Aplicar las decisiones aprobadas. No transformar las propuestas pendientes en requisitos definitivos sin una decisión explícita.</w:t>
      </w:r>
    </w:p>
    <w:p>
      <w:pPr>
        <w:pStyle w:val="ListBullet"/>
      </w:pPr>
      <w:r>
        <w:t>Una instrucción posterior del responsable del proyecto puede modificar esta base. Registrar el cambio, su motivo y la versión del documento antes de considerarlo vigente.</w:t>
      </w:r>
    </w:p>
    <w:p>
      <w:pPr>
        <w:pStyle w:val="ListBullet"/>
      </w:pPr>
      <w:r>
        <w:t>La creación de este documento no autoriza todavía la programación, la publicación remota ni la apertura de cuentas o servicios.</w:t>
      </w:r>
    </w:p>
    <w:p>
      <w:pPr>
        <w:pStyle w:val="Heading2"/>
      </w:pPr>
      <w:r>
        <w:t>Estado de las decisiones</w:t>
      </w:r>
    </w:p>
    <w:p>
      <w:r>
        <w:t>Aprobado significa requisito vigente. Provisional significa objetivo aceptado sujeto a comprobación. Pendiente significa configuración todavía sin confirmar. Las opciones reemplazadas se conservan al final solo para evitar que vuelvan a introducirse por error.</w:t>
      </w:r>
    </w:p>
    <w:p>
      <w:pPr>
        <w:pStyle w:val="Heading2"/>
      </w:pPr>
      <w:r>
        <w:t>Guía de consulta</w:t>
      </w:r>
    </w:p>
    <w:p>
      <w:r>
        <w:t>Negocio y alcance: sección 1. Parámetros vigentes: sección 2. Universo e historial: sección 3. Calidad y eventos: sección 4. Motor matemático: sección 5. Validación: sección 6. Operación diaria: sección 7. Métricas: sección 8. Disponibilidad: sección 9. Arquitectura: sección 10. Entrega: sección 11. CEDEAR: sección 12. Pendientes y cambios: sección 13. Referencias: sección 14.</w:t>
      </w:r>
    </w:p>
    <w:p>
      <w:r>
        <w:br w:type="page"/>
      </w:r>
    </w:p>
    <w:p>
      <w:pPr>
        <w:pStyle w:val="Heading1"/>
      </w:pPr>
      <w:r>
        <w:t>1 Propósito de negocio y alcance</w:t>
      </w:r>
    </w:p>
    <w:p>
      <w:pPr>
        <w:pStyle w:val="Heading2"/>
      </w:pPr>
      <w:r>
        <w:t>Finalidad y destinatarios</w:t>
      </w:r>
    </w:p>
    <w:p>
      <w:r>
        <w:t>El producto es un proyecto personal de investigación, aprendizaje y demostración de competencias para un portfolio. El destinatario principal es su responsable; quienes consulten el repositorio podrán revisar el método, la implementación y sus resultados. No se ofrecerá un servicio operativo para inversores ni se ejecutarán operaciones reales.</w:t>
      </w:r>
    </w:p>
    <w:p>
      <w:r>
        <w:t>El valor del proyecto será demostrar adquisición y validación de datos, modelado estadístico, simulación, evaluación fuera de muestra, reproducibilidad y comunicación de incertidumbre. Un resultado que no mejore una referencia sencilla se documentará con la misma transparencia que una mejora.</w:t>
      </w:r>
    </w:p>
    <w:p>
      <w:pPr>
        <w:pStyle w:val="Heading2"/>
      </w:pPr>
      <w:r>
        <w:t>Alcance por etapas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440"/>
        <w:gridCol w:w="4464"/>
        <w:gridCol w:w="4176"/>
      </w:tblGrid>
      <w:tr>
        <w:trPr>
          <w:cantSplit/>
          <w:tblHeader/>
        </w:trPr>
        <w:tc>
          <w:tcPr>
            <w:tcW w:type="dxa" w:w="1440"/>
            <w:vAlign w:val="center"/>
            <w:shd w:fill="E7EDF3"/>
          </w:tcPr>
          <w:p>
            <w:pPr>
              <w:spacing w:after="40" w:line="245" w:lineRule="auto"/>
            </w:pPr>
            <w:r>
              <w:rPr>
                <w:b/>
                <w:color w:val="000000"/>
                <w:sz w:val="20"/>
              </w:rPr>
              <w:t>Etapa</w:t>
            </w:r>
          </w:p>
        </w:tc>
        <w:tc>
          <w:tcPr>
            <w:tcW w:type="dxa" w:w="4464"/>
            <w:vAlign w:val="center"/>
            <w:shd w:fill="E7EDF3"/>
          </w:tcPr>
          <w:p>
            <w:pPr>
              <w:spacing w:after="40" w:line="245" w:lineRule="auto"/>
            </w:pPr>
            <w:r>
              <w:rPr>
                <w:b/>
                <w:color w:val="000000"/>
                <w:sz w:val="20"/>
              </w:rPr>
              <w:t>Contenido</w:t>
            </w:r>
          </w:p>
        </w:tc>
        <w:tc>
          <w:tcPr>
            <w:tcW w:type="dxa" w:w="4176"/>
            <w:vAlign w:val="center"/>
            <w:shd w:fill="E7EDF3"/>
          </w:tcPr>
          <w:p>
            <w:pPr>
              <w:spacing w:after="40" w:line="245" w:lineRule="auto"/>
            </w:pPr>
            <w:r>
              <w:rPr>
                <w:b/>
                <w:color w:val="000000"/>
                <w:sz w:val="20"/>
              </w:rPr>
              <w:t>Condición de avance</w:t>
            </w:r>
          </w:p>
        </w:tc>
      </w:tr>
      <w:tr>
        <w:trPr>
          <w:cantSplit/>
        </w:trPr>
        <w:tc>
          <w:tcPr>
            <w:tcW w:type="dxa" w:w="1440"/>
            <w:vAlign w:val="center"/>
            <w:shd w:fill="FFFFFF"/>
          </w:tcPr>
          <w:p>
            <w:pPr>
              <w:spacing w:after="40" w:line="245" w:lineRule="auto"/>
            </w:pPr>
            <w:r>
              <w:rPr>
                <w:b w:val="0"/>
                <w:color w:val="000000"/>
                <w:sz w:val="20"/>
              </w:rPr>
              <w:t>Primera</w:t>
            </w:r>
          </w:p>
        </w:tc>
        <w:tc>
          <w:tcPr>
            <w:tcW w:type="dxa" w:w="4464"/>
            <w:vAlign w:val="center"/>
            <w:shd w:fill="FFFFFF"/>
          </w:tcPr>
          <w:p>
            <w:pPr>
              <w:spacing w:after="40" w:line="245" w:lineRule="auto"/>
            </w:pPr>
            <w:r>
              <w:rPr>
                <w:b w:val="0"/>
                <w:color w:val="000000"/>
                <w:sz w:val="20"/>
              </w:rPr>
              <w:t>Acciones locales argentinas de los paneles Líder y General.</w:t>
            </w:r>
          </w:p>
        </w:tc>
        <w:tc>
          <w:tcPr>
            <w:tcW w:type="dxa" w:w="4176"/>
            <w:vAlign w:val="center"/>
            <w:shd w:fill="FFFFFF"/>
          </w:tcPr>
          <w:p>
            <w:pPr>
              <w:spacing w:after="40" w:line="245" w:lineRule="auto"/>
            </w:pPr>
            <w:r>
              <w:rPr>
                <w:b w:val="0"/>
                <w:color w:val="000000"/>
                <w:sz w:val="20"/>
              </w:rPr>
              <w:t>Completar y validar los datos, el procedimiento y la evaluación de acciones.</w:t>
            </w:r>
          </w:p>
        </w:tc>
      </w:tr>
      <w:tr>
        <w:trPr>
          <w:cantSplit/>
        </w:trPr>
        <w:tc>
          <w:tcPr>
            <w:tcW w:type="dxa" w:w="1440"/>
            <w:vAlign w:val="center"/>
            <w:shd w:fill="F7F8FA"/>
          </w:tcPr>
          <w:p>
            <w:pPr>
              <w:spacing w:after="40" w:line="245" w:lineRule="auto"/>
            </w:pPr>
            <w:r>
              <w:rPr>
                <w:b w:val="0"/>
                <w:color w:val="000000"/>
                <w:sz w:val="20"/>
              </w:rPr>
              <w:t>Segunda</w:t>
            </w:r>
          </w:p>
        </w:tc>
        <w:tc>
          <w:tcPr>
            <w:tcW w:type="dxa" w:w="4464"/>
            <w:vAlign w:val="center"/>
            <w:shd w:fill="F7F8FA"/>
          </w:tcPr>
          <w:p>
            <w:pPr>
              <w:spacing w:after="40" w:line="245" w:lineRule="auto"/>
            </w:pPr>
            <w:r>
              <w:rPr>
                <w:b w:val="0"/>
                <w:color w:val="000000"/>
                <w:sz w:val="20"/>
              </w:rPr>
              <w:t>CEDEAR que cotizan en el mercado argentino.</w:t>
            </w:r>
          </w:p>
        </w:tc>
        <w:tc>
          <w:tcPr>
            <w:tcW w:type="dxa" w:w="4176"/>
            <w:vAlign w:val="center"/>
            <w:shd w:fill="F7F8FA"/>
          </w:tcPr>
          <w:p>
            <w:pPr>
              <w:spacing w:after="40" w:line="245" w:lineRule="auto"/>
            </w:pPr>
            <w:r>
              <w:rPr>
                <w:b w:val="0"/>
                <w:color w:val="000000"/>
                <w:sz w:val="20"/>
              </w:rPr>
              <w:t>Comenzar después de completar y validar la primera etapa.</w:t>
            </w:r>
          </w:p>
        </w:tc>
      </w:tr>
      <w:tr>
        <w:trPr>
          <w:cantSplit/>
        </w:trPr>
        <w:tc>
          <w:tcPr>
            <w:tcW w:type="dxa" w:w="1440"/>
            <w:vAlign w:val="center"/>
            <w:shd w:fill="FFFFFF"/>
          </w:tcPr>
          <w:p>
            <w:pPr>
              <w:spacing w:after="40" w:line="245" w:lineRule="auto"/>
            </w:pPr>
            <w:r>
              <w:rPr>
                <w:b w:val="0"/>
                <w:color w:val="000000"/>
                <w:sz w:val="20"/>
              </w:rPr>
              <w:t>Futura</w:t>
            </w:r>
          </w:p>
        </w:tc>
        <w:tc>
          <w:tcPr>
            <w:tcW w:type="dxa" w:w="4464"/>
            <w:vAlign w:val="center"/>
            <w:shd w:fill="FFFFFF"/>
          </w:tcPr>
          <w:p>
            <w:pPr>
              <w:spacing w:after="40" w:line="245" w:lineRule="auto"/>
            </w:pPr>
            <w:r>
              <w:rPr>
                <w:b w:val="0"/>
                <w:color w:val="000000"/>
                <w:sz w:val="20"/>
              </w:rPr>
              <w:t>Acciones estadounidenses mencionadas como posible expansión.</w:t>
            </w:r>
          </w:p>
        </w:tc>
        <w:tc>
          <w:tcPr>
            <w:tcW w:type="dxa" w:w="4176"/>
            <w:vAlign w:val="center"/>
            <w:shd w:fill="FFFFFF"/>
          </w:tcPr>
          <w:p>
            <w:pPr>
              <w:spacing w:after="40" w:line="245" w:lineRule="auto"/>
            </w:pPr>
            <w:r>
              <w:rPr>
                <w:b w:val="0"/>
                <w:color w:val="000000"/>
                <w:sz w:val="20"/>
              </w:rPr>
              <w:t>Sin compromiso de implementación ni alcance confirmado para esta versión.</w:t>
            </w:r>
          </w:p>
        </w:tc>
      </w:tr>
    </w:tbl>
    <w:p>
      <w:pPr>
        <w:spacing w:after="20"/>
      </w:pPr>
    </w:p>
    <w:p>
      <w:pPr>
        <w:pStyle w:val="Heading2"/>
      </w:pPr>
      <w:r>
        <w:t>Restricciones de negocio</w:t>
      </w:r>
    </w:p>
    <w:p>
      <w:pPr>
        <w:pStyle w:val="ListBullet"/>
      </w:pPr>
      <w:r>
        <w:t>No utilizar suscripciones, licencias de datos pagas, servicios de cómputo pagos ni infraestructura que genere cargos de desarrollo o mantenimiento.</w:t>
      </w:r>
    </w:p>
    <w:p>
      <w:pPr>
        <w:pStyle w:val="ListBullet"/>
      </w:pPr>
      <w:r>
        <w:t>Utilizar el equipo y las herramientas disponibles: Visual Studio Code, Python y Power BI. El costo cero no significa ausencia de trabajo de mantenimiento ni garantía de continuidad de terceros.</w:t>
      </w:r>
    </w:p>
    <w:p>
      <w:pPr>
        <w:pStyle w:val="ListBullet"/>
      </w:pPr>
      <w:r>
        <w:t>Entregar el proyecto en un repositorio de GitHub. LinkedIn podrá utilizarse para presentar el portfolio; no se ha encargado una publicación concreta.</w:t>
      </w:r>
    </w:p>
    <w:p>
      <w:pPr>
        <w:pStyle w:val="ListBullet"/>
      </w:pPr>
      <w:r>
        <w:t>No incluir comisiones bancarias ni estimar rentabilidad neta después de comisiones e impuestos en la primera versión.</w:t>
      </w:r>
    </w:p>
    <w:p>
      <w:pPr>
        <w:pStyle w:val="Heading2"/>
      </w:pPr>
      <w:r>
        <w:t>Resultados que quedan fuera</w:t>
      </w:r>
    </w:p>
    <w:p>
      <w:r>
        <w:t>Quedan fuera de esta etapa el asesoramiento personalizado, las órdenes de compra o venta, las conexiones a cuentas bancarias o comitentes, el cobro de comisiones, el monitoreo intradiario y las garantías de precio o rentabilidad. El precio objetivo será el cierre nominal en pesos; no equivale a ganancia real, ganancia en dólares ni retorno total con dividendos.</w:t>
      </w:r>
    </w:p>
    <w:p>
      <w:r>
        <w:br w:type="page"/>
      </w:r>
    </w:p>
    <w:p>
      <w:pPr>
        <w:pStyle w:val="Heading1"/>
      </w:pPr>
      <w:r>
        <w:t>2 Parámetros y decisiones vigentes</w:t>
      </w:r>
    </w:p>
    <w:p>
      <w:r>
        <w:t>Este registro reúne los parámetros de referencia. Los detalles de aplicación se desarrollan en las secciones siguientes.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792"/>
        <w:gridCol w:w="2736"/>
        <w:gridCol w:w="6552"/>
      </w:tblGrid>
      <w:tr>
        <w:trPr>
          <w:cantSplit/>
          <w:tblHeader/>
        </w:trPr>
        <w:tc>
          <w:tcPr>
            <w:tcW w:type="dxa" w:w="792"/>
            <w:vAlign w:val="center"/>
            <w:shd w:fill="E7EDF3"/>
          </w:tcPr>
          <w:p>
            <w:pPr>
              <w:spacing w:after="40" w:line="245" w:lineRule="auto"/>
              <w:jc w:val="center"/>
            </w:pPr>
            <w:r>
              <w:rPr>
                <w:b/>
                <w:color w:val="000000"/>
                <w:sz w:val="20"/>
              </w:rPr>
              <w:t>ID</w:t>
            </w:r>
          </w:p>
        </w:tc>
        <w:tc>
          <w:tcPr>
            <w:tcW w:type="dxa" w:w="2736"/>
            <w:vAlign w:val="center"/>
            <w:shd w:fill="E7EDF3"/>
          </w:tcPr>
          <w:p>
            <w:pPr>
              <w:spacing w:after="40" w:line="245" w:lineRule="auto"/>
            </w:pPr>
            <w:r>
              <w:rPr>
                <w:b/>
                <w:color w:val="000000"/>
                <w:sz w:val="20"/>
              </w:rPr>
              <w:t>Decisión</w:t>
            </w:r>
          </w:p>
        </w:tc>
        <w:tc>
          <w:tcPr>
            <w:tcW w:type="dxa" w:w="6552"/>
            <w:vAlign w:val="center"/>
            <w:shd w:fill="E7EDF3"/>
          </w:tcPr>
          <w:p>
            <w:pPr>
              <w:spacing w:after="40" w:line="245" w:lineRule="auto"/>
            </w:pPr>
            <w:r>
              <w:rPr>
                <w:b/>
                <w:color w:val="000000"/>
                <w:sz w:val="20"/>
              </w:rPr>
              <w:t>Valor o regla vigente</w:t>
            </w:r>
          </w:p>
        </w:tc>
      </w:tr>
      <w:tr>
        <w:trPr>
          <w:cantSplit/>
        </w:trPr>
        <w:tc>
          <w:tcPr>
            <w:tcW w:type="dxa" w:w="792"/>
            <w:vAlign w:val="center"/>
            <w:shd w:fill="FFFFFF"/>
          </w:tcPr>
          <w:p>
            <w:pPr>
              <w:spacing w:after="40" w:line="245" w:lineRule="auto"/>
              <w:jc w:val="center"/>
            </w:pPr>
            <w:r>
              <w:rPr>
                <w:b w:val="0"/>
                <w:color w:val="000000"/>
                <w:sz w:val="20"/>
              </w:rPr>
              <w:t>D01</w:t>
            </w:r>
          </w:p>
        </w:tc>
        <w:tc>
          <w:tcPr>
            <w:tcW w:type="dxa" w:w="2736"/>
            <w:vAlign w:val="center"/>
            <w:shd w:fill="FFFFFF"/>
          </w:tcPr>
          <w:p>
            <w:pPr>
              <w:spacing w:after="40" w:line="245" w:lineRule="auto"/>
            </w:pPr>
            <w:r>
              <w:rPr>
                <w:b w:val="0"/>
                <w:color w:val="000000"/>
                <w:sz w:val="20"/>
              </w:rPr>
              <w:t>Fuente inicial</w:t>
            </w:r>
          </w:p>
        </w:tc>
        <w:tc>
          <w:tcPr>
            <w:tcW w:type="dxa" w:w="6552"/>
            <w:vAlign w:val="center"/>
            <w:shd w:fill="FFFFFF"/>
          </w:tcPr>
          <w:p>
            <w:pPr>
              <w:spacing w:after="40" w:line="245" w:lineRule="auto"/>
            </w:pPr>
            <w:r>
              <w:rPr>
                <w:b w:val="0"/>
                <w:color w:val="000000"/>
                <w:sz w:val="20"/>
              </w:rPr>
              <w:t>yfinance. BYMA no es una dependencia obligatoria.</w:t>
            </w:r>
          </w:p>
        </w:tc>
      </w:tr>
      <w:tr>
        <w:trPr>
          <w:cantSplit/>
        </w:trPr>
        <w:tc>
          <w:tcPr>
            <w:tcW w:type="dxa" w:w="792"/>
            <w:vAlign w:val="center"/>
            <w:shd w:fill="F7F8FA"/>
          </w:tcPr>
          <w:p>
            <w:pPr>
              <w:spacing w:after="40" w:line="245" w:lineRule="auto"/>
              <w:jc w:val="center"/>
            </w:pPr>
            <w:r>
              <w:rPr>
                <w:b w:val="0"/>
                <w:color w:val="000000"/>
                <w:sz w:val="20"/>
              </w:rPr>
              <w:t>D02</w:t>
            </w:r>
          </w:p>
        </w:tc>
        <w:tc>
          <w:tcPr>
            <w:tcW w:type="dxa" w:w="2736"/>
            <w:vAlign w:val="center"/>
            <w:shd w:fill="F7F8FA"/>
          </w:tcPr>
          <w:p>
            <w:pPr>
              <w:spacing w:after="40" w:line="245" w:lineRule="auto"/>
            </w:pPr>
            <w:r>
              <w:rPr>
                <w:b w:val="0"/>
                <w:color w:val="000000"/>
                <w:sz w:val="20"/>
              </w:rPr>
              <w:t>Universo inicial</w:t>
            </w:r>
          </w:p>
        </w:tc>
        <w:tc>
          <w:tcPr>
            <w:tcW w:type="dxa" w:w="6552"/>
            <w:vAlign w:val="center"/>
            <w:shd w:fill="F7F8FA"/>
          </w:tcPr>
          <w:p>
            <w:pPr>
              <w:spacing w:after="40" w:line="245" w:lineRule="auto"/>
            </w:pPr>
            <w:r>
              <w:rPr>
                <w:b w:val="0"/>
                <w:color w:val="000000"/>
                <w:sz w:val="20"/>
              </w:rPr>
              <w:t>Todas las acciones locales de los paneles Líder y General, distinguiendo clases.</w:t>
            </w:r>
          </w:p>
        </w:tc>
      </w:tr>
      <w:tr>
        <w:trPr>
          <w:cantSplit/>
        </w:trPr>
        <w:tc>
          <w:tcPr>
            <w:tcW w:type="dxa" w:w="792"/>
            <w:vAlign w:val="center"/>
            <w:shd w:fill="FFFFFF"/>
          </w:tcPr>
          <w:p>
            <w:pPr>
              <w:spacing w:after="40" w:line="245" w:lineRule="auto"/>
              <w:jc w:val="center"/>
            </w:pPr>
            <w:r>
              <w:rPr>
                <w:b w:val="0"/>
                <w:color w:val="000000"/>
                <w:sz w:val="20"/>
              </w:rPr>
              <w:t>D03</w:t>
            </w:r>
          </w:p>
        </w:tc>
        <w:tc>
          <w:tcPr>
            <w:tcW w:type="dxa" w:w="2736"/>
            <w:vAlign w:val="center"/>
            <w:shd w:fill="FFFFFF"/>
          </w:tcPr>
          <w:p>
            <w:pPr>
              <w:spacing w:after="40" w:line="245" w:lineRule="auto"/>
            </w:pPr>
            <w:r>
              <w:rPr>
                <w:b w:val="0"/>
                <w:color w:val="000000"/>
                <w:sz w:val="20"/>
              </w:rPr>
              <w:t>Moneda y objetivo</w:t>
            </w:r>
          </w:p>
        </w:tc>
        <w:tc>
          <w:tcPr>
            <w:tcW w:type="dxa" w:w="6552"/>
            <w:vAlign w:val="center"/>
            <w:shd w:fill="FFFFFF"/>
          </w:tcPr>
          <w:p>
            <w:pPr>
              <w:spacing w:after="40" w:line="245" w:lineRule="auto"/>
            </w:pPr>
            <w:r>
              <w:rPr>
                <w:b w:val="0"/>
                <w:color w:val="000000"/>
                <w:sz w:val="20"/>
              </w:rPr>
              <w:t>Precio nominal de cierre en pesos argentinos.</w:t>
            </w:r>
          </w:p>
        </w:tc>
      </w:tr>
      <w:tr>
        <w:trPr>
          <w:cantSplit/>
        </w:trPr>
        <w:tc>
          <w:tcPr>
            <w:tcW w:type="dxa" w:w="792"/>
            <w:vAlign w:val="center"/>
            <w:shd w:fill="F7F8FA"/>
          </w:tcPr>
          <w:p>
            <w:pPr>
              <w:spacing w:after="40" w:line="245" w:lineRule="auto"/>
              <w:jc w:val="center"/>
            </w:pPr>
            <w:r>
              <w:rPr>
                <w:b w:val="0"/>
                <w:color w:val="000000"/>
                <w:sz w:val="20"/>
              </w:rPr>
              <w:t>D04</w:t>
            </w:r>
          </w:p>
        </w:tc>
        <w:tc>
          <w:tcPr>
            <w:tcW w:type="dxa" w:w="2736"/>
            <w:vAlign w:val="center"/>
            <w:shd w:fill="F7F8FA"/>
          </w:tcPr>
          <w:p>
            <w:pPr>
              <w:spacing w:after="40" w:line="245" w:lineRule="auto"/>
            </w:pPr>
            <w:r>
              <w:rPr>
                <w:b w:val="0"/>
                <w:color w:val="000000"/>
                <w:sz w:val="20"/>
              </w:rPr>
              <w:t>Frecuencia de datos</w:t>
            </w:r>
          </w:p>
        </w:tc>
        <w:tc>
          <w:tcPr>
            <w:tcW w:type="dxa" w:w="6552"/>
            <w:vAlign w:val="center"/>
            <w:shd w:fill="F7F8FA"/>
          </w:tcPr>
          <w:p>
            <w:pPr>
              <w:spacing w:after="40" w:line="245" w:lineRule="auto"/>
            </w:pPr>
            <w:r>
              <w:rPr>
                <w:b w:val="0"/>
                <w:color w:val="000000"/>
                <w:sz w:val="20"/>
              </w:rPr>
              <w:t>Diaria, después de confirmar el cierre. Sin requerimiento intradiario.</w:t>
            </w:r>
          </w:p>
        </w:tc>
      </w:tr>
      <w:tr>
        <w:trPr>
          <w:cantSplit/>
        </w:trPr>
        <w:tc>
          <w:tcPr>
            <w:tcW w:type="dxa" w:w="792"/>
            <w:vAlign w:val="center"/>
            <w:shd w:fill="FFFFFF"/>
          </w:tcPr>
          <w:p>
            <w:pPr>
              <w:spacing w:after="40" w:line="245" w:lineRule="auto"/>
              <w:jc w:val="center"/>
            </w:pPr>
            <w:r>
              <w:rPr>
                <w:b w:val="0"/>
                <w:color w:val="000000"/>
                <w:sz w:val="20"/>
              </w:rPr>
              <w:t>D05</w:t>
            </w:r>
          </w:p>
        </w:tc>
        <w:tc>
          <w:tcPr>
            <w:tcW w:type="dxa" w:w="2736"/>
            <w:vAlign w:val="center"/>
            <w:shd w:fill="FFFFFF"/>
          </w:tcPr>
          <w:p>
            <w:pPr>
              <w:spacing w:after="40" w:line="245" w:lineRule="auto"/>
            </w:pPr>
            <w:r>
              <w:rPr>
                <w:b w:val="0"/>
                <w:color w:val="000000"/>
                <w:sz w:val="20"/>
              </w:rPr>
              <w:t>Ventana de modelado</w:t>
            </w:r>
          </w:p>
        </w:tc>
        <w:tc>
          <w:tcPr>
            <w:tcW w:type="dxa" w:w="6552"/>
            <w:vAlign w:val="center"/>
            <w:shd w:fill="FFFFFF"/>
          </w:tcPr>
          <w:p>
            <w:pPr>
              <w:spacing w:after="40" w:line="245" w:lineRule="auto"/>
            </w:pPr>
            <w:r>
              <w:rPr>
                <w:b w:val="0"/>
                <w:color w:val="000000"/>
                <w:sz w:val="20"/>
              </w:rPr>
              <w:t>Últimos doce meses, hasta el último cierre disponible.</w:t>
            </w:r>
          </w:p>
        </w:tc>
      </w:tr>
      <w:tr>
        <w:trPr>
          <w:cantSplit/>
        </w:trPr>
        <w:tc>
          <w:tcPr>
            <w:tcW w:type="dxa" w:w="792"/>
            <w:vAlign w:val="center"/>
            <w:shd w:fill="F7F8FA"/>
          </w:tcPr>
          <w:p>
            <w:pPr>
              <w:spacing w:after="40" w:line="245" w:lineRule="auto"/>
              <w:jc w:val="center"/>
            </w:pPr>
            <w:r>
              <w:rPr>
                <w:b w:val="0"/>
                <w:color w:val="000000"/>
                <w:sz w:val="20"/>
              </w:rPr>
              <w:t>D06</w:t>
            </w:r>
          </w:p>
        </w:tc>
        <w:tc>
          <w:tcPr>
            <w:tcW w:type="dxa" w:w="2736"/>
            <w:vAlign w:val="center"/>
            <w:shd w:fill="F7F8FA"/>
          </w:tcPr>
          <w:p>
            <w:pPr>
              <w:spacing w:after="40" w:line="245" w:lineRule="auto"/>
            </w:pPr>
            <w:r>
              <w:rPr>
                <w:b w:val="0"/>
                <w:color w:val="000000"/>
                <w:sz w:val="20"/>
              </w:rPr>
              <w:t>Historia mínima por origen</w:t>
            </w:r>
          </w:p>
        </w:tc>
        <w:tc>
          <w:tcPr>
            <w:tcW w:type="dxa" w:w="6552"/>
            <w:vAlign w:val="center"/>
            <w:shd w:fill="F7F8FA"/>
          </w:tcPr>
          <w:p>
            <w:pPr>
              <w:spacing w:after="40" w:line="245" w:lineRule="auto"/>
            </w:pPr>
            <w:r>
              <w:rPr>
                <w:b w:val="0"/>
                <w:color w:val="000000"/>
                <w:sz w:val="20"/>
              </w:rPr>
              <w:t>140 ruedas válidas conocidas antes de cada pronóstico.</w:t>
            </w:r>
          </w:p>
        </w:tc>
      </w:tr>
      <w:tr>
        <w:trPr>
          <w:cantSplit/>
        </w:trPr>
        <w:tc>
          <w:tcPr>
            <w:tcW w:type="dxa" w:w="792"/>
            <w:vAlign w:val="center"/>
            <w:shd w:fill="FFFFFF"/>
          </w:tcPr>
          <w:p>
            <w:pPr>
              <w:spacing w:after="40" w:line="245" w:lineRule="auto"/>
              <w:jc w:val="center"/>
            </w:pPr>
            <w:r>
              <w:rPr>
                <w:b w:val="0"/>
                <w:color w:val="000000"/>
                <w:sz w:val="20"/>
              </w:rPr>
              <w:t>D07</w:t>
            </w:r>
          </w:p>
        </w:tc>
        <w:tc>
          <w:tcPr>
            <w:tcW w:type="dxa" w:w="2736"/>
            <w:vAlign w:val="center"/>
            <w:shd w:fill="FFFFFF"/>
          </w:tcPr>
          <w:p>
            <w:pPr>
              <w:spacing w:after="40" w:line="245" w:lineRule="auto"/>
            </w:pPr>
            <w:r>
              <w:rPr>
                <w:b w:val="0"/>
                <w:color w:val="000000"/>
                <w:sz w:val="20"/>
              </w:rPr>
              <w:t>Separación inicial</w:t>
            </w:r>
          </w:p>
        </w:tc>
        <w:tc>
          <w:tcPr>
            <w:tcW w:type="dxa" w:w="6552"/>
            <w:vAlign w:val="center"/>
            <w:shd w:fill="FFFFFF"/>
          </w:tcPr>
          <w:p>
            <w:pPr>
              <w:spacing w:after="40" w:line="245" w:lineRule="auto"/>
            </w:pPr>
            <w:r>
              <w:rPr>
                <w:b w:val="0"/>
                <w:color w:val="000000"/>
                <w:sz w:val="20"/>
              </w:rPr>
              <w:t>70 % de entrenamiento antiguo y 30 % de prueba reciente, sin barajar.</w:t>
            </w:r>
          </w:p>
        </w:tc>
      </w:tr>
      <w:tr>
        <w:trPr>
          <w:cantSplit/>
        </w:trPr>
        <w:tc>
          <w:tcPr>
            <w:tcW w:type="dxa" w:w="792"/>
            <w:vAlign w:val="center"/>
            <w:shd w:fill="F7F8FA"/>
          </w:tcPr>
          <w:p>
            <w:pPr>
              <w:spacing w:after="40" w:line="245" w:lineRule="auto"/>
              <w:jc w:val="center"/>
            </w:pPr>
            <w:r>
              <w:rPr>
                <w:b w:val="0"/>
                <w:color w:val="000000"/>
                <w:sz w:val="20"/>
              </w:rPr>
              <w:t>D08</w:t>
            </w:r>
          </w:p>
        </w:tc>
        <w:tc>
          <w:tcPr>
            <w:tcW w:type="dxa" w:w="2736"/>
            <w:vAlign w:val="center"/>
            <w:shd w:fill="F7F8FA"/>
          </w:tcPr>
          <w:p>
            <w:pPr>
              <w:spacing w:after="40" w:line="245" w:lineRule="auto"/>
            </w:pPr>
            <w:r>
              <w:rPr>
                <w:b w:val="0"/>
                <w:color w:val="000000"/>
                <w:sz w:val="20"/>
              </w:rPr>
              <w:t>Mínimo aritmético inicial</w:t>
            </w:r>
          </w:p>
        </w:tc>
        <w:tc>
          <w:tcPr>
            <w:tcW w:type="dxa" w:w="6552"/>
            <w:vAlign w:val="center"/>
            <w:shd w:fill="F7F8FA"/>
          </w:tcPr>
          <w:p>
            <w:pPr>
              <w:spacing w:after="40" w:line="245" w:lineRule="auto"/>
            </w:pPr>
            <w:r>
              <w:rPr>
                <w:b w:val="0"/>
                <w:color w:val="000000"/>
                <w:sz w:val="20"/>
              </w:rPr>
              <w:t>200 observaciones para disponer inicialmente de 140 en el 70 %.</w:t>
            </w:r>
          </w:p>
        </w:tc>
      </w:tr>
      <w:tr>
        <w:trPr>
          <w:cantSplit/>
        </w:trPr>
        <w:tc>
          <w:tcPr>
            <w:tcW w:type="dxa" w:w="792"/>
            <w:vAlign w:val="center"/>
            <w:shd w:fill="FFFFFF"/>
          </w:tcPr>
          <w:p>
            <w:pPr>
              <w:spacing w:after="40" w:line="245" w:lineRule="auto"/>
              <w:jc w:val="center"/>
            </w:pPr>
            <w:r>
              <w:rPr>
                <w:b w:val="0"/>
                <w:color w:val="000000"/>
                <w:sz w:val="20"/>
              </w:rPr>
              <w:t>D09</w:t>
            </w:r>
          </w:p>
        </w:tc>
        <w:tc>
          <w:tcPr>
            <w:tcW w:type="dxa" w:w="2736"/>
            <w:vAlign w:val="center"/>
            <w:shd w:fill="FFFFFF"/>
          </w:tcPr>
          <w:p>
            <w:pPr>
              <w:spacing w:after="40" w:line="245" w:lineRule="auto"/>
            </w:pPr>
            <w:r>
              <w:rPr>
                <w:b w:val="0"/>
                <w:color w:val="000000"/>
                <w:sz w:val="20"/>
              </w:rPr>
              <w:t>Validación interna</w:t>
            </w:r>
          </w:p>
        </w:tc>
        <w:tc>
          <w:tcPr>
            <w:tcW w:type="dxa" w:w="6552"/>
            <w:vAlign w:val="center"/>
            <w:shd w:fill="FFFFFF"/>
          </w:tcPr>
          <w:p>
            <w:pPr>
              <w:spacing w:after="40" w:line="245" w:lineRule="auto"/>
            </w:pPr>
            <w:r>
              <w:rPr>
                <w:b w:val="0"/>
                <w:color w:val="000000"/>
                <w:sz w:val="20"/>
              </w:rPr>
              <w:t>Temporal, dentro del entrenamiento; el test evalúa el procedimiento elegido.</w:t>
            </w:r>
          </w:p>
        </w:tc>
      </w:tr>
      <w:tr>
        <w:trPr>
          <w:cantSplit/>
        </w:trPr>
        <w:tc>
          <w:tcPr>
            <w:tcW w:type="dxa" w:w="792"/>
            <w:vAlign w:val="center"/>
            <w:shd w:fill="F7F8FA"/>
          </w:tcPr>
          <w:p>
            <w:pPr>
              <w:spacing w:after="40" w:line="245" w:lineRule="auto"/>
              <w:jc w:val="center"/>
            </w:pPr>
            <w:r>
              <w:rPr>
                <w:b w:val="0"/>
                <w:color w:val="000000"/>
                <w:sz w:val="20"/>
              </w:rPr>
              <w:t>D10</w:t>
            </w:r>
          </w:p>
        </w:tc>
        <w:tc>
          <w:tcPr>
            <w:tcW w:type="dxa" w:w="2736"/>
            <w:vAlign w:val="center"/>
            <w:shd w:fill="F7F8FA"/>
          </w:tcPr>
          <w:p>
            <w:pPr>
              <w:spacing w:after="40" w:line="245" w:lineRule="auto"/>
            </w:pPr>
            <w:r>
              <w:rPr>
                <w:b w:val="0"/>
                <w:color w:val="000000"/>
                <w:sz w:val="20"/>
              </w:rPr>
              <w:t>Horizontes</w:t>
            </w:r>
          </w:p>
        </w:tc>
        <w:tc>
          <w:tcPr>
            <w:tcW w:type="dxa" w:w="6552"/>
            <w:vAlign w:val="center"/>
            <w:shd w:fill="F7F8FA"/>
          </w:tcPr>
          <w:p>
            <w:pPr>
              <w:spacing w:after="40" w:line="245" w:lineRule="auto"/>
            </w:pPr>
            <w:r>
              <w:rPr>
                <w:b w:val="0"/>
                <w:color w:val="000000"/>
                <w:sz w:val="20"/>
              </w:rPr>
              <w:t>De una a diez ruedas futuras desde cada cierre.</w:t>
            </w:r>
          </w:p>
        </w:tc>
      </w:tr>
      <w:tr>
        <w:trPr>
          <w:cantSplit/>
        </w:trPr>
        <w:tc>
          <w:tcPr>
            <w:tcW w:type="dxa" w:w="792"/>
            <w:vAlign w:val="center"/>
            <w:shd w:fill="FFFFFF"/>
          </w:tcPr>
          <w:p>
            <w:pPr>
              <w:spacing w:after="40" w:line="245" w:lineRule="auto"/>
              <w:jc w:val="center"/>
            </w:pPr>
            <w:r>
              <w:rPr>
                <w:b w:val="0"/>
                <w:color w:val="000000"/>
                <w:sz w:val="20"/>
              </w:rPr>
              <w:t>D11</w:t>
            </w:r>
          </w:p>
        </w:tc>
        <w:tc>
          <w:tcPr>
            <w:tcW w:type="dxa" w:w="2736"/>
            <w:vAlign w:val="center"/>
            <w:shd w:fill="FFFFFF"/>
          </w:tcPr>
          <w:p>
            <w:pPr>
              <w:spacing w:after="40" w:line="245" w:lineRule="auto"/>
            </w:pPr>
            <w:r>
              <w:rPr>
                <w:b w:val="0"/>
                <w:color w:val="000000"/>
                <w:sz w:val="20"/>
              </w:rPr>
              <w:t>Generación y evaluación</w:t>
            </w:r>
          </w:p>
        </w:tc>
        <w:tc>
          <w:tcPr>
            <w:tcW w:type="dxa" w:w="6552"/>
            <w:vAlign w:val="center"/>
            <w:shd w:fill="FFFFFF"/>
          </w:tcPr>
          <w:p>
            <w:pPr>
              <w:spacing w:after="40" w:line="245" w:lineRule="auto"/>
            </w:pPr>
            <w:r>
              <w:rPr>
                <w:b w:val="0"/>
                <w:color w:val="000000"/>
                <w:sz w:val="20"/>
              </w:rPr>
              <w:t>Diarias. Evaluar solo cuando se observe el cierre objetivo.</w:t>
            </w:r>
          </w:p>
        </w:tc>
      </w:tr>
      <w:tr>
        <w:trPr>
          <w:cantSplit/>
        </w:trPr>
        <w:tc>
          <w:tcPr>
            <w:tcW w:type="dxa" w:w="792"/>
            <w:vAlign w:val="center"/>
            <w:shd w:fill="F7F8FA"/>
          </w:tcPr>
          <w:p>
            <w:pPr>
              <w:spacing w:after="40" w:line="245" w:lineRule="auto"/>
              <w:jc w:val="center"/>
            </w:pPr>
            <w:r>
              <w:rPr>
                <w:b w:val="0"/>
                <w:color w:val="000000"/>
                <w:sz w:val="20"/>
              </w:rPr>
              <w:t>D12</w:t>
            </w:r>
          </w:p>
        </w:tc>
        <w:tc>
          <w:tcPr>
            <w:tcW w:type="dxa" w:w="2736"/>
            <w:vAlign w:val="center"/>
            <w:shd w:fill="F7F8FA"/>
          </w:tcPr>
          <w:p>
            <w:pPr>
              <w:spacing w:after="40" w:line="245" w:lineRule="auto"/>
            </w:pPr>
            <w:r>
              <w:rPr>
                <w:b w:val="0"/>
                <w:color w:val="000000"/>
                <w:sz w:val="20"/>
              </w:rPr>
              <w:t>Informe</w:t>
            </w:r>
          </w:p>
        </w:tc>
        <w:tc>
          <w:tcPr>
            <w:tcW w:type="dxa" w:w="6552"/>
            <w:vAlign w:val="center"/>
            <w:shd w:fill="F7F8FA"/>
          </w:tcPr>
          <w:p>
            <w:pPr>
              <w:spacing w:after="40" w:line="245" w:lineRule="auto"/>
            </w:pPr>
            <w:r>
              <w:rPr>
                <w:b w:val="0"/>
                <w:color w:val="000000"/>
                <w:sz w:val="20"/>
              </w:rPr>
              <w:t>Actualización semanal, con fecha de origen y fecha de datos.</w:t>
            </w:r>
          </w:p>
        </w:tc>
      </w:tr>
      <w:tr>
        <w:trPr>
          <w:cantSplit/>
        </w:trPr>
        <w:tc>
          <w:tcPr>
            <w:tcW w:type="dxa" w:w="792"/>
            <w:vAlign w:val="center"/>
            <w:shd w:fill="FFFFFF"/>
          </w:tcPr>
          <w:p>
            <w:pPr>
              <w:spacing w:after="40" w:line="245" w:lineRule="auto"/>
              <w:jc w:val="center"/>
            </w:pPr>
            <w:r>
              <w:rPr>
                <w:b w:val="0"/>
                <w:color w:val="000000"/>
                <w:sz w:val="20"/>
              </w:rPr>
              <w:t>D13</w:t>
            </w:r>
          </w:p>
        </w:tc>
        <w:tc>
          <w:tcPr>
            <w:tcW w:type="dxa" w:w="2736"/>
            <w:vAlign w:val="center"/>
            <w:shd w:fill="FFFFFF"/>
          </w:tcPr>
          <w:p>
            <w:pPr>
              <w:spacing w:after="40" w:line="245" w:lineRule="auto"/>
            </w:pPr>
            <w:r>
              <w:rPr>
                <w:b w:val="0"/>
                <w:color w:val="000000"/>
                <w:sz w:val="20"/>
              </w:rPr>
              <w:t>Objetivo provisional</w:t>
            </w:r>
          </w:p>
        </w:tc>
        <w:tc>
          <w:tcPr>
            <w:tcW w:type="dxa" w:w="6552"/>
            <w:vAlign w:val="center"/>
            <w:shd w:fill="FFFFFF"/>
          </w:tcPr>
          <w:p>
            <w:pPr>
              <w:spacing w:after="40" w:line="245" w:lineRule="auto"/>
            </w:pPr>
            <w:r>
              <w:rPr>
                <w:b w:val="0"/>
                <w:color w:val="000000"/>
                <w:sz w:val="20"/>
              </w:rPr>
              <w:t>Al menos 90 % de pronósticos publicados con error porcentual absoluto ≤5 %, a diez ruedas.</w:t>
            </w:r>
          </w:p>
        </w:tc>
      </w:tr>
      <w:tr>
        <w:trPr>
          <w:cantSplit/>
        </w:trPr>
        <w:tc>
          <w:tcPr>
            <w:tcW w:type="dxa" w:w="792"/>
            <w:vAlign w:val="center"/>
            <w:shd w:fill="F7F8FA"/>
          </w:tcPr>
          <w:p>
            <w:pPr>
              <w:spacing w:after="40" w:line="245" w:lineRule="auto"/>
              <w:jc w:val="center"/>
            </w:pPr>
            <w:r>
              <w:rPr>
                <w:b w:val="0"/>
                <w:color w:val="000000"/>
                <w:sz w:val="20"/>
              </w:rPr>
              <w:t>D14</w:t>
            </w:r>
          </w:p>
        </w:tc>
        <w:tc>
          <w:tcPr>
            <w:tcW w:type="dxa" w:w="2736"/>
            <w:vAlign w:val="center"/>
            <w:shd w:fill="F7F8FA"/>
          </w:tcPr>
          <w:p>
            <w:pPr>
              <w:spacing w:after="40" w:line="245" w:lineRule="auto"/>
            </w:pPr>
            <w:r>
              <w:rPr>
                <w:b w:val="0"/>
                <w:color w:val="000000"/>
                <w:sz w:val="20"/>
              </w:rPr>
              <w:t>Referencia mínima</w:t>
            </w:r>
          </w:p>
        </w:tc>
        <w:tc>
          <w:tcPr>
            <w:tcW w:type="dxa" w:w="6552"/>
            <w:vAlign w:val="center"/>
            <w:shd w:fill="F7F8FA"/>
          </w:tcPr>
          <w:p>
            <w:pPr>
              <w:spacing w:after="40" w:line="245" w:lineRule="auto"/>
            </w:pPr>
            <w:r>
              <w:rPr>
                <w:b w:val="0"/>
                <w:color w:val="000000"/>
                <w:sz w:val="20"/>
              </w:rPr>
              <w:t>Pronóstico que mantiene el último cierre observado.</w:t>
            </w:r>
          </w:p>
        </w:tc>
      </w:tr>
      <w:tr>
        <w:trPr>
          <w:cantSplit/>
        </w:trPr>
        <w:tc>
          <w:tcPr>
            <w:tcW w:type="dxa" w:w="792"/>
            <w:vAlign w:val="center"/>
            <w:shd w:fill="FFFFFF"/>
          </w:tcPr>
          <w:p>
            <w:pPr>
              <w:spacing w:after="40" w:line="245" w:lineRule="auto"/>
              <w:jc w:val="center"/>
            </w:pPr>
            <w:r>
              <w:rPr>
                <w:b w:val="0"/>
                <w:color w:val="000000"/>
                <w:sz w:val="20"/>
              </w:rPr>
              <w:t>D15</w:t>
            </w:r>
          </w:p>
        </w:tc>
        <w:tc>
          <w:tcPr>
            <w:tcW w:type="dxa" w:w="2736"/>
            <w:vAlign w:val="center"/>
            <w:shd w:fill="FFFFFF"/>
          </w:tcPr>
          <w:p>
            <w:pPr>
              <w:spacing w:after="40" w:line="245" w:lineRule="auto"/>
            </w:pPr>
            <w:r>
              <w:rPr>
                <w:b w:val="0"/>
                <w:color w:val="000000"/>
                <w:sz w:val="20"/>
              </w:rPr>
              <w:t>Ausencia de estimación</w:t>
            </w:r>
          </w:p>
        </w:tc>
        <w:tc>
          <w:tcPr>
            <w:tcW w:type="dxa" w:w="6552"/>
            <w:vAlign w:val="center"/>
            <w:shd w:fill="FFFFFF"/>
          </w:tcPr>
          <w:p>
            <w:pPr>
              <w:spacing w:after="40" w:line="245" w:lineRule="auto"/>
            </w:pPr>
            <w:r>
              <w:rPr>
                <w:b w:val="0"/>
                <w:color w:val="000000"/>
                <w:sz w:val="20"/>
              </w:rPr>
              <w:t>Mostrar Estimación no disponible y el motivo; conservar la empresa en el listado.</w:t>
            </w:r>
          </w:p>
        </w:tc>
      </w:tr>
      <w:tr>
        <w:trPr>
          <w:cantSplit/>
        </w:trPr>
        <w:tc>
          <w:tcPr>
            <w:tcW w:type="dxa" w:w="792"/>
            <w:vAlign w:val="center"/>
            <w:shd w:fill="F7F8FA"/>
          </w:tcPr>
          <w:p>
            <w:pPr>
              <w:spacing w:after="40" w:line="245" w:lineRule="auto"/>
              <w:jc w:val="center"/>
            </w:pPr>
            <w:r>
              <w:rPr>
                <w:b w:val="0"/>
                <w:color w:val="000000"/>
                <w:sz w:val="20"/>
              </w:rPr>
              <w:t>D16</w:t>
            </w:r>
          </w:p>
        </w:tc>
        <w:tc>
          <w:tcPr>
            <w:tcW w:type="dxa" w:w="2736"/>
            <w:vAlign w:val="center"/>
            <w:shd w:fill="F7F8FA"/>
          </w:tcPr>
          <w:p>
            <w:pPr>
              <w:spacing w:after="40" w:line="245" w:lineRule="auto"/>
            </w:pPr>
            <w:r>
              <w:rPr>
                <w:b w:val="0"/>
                <w:color w:val="000000"/>
                <w:sz w:val="20"/>
              </w:rPr>
              <w:t>Eventos corporativos</w:t>
            </w:r>
          </w:p>
        </w:tc>
        <w:tc>
          <w:tcPr>
            <w:tcW w:type="dxa" w:w="6552"/>
            <w:vAlign w:val="center"/>
            <w:shd w:fill="F7F8FA"/>
          </w:tcPr>
          <w:p>
            <w:pPr>
              <w:spacing w:after="40" w:line="245" w:lineRule="auto"/>
            </w:pPr>
            <w:r>
              <w:rPr>
                <w:b w:val="0"/>
                <w:color w:val="000000"/>
                <w:sz w:val="20"/>
              </w:rPr>
              <w:t>Tratar dividendos y desdoblamientos sin duplicar ajustes.</w:t>
            </w:r>
          </w:p>
        </w:tc>
      </w:tr>
      <w:tr>
        <w:trPr>
          <w:cantSplit/>
        </w:trPr>
        <w:tc>
          <w:tcPr>
            <w:tcW w:type="dxa" w:w="792"/>
            <w:vAlign w:val="center"/>
            <w:shd w:fill="FFFFFF"/>
          </w:tcPr>
          <w:p>
            <w:pPr>
              <w:spacing w:after="40" w:line="245" w:lineRule="auto"/>
              <w:jc w:val="center"/>
            </w:pPr>
            <w:r>
              <w:rPr>
                <w:b w:val="0"/>
                <w:color w:val="000000"/>
                <w:sz w:val="20"/>
              </w:rPr>
              <w:t>D17</w:t>
            </w:r>
          </w:p>
        </w:tc>
        <w:tc>
          <w:tcPr>
            <w:tcW w:type="dxa" w:w="2736"/>
            <w:vAlign w:val="center"/>
            <w:shd w:fill="FFFFFF"/>
          </w:tcPr>
          <w:p>
            <w:pPr>
              <w:spacing w:after="40" w:line="245" w:lineRule="auto"/>
            </w:pPr>
            <w:r>
              <w:rPr>
                <w:b w:val="0"/>
                <w:color w:val="000000"/>
                <w:sz w:val="20"/>
              </w:rPr>
              <w:t>Costos de operar</w:t>
            </w:r>
          </w:p>
        </w:tc>
        <w:tc>
          <w:tcPr>
            <w:tcW w:type="dxa" w:w="6552"/>
            <w:vAlign w:val="center"/>
            <w:shd w:fill="FFFFFF"/>
          </w:tcPr>
          <w:p>
            <w:pPr>
              <w:spacing w:after="40" w:line="245" w:lineRule="auto"/>
            </w:pPr>
            <w:r>
              <w:rPr>
                <w:b w:val="0"/>
                <w:color w:val="000000"/>
                <w:sz w:val="20"/>
              </w:rPr>
              <w:t>Excluidos de la primera versión.</w:t>
            </w:r>
          </w:p>
        </w:tc>
      </w:tr>
      <w:tr>
        <w:trPr>
          <w:cantSplit/>
        </w:trPr>
        <w:tc>
          <w:tcPr>
            <w:tcW w:type="dxa" w:w="792"/>
            <w:vAlign w:val="center"/>
            <w:shd w:fill="F7F8FA"/>
          </w:tcPr>
          <w:p>
            <w:pPr>
              <w:spacing w:after="40" w:line="245" w:lineRule="auto"/>
              <w:jc w:val="center"/>
            </w:pPr>
            <w:r>
              <w:rPr>
                <w:b w:val="0"/>
                <w:color w:val="000000"/>
                <w:sz w:val="20"/>
              </w:rPr>
              <w:t>D18</w:t>
            </w:r>
          </w:p>
        </w:tc>
        <w:tc>
          <w:tcPr>
            <w:tcW w:type="dxa" w:w="2736"/>
            <w:vAlign w:val="center"/>
            <w:shd w:fill="F7F8FA"/>
          </w:tcPr>
          <w:p>
            <w:pPr>
              <w:spacing w:after="40" w:line="245" w:lineRule="auto"/>
            </w:pPr>
            <w:r>
              <w:rPr>
                <w:b w:val="0"/>
                <w:color w:val="000000"/>
                <w:sz w:val="20"/>
              </w:rPr>
              <w:t>Entrega y expansión</w:t>
            </w:r>
          </w:p>
        </w:tc>
        <w:tc>
          <w:tcPr>
            <w:tcW w:type="dxa" w:w="6552"/>
            <w:vAlign w:val="center"/>
            <w:shd w:fill="F7F8FA"/>
          </w:tcPr>
          <w:p>
            <w:pPr>
              <w:spacing w:after="40" w:line="245" w:lineRule="auto"/>
            </w:pPr>
            <w:r>
              <w:rPr>
                <w:b w:val="0"/>
                <w:color w:val="000000"/>
                <w:sz w:val="20"/>
              </w:rPr>
              <w:t>GitHub; CEDEAR después de validar acciones.</w:t>
            </w:r>
          </w:p>
        </w:tc>
      </w:tr>
    </w:tbl>
    <w:p>
      <w:pPr>
        <w:spacing w:after="20"/>
      </w:pPr>
    </w:p>
    <w:p>
      <w:r>
        <w:t>Los valores de D06 y D08 no garantizan suficientes ejemplos para cualquier modelo ni acreditan el objetivo D13. La disponibilidad efectiva se decide con las comprobaciones de datos y validación.</w:t>
      </w:r>
    </w:p>
    <w:p>
      <w:r>
        <w:br w:type="page"/>
      </w:r>
    </w:p>
    <w:p>
      <w:pPr>
        <w:pStyle w:val="Heading1"/>
      </w:pPr>
      <w:r>
        <w:t>3 Universo de acciones e historial</w:t>
      </w:r>
    </w:p>
    <w:p>
      <w:pPr>
        <w:pStyle w:val="Heading2"/>
      </w:pPr>
      <w:r>
        <w:t>Definición y mantenimiento del universo</w:t>
      </w:r>
    </w:p>
    <w:p>
      <w:r>
        <w:t>Se incluirán las acciones locales cotizantes de los paneles Líder y General. Las clases de acciones se identificarán por separado y se asociarán a su empresa emisora. En la primera etapa se excluyen CEDEAR, ADR, bonos y ETF como instrumentos independientes.</w:t>
      </w:r>
    </w:p>
    <w:p>
      <w:r>
        <w:t>El listado tendrá una fecha de referencia y se revisará en cada ejecución. Se registrarán incorporaciones, cambios de símbolo, suspensiones y bajas. La cobertura de yfinance se contrastará con el universo definido: una ausencia de datos no autoriza a eliminar silenciosamente una empresa.</w:t>
      </w:r>
    </w:p>
    <w:p>
      <w:r>
        <w:t>Para evaluaciones históricas se evitará utilizar únicamente las empresas que sobreviven en el listado actual. Si no puede reconstruirse un universo histórico completo, el informe identificará esa limitación y el conjunto efectivamente evaluado.</w:t>
      </w:r>
    </w:p>
    <w:p>
      <w:pPr>
        <w:pStyle w:val="Heading2"/>
      </w:pPr>
      <w:r>
        <w:t>Doce meses y mínimos de observación</w:t>
      </w:r>
    </w:p>
    <w:p>
      <w:r>
        <w:t>La ventana de cotizaciones destinada al modelado abarcará como máximo los doce meses anteriores al origen del pronóstico. Se contará con al menos 140 ruedas válidas disponibles en ese momento. No se sustituye este requisito por seis meses calendario ni por un número de filas descargadas sin validar.</w:t>
      </w:r>
    </w:p>
    <w:p>
      <w:r>
        <w:t>Con 200 observaciones, el 70 % inicial aporta 140 al entrenamiento y el 30 % aporta 60 a prueba. Este es un mínimo aritmético: rezagos, indicadores, rendimientos y etiquetas futuras pueden reducir la cantidad efectiva de ejemplos. Cada candidato debe verificar sus propios requisitos sin ampliar unilateralmente el año acordado.</w:t>
      </w:r>
    </w:p>
    <w:p>
      <w:r>
        <w:t>Conservar un archivo de pronósticos y evaluaciones prospectivas durante más de un año es compatible con limitar a un año la ventana de datos usada para ajustar cada modelo. No se borrará evidencia anterior para mejorar las métricas.</w:t>
      </w:r>
    </w:p>
    <w:p>
      <w:pPr>
        <w:pStyle w:val="Heading2"/>
      </w:pPr>
      <w:r>
        <w:t>Qué significa una rueda válida</w:t>
      </w:r>
    </w:p>
    <w:p>
      <w:pPr>
        <w:pStyle w:val="ListBullet"/>
      </w:pPr>
      <w:r>
        <w:t>Corresponde a una sesión del calendario bursátil local y a un cierre confirmado, con fecha y moneda consistentes.</w:t>
      </w:r>
    </w:p>
    <w:p>
      <w:pPr>
        <w:pStyle w:val="ListBullet"/>
      </w:pPr>
      <w:r>
        <w:t>No es un duplicado, una fila futura ni un valor rellenado artificialmente para completar el mínimo.</w:t>
      </w:r>
    </w:p>
    <w:p>
      <w:pPr>
        <w:pStyle w:val="ListBullet"/>
      </w:pPr>
      <w:r>
        <w:t>Los días sin negociación, los precios repetidos y los volúmenes nulos se distinguirán de datos faltantes. No se interpretarán automáticamente como una rueda informativa normal.</w:t>
      </w:r>
    </w:p>
    <w:p>
      <w:pPr>
        <w:pStyle w:val="ListBullet"/>
      </w:pPr>
      <w:r>
        <w:t>La hora de descarga y la sesión a la que pertenece el dato quedarán registradas en la zona horaria America/Buenos_Aires.</w:t>
      </w:r>
    </w:p>
    <w:p>
      <w:r>
        <w:t>El calendario exacto, la hora de ejecución y los criterios numéricos de liquidez se fijarán en la configuración antes de evaluar el procedimiento; no se confundirán días hábiles administrativos con ruedas bursátiles.</w:t>
      </w:r>
    </w:p>
    <w:p>
      <w:r>
        <w:br w:type="page"/>
      </w:r>
    </w:p>
    <w:p>
      <w:pPr>
        <w:pStyle w:val="Heading1"/>
      </w:pPr>
      <w:r>
        <w:t>4 Calidad de datos y eventos corporativos</w:t>
      </w:r>
    </w:p>
    <w:p>
      <w:pPr>
        <w:pStyle w:val="Heading2"/>
      </w:pPr>
      <w:r>
        <w:t>Controles antes de modelar</w:t>
      </w:r>
    </w:p>
    <w:p>
      <w:r>
        <w:t>La ingesta validará identidad del instrumento, moneda, fechas, duplicados, valores faltantes, precios no positivos, coherencia entre apertura, máximo, mínimo y cierre, volumen y presencia de eventos corporativos. Se conservará trazabilidad del dato recibido, de las transformaciones y de cualquier corrección aplicada.</w:t>
      </w:r>
    </w:p>
    <w:p>
      <w:r>
        <w:t>Los saltos grandes no se eliminarán por el solo hecho de ser extremos: pueden representar movimientos reales. Las reparaciones automáticas se verificarán y no se tratarán como verdad garantizada. La documentación de yfinance describe errores de escala, de ajustes y posibles falsos positivos de reparación [R1].</w:t>
      </w:r>
    </w:p>
    <w:p>
      <w:r>
        <w:t>Cuando se disponga de una referencia independiente utilizable, se contrastará el mismo instrumento, moneda, fecha y definición de cierre. No se afirmará un porcentaje de similitud con otra fuente sin haberlo medido. Una discrepancia sin resolver conservará su estado y podrá impedir la estimación.</w:t>
      </w:r>
    </w:p>
    <w:p>
      <w:pPr>
        <w:pStyle w:val="Heading2"/>
      </w:pPr>
      <w:r>
        <w:t>Desdoblamientos y dividendos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088"/>
        <w:gridCol w:w="7992"/>
      </w:tblGrid>
      <w:tr>
        <w:trPr>
          <w:cantSplit/>
          <w:tblHeader/>
        </w:trPr>
        <w:tc>
          <w:tcPr>
            <w:tcW w:type="dxa" w:w="2088"/>
            <w:vAlign w:val="center"/>
            <w:shd w:fill="E7EDF3"/>
          </w:tcPr>
          <w:p>
            <w:pPr>
              <w:spacing w:after="40" w:line="245" w:lineRule="auto"/>
            </w:pPr>
            <w:r>
              <w:rPr>
                <w:b/>
                <w:color w:val="000000"/>
                <w:sz w:val="20"/>
              </w:rPr>
              <w:t>Evento</w:t>
            </w:r>
          </w:p>
        </w:tc>
        <w:tc>
          <w:tcPr>
            <w:tcW w:type="dxa" w:w="7992"/>
            <w:vAlign w:val="center"/>
            <w:shd w:fill="E7EDF3"/>
          </w:tcPr>
          <w:p>
            <w:pPr>
              <w:spacing w:after="40" w:line="245" w:lineRule="auto"/>
            </w:pPr>
            <w:r>
              <w:rPr>
                <w:b/>
                <w:color w:val="000000"/>
                <w:sz w:val="20"/>
              </w:rPr>
              <w:t>Tratamiento acordado</w:t>
            </w:r>
          </w:p>
        </w:tc>
      </w:tr>
      <w:tr>
        <w:trPr>
          <w:cantSplit/>
        </w:trPr>
        <w:tc>
          <w:tcPr>
            <w:tcW w:type="dxa" w:w="2088"/>
            <w:vAlign w:val="center"/>
            <w:shd w:fill="FFFFFF"/>
          </w:tcPr>
          <w:p>
            <w:pPr>
              <w:spacing w:after="40" w:line="245" w:lineRule="auto"/>
            </w:pPr>
            <w:r>
              <w:rPr>
                <w:b w:val="0"/>
                <w:color w:val="000000"/>
                <w:sz w:val="20"/>
              </w:rPr>
              <w:t>Desdoblamientos</w:t>
            </w:r>
          </w:p>
        </w:tc>
        <w:tc>
          <w:tcPr>
            <w:tcW w:type="dxa" w:w="7992"/>
            <w:vAlign w:val="center"/>
            <w:shd w:fill="FFFFFF"/>
          </w:tcPr>
          <w:p>
            <w:pPr>
              <w:spacing w:after="40" w:line="245" w:lineRule="auto"/>
            </w:pPr>
            <w:r>
              <w:rPr>
                <w:b w:val="0"/>
                <w:color w:val="000000"/>
                <w:sz w:val="20"/>
              </w:rPr>
              <w:t>Mantener un historial consistente frente a cambios en la cantidad de acciones. Verificar que un ajuste no se aplique dos veces.</w:t>
            </w:r>
          </w:p>
        </w:tc>
      </w:tr>
      <w:tr>
        <w:trPr>
          <w:cantSplit/>
        </w:trPr>
        <w:tc>
          <w:tcPr>
            <w:tcW w:type="dxa" w:w="2088"/>
            <w:vAlign w:val="center"/>
            <w:shd w:fill="F7F8FA"/>
          </w:tcPr>
          <w:p>
            <w:pPr>
              <w:spacing w:after="40" w:line="245" w:lineRule="auto"/>
            </w:pPr>
            <w:r>
              <w:rPr>
                <w:b w:val="0"/>
                <w:color w:val="000000"/>
                <w:sz w:val="20"/>
              </w:rPr>
              <w:t>Dividendos</w:t>
            </w:r>
          </w:p>
        </w:tc>
        <w:tc>
          <w:tcPr>
            <w:tcW w:type="dxa" w:w="7992"/>
            <w:vAlign w:val="center"/>
            <w:shd w:fill="F7F8FA"/>
          </w:tcPr>
          <w:p>
            <w:pPr>
              <w:spacing w:after="40" w:line="245" w:lineRule="auto"/>
            </w:pPr>
            <w:r>
              <w:rPr>
                <w:b w:val="0"/>
                <w:color w:val="000000"/>
                <w:sz w:val="20"/>
              </w:rPr>
              <w:t>Conservar fechas e importes disponibles. Distinguir precio cotizado, precio ajustado y rendimiento que incluye dividendos.</w:t>
            </w:r>
          </w:p>
        </w:tc>
      </w:tr>
      <w:tr>
        <w:trPr>
          <w:cantSplit/>
        </w:trPr>
        <w:tc>
          <w:tcPr>
            <w:tcW w:type="dxa" w:w="2088"/>
            <w:vAlign w:val="center"/>
            <w:shd w:fill="FFFFFF"/>
          </w:tcPr>
          <w:p>
            <w:pPr>
              <w:spacing w:after="40" w:line="245" w:lineRule="auto"/>
            </w:pPr>
            <w:r>
              <w:rPr>
                <w:b w:val="0"/>
                <w:color w:val="000000"/>
                <w:sz w:val="20"/>
              </w:rPr>
              <w:t>Precio objetivo</w:t>
            </w:r>
          </w:p>
        </w:tc>
        <w:tc>
          <w:tcPr>
            <w:tcW w:type="dxa" w:w="7992"/>
            <w:vAlign w:val="center"/>
            <w:shd w:fill="FFFFFF"/>
          </w:tcPr>
          <w:p>
            <w:pPr>
              <w:spacing w:after="40" w:line="245" w:lineRule="auto"/>
            </w:pPr>
            <w:r>
              <w:rPr>
                <w:b w:val="0"/>
                <w:color w:val="000000"/>
                <w:sz w:val="20"/>
              </w:rPr>
              <w:t>La salida sigue siendo el cierre nominal en ARS. No presentar un índice de retorno total como si fuera ese precio.</w:t>
            </w:r>
          </w:p>
        </w:tc>
      </w:tr>
      <w:tr>
        <w:trPr>
          <w:cantSplit/>
        </w:trPr>
        <w:tc>
          <w:tcPr>
            <w:tcW w:type="dxa" w:w="2088"/>
            <w:vAlign w:val="center"/>
            <w:shd w:fill="F7F8FA"/>
          </w:tcPr>
          <w:p>
            <w:pPr>
              <w:spacing w:after="40" w:line="245" w:lineRule="auto"/>
            </w:pPr>
            <w:r>
              <w:rPr>
                <w:b w:val="0"/>
                <w:color w:val="000000"/>
                <w:sz w:val="20"/>
              </w:rPr>
              <w:t>Información futura</w:t>
            </w:r>
          </w:p>
        </w:tc>
        <w:tc>
          <w:tcPr>
            <w:tcW w:type="dxa" w:w="7992"/>
            <w:vAlign w:val="center"/>
            <w:shd w:fill="F7F8FA"/>
          </w:tcPr>
          <w:p>
            <w:pPr>
              <w:spacing w:after="40" w:line="245" w:lineRule="auto"/>
            </w:pPr>
            <w:r>
              <w:rPr>
                <w:b w:val="0"/>
                <w:color w:val="000000"/>
                <w:sz w:val="20"/>
              </w:rPr>
              <w:t>En cada origen solo se incorporan eventos y condiciones que ya podían conocerse. Documentar las hipótesis si el evento futuro no está disponible.</w:t>
            </w:r>
          </w:p>
        </w:tc>
      </w:tr>
    </w:tbl>
    <w:p>
      <w:pPr>
        <w:spacing w:after="20"/>
      </w:pPr>
    </w:p>
    <w:p>
      <w:r>
        <w:t>El tratamiento matemático concreto de los dividendos dentro del modelo deberá ser consistente con el objetivo nominal. No se descontarán comisiones bancarias del precio pronosticado. No se asumirán dividendos inexistentes ni se garantizará que el proveedor reporte todos los eventos.</w:t>
      </w:r>
    </w:p>
    <w:p>
      <w:pPr>
        <w:pStyle w:val="Heading2"/>
      </w:pPr>
      <w:r>
        <w:t>Históricos revisados y procedencia</w:t>
      </w:r>
    </w:p>
    <w:p>
      <w:r>
        <w:t>Una descarga actual puede incluir correcciones o ajustes realizados después de las fechas simuladas. Un backtest con esa descarga no demuestra por sí solo qué información estaba disponible en tiempo real. Esa limitación se documentará, y el registro prospectivo conservará los datos y resultados conocidos al emitir cada pronóstico.</w:t>
      </w:r>
    </w:p>
    <w:p>
      <w:r>
        <w:t>yfinance es la fuente inicial seleccionada. Su selección no se reabre como condición previa del desarrollo ni se sustituye automáticamente por una API paga. El documento no constituye una certificación de derechos sobre todos los posibles contenidos que se publiquen. Las decisiones de publicación se aplicarán al material concreto, junto con la exclusión de información privada.</w:t>
      </w:r>
    </w:p>
    <w:p>
      <w:r>
        <w:br w:type="page"/>
      </w:r>
    </w:p>
    <w:p>
      <w:pPr>
        <w:pStyle w:val="Heading1"/>
      </w:pPr>
      <w:r>
        <w:t>5 Motor matemático y fundamento metodológico</w:t>
      </w:r>
    </w:p>
    <w:p>
      <w:pPr>
        <w:pStyle w:val="Heading2"/>
      </w:pPr>
      <w:r>
        <w:t>Principio aprobado</w:t>
      </w:r>
    </w:p>
    <w:p>
      <w:r>
        <w:t>Monte Carlo será el método de simulación: generará múltiples trayectorias posibles a partir de un modelo estadístico y permitirá resumir la distribución de resultados. No proporciona por sí mismo capacidad predictiva ni elimina la incertidumbre sobre los supuestos, los parámetros o los acontecimientos futuros.</w:t>
      </w:r>
    </w:p>
    <w:p>
      <w:r>
        <w:t>La arquitectura conceptual trabajará con variaciones o rendimientos, una representación de la volatilidad y una distribución de innovaciones. La transformación a precios deberá mantener la definición de cierre nominal y el tratamiento de eventos corporativos. La especificación exacta de los modelos permanece pendiente.</w:t>
      </w:r>
    </w:p>
    <w:p>
      <w:pPr>
        <w:pStyle w:val="Heading2"/>
      </w:pPr>
      <w:r>
        <w:t>Candidatos discutidos que aún requieren selección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232"/>
        <w:gridCol w:w="7848"/>
      </w:tblGrid>
      <w:tr>
        <w:trPr>
          <w:cantSplit/>
          <w:tblHeader/>
        </w:trPr>
        <w:tc>
          <w:tcPr>
            <w:tcW w:type="dxa" w:w="2232"/>
            <w:vAlign w:val="center"/>
            <w:shd w:fill="E7EDF3"/>
          </w:tcPr>
          <w:p>
            <w:pPr>
              <w:spacing w:after="40" w:line="245" w:lineRule="auto"/>
            </w:pPr>
            <w:r>
              <w:rPr>
                <w:b/>
                <w:color w:val="000000"/>
                <w:sz w:val="20"/>
              </w:rPr>
              <w:t>Componente</w:t>
            </w:r>
          </w:p>
        </w:tc>
        <w:tc>
          <w:tcPr>
            <w:tcW w:type="dxa" w:w="7848"/>
            <w:vAlign w:val="center"/>
            <w:shd w:fill="E7EDF3"/>
          </w:tcPr>
          <w:p>
            <w:pPr>
              <w:spacing w:after="40" w:line="245" w:lineRule="auto"/>
            </w:pPr>
            <w:r>
              <w:rPr>
                <w:b/>
                <w:color w:val="000000"/>
                <w:sz w:val="20"/>
              </w:rPr>
              <w:t>Candidato o función</w:t>
            </w:r>
          </w:p>
        </w:tc>
      </w:tr>
      <w:tr>
        <w:trPr>
          <w:cantSplit/>
        </w:trPr>
        <w:tc>
          <w:tcPr>
            <w:tcW w:type="dxa" w:w="2232"/>
            <w:vAlign w:val="center"/>
            <w:shd w:fill="FFFFFF"/>
          </w:tcPr>
          <w:p>
            <w:pPr>
              <w:spacing w:after="40" w:line="245" w:lineRule="auto"/>
            </w:pPr>
            <w:r>
              <w:rPr>
                <w:b w:val="0"/>
                <w:color w:val="000000"/>
                <w:sz w:val="20"/>
              </w:rPr>
              <w:t>Referencia</w:t>
            </w:r>
          </w:p>
        </w:tc>
        <w:tc>
          <w:tcPr>
            <w:tcW w:type="dxa" w:w="7848"/>
            <w:vAlign w:val="center"/>
            <w:shd w:fill="FFFFFF"/>
          </w:tcPr>
          <w:p>
            <w:pPr>
              <w:spacing w:after="40" w:line="245" w:lineRule="auto"/>
            </w:pPr>
            <w:r>
              <w:rPr>
                <w:b w:val="0"/>
                <w:color w:val="000000"/>
                <w:sz w:val="20"/>
              </w:rPr>
              <w:t>Mantener el último cierre observado. Será el punto de comparación obligatorio.</w:t>
            </w:r>
          </w:p>
        </w:tc>
      </w:tr>
      <w:tr>
        <w:trPr>
          <w:cantSplit/>
        </w:trPr>
        <w:tc>
          <w:tcPr>
            <w:tcW w:type="dxa" w:w="2232"/>
            <w:vAlign w:val="center"/>
            <w:shd w:fill="F7F8FA"/>
          </w:tcPr>
          <w:p>
            <w:pPr>
              <w:spacing w:after="40" w:line="245" w:lineRule="auto"/>
            </w:pPr>
            <w:r>
              <w:rPr>
                <w:b w:val="0"/>
                <w:color w:val="000000"/>
                <w:sz w:val="20"/>
              </w:rPr>
              <w:t>Media condicional</w:t>
            </w:r>
          </w:p>
        </w:tc>
        <w:tc>
          <w:tcPr>
            <w:tcW w:type="dxa" w:w="7848"/>
            <w:vAlign w:val="center"/>
            <w:shd w:fill="F7F8FA"/>
          </w:tcPr>
          <w:p>
            <w:pPr>
              <w:spacing w:after="40" w:line="245" w:lineRule="auto"/>
            </w:pPr>
            <w:r>
              <w:rPr>
                <w:b w:val="0"/>
                <w:color w:val="000000"/>
                <w:sz w:val="20"/>
              </w:rPr>
              <w:t>Comenzar con una media sencilla o nula. Elastic Net fue discutido como alternativa si existe mejora temporal verificable.</w:t>
            </w:r>
          </w:p>
        </w:tc>
      </w:tr>
      <w:tr>
        <w:trPr>
          <w:cantSplit/>
        </w:trPr>
        <w:tc>
          <w:tcPr>
            <w:tcW w:type="dxa" w:w="2232"/>
            <w:vAlign w:val="center"/>
            <w:shd w:fill="FFFFFF"/>
          </w:tcPr>
          <w:p>
            <w:pPr>
              <w:spacing w:after="40" w:line="245" w:lineRule="auto"/>
            </w:pPr>
            <w:r>
              <w:rPr>
                <w:b w:val="0"/>
                <w:color w:val="000000"/>
                <w:sz w:val="20"/>
              </w:rPr>
              <w:t>Volatilidad</w:t>
            </w:r>
          </w:p>
        </w:tc>
        <w:tc>
          <w:tcPr>
            <w:tcW w:type="dxa" w:w="7848"/>
            <w:vAlign w:val="center"/>
            <w:shd w:fill="FFFFFF"/>
          </w:tcPr>
          <w:p>
            <w:pPr>
              <w:spacing w:after="40" w:line="245" w:lineRule="auto"/>
            </w:pPr>
            <w:r>
              <w:rPr>
                <w:b w:val="0"/>
                <w:color w:val="000000"/>
                <w:sz w:val="20"/>
              </w:rPr>
              <w:t>GARCH(1,1) como candidato. GJR como extensión posible, no como requisito inicial.</w:t>
            </w:r>
          </w:p>
        </w:tc>
      </w:tr>
      <w:tr>
        <w:trPr>
          <w:cantSplit/>
        </w:trPr>
        <w:tc>
          <w:tcPr>
            <w:tcW w:type="dxa" w:w="2232"/>
            <w:vAlign w:val="center"/>
            <w:shd w:fill="F7F8FA"/>
          </w:tcPr>
          <w:p>
            <w:pPr>
              <w:spacing w:after="40" w:line="245" w:lineRule="auto"/>
            </w:pPr>
            <w:r>
              <w:rPr>
                <w:b w:val="0"/>
                <w:color w:val="000000"/>
                <w:sz w:val="20"/>
              </w:rPr>
              <w:t>Innovaciones</w:t>
            </w:r>
          </w:p>
        </w:tc>
        <w:tc>
          <w:tcPr>
            <w:tcW w:type="dxa" w:w="7848"/>
            <w:vAlign w:val="center"/>
            <w:shd w:fill="F7F8FA"/>
          </w:tcPr>
          <w:p>
            <w:pPr>
              <w:spacing w:after="40" w:line="245" w:lineRule="auto"/>
            </w:pPr>
            <w:r>
              <w:rPr>
                <w:b w:val="0"/>
                <w:color w:val="000000"/>
                <w:sz w:val="20"/>
              </w:rPr>
              <w:t>Bootstrap histórico filtrado de residuos estandarizados como candidato para reproducir escenarios de variación.</w:t>
            </w:r>
          </w:p>
        </w:tc>
      </w:tr>
      <w:tr>
        <w:trPr>
          <w:cantSplit/>
        </w:trPr>
        <w:tc>
          <w:tcPr>
            <w:tcW w:type="dxa" w:w="2232"/>
            <w:vAlign w:val="center"/>
            <w:shd w:fill="FFFFFF"/>
          </w:tcPr>
          <w:p>
            <w:pPr>
              <w:spacing w:after="40" w:line="245" w:lineRule="auto"/>
            </w:pPr>
            <w:r>
              <w:rPr>
                <w:b w:val="0"/>
                <w:color w:val="000000"/>
                <w:sz w:val="20"/>
              </w:rPr>
              <w:t>Simulación</w:t>
            </w:r>
          </w:p>
        </w:tc>
        <w:tc>
          <w:tcPr>
            <w:tcW w:type="dxa" w:w="7848"/>
            <w:vAlign w:val="center"/>
            <w:shd w:fill="FFFFFF"/>
          </w:tcPr>
          <w:p>
            <w:pPr>
              <w:spacing w:after="40" w:line="245" w:lineRule="auto"/>
            </w:pPr>
            <w:r>
              <w:rPr>
                <w:b w:val="0"/>
                <w:color w:val="000000"/>
                <w:sz w:val="20"/>
              </w:rPr>
              <w:t>Trayectorias Monte Carlo condicionadas a los datos disponibles en cada origen.</w:t>
            </w:r>
          </w:p>
        </w:tc>
      </w:tr>
      <w:tr>
        <w:trPr>
          <w:cantSplit/>
        </w:trPr>
        <w:tc>
          <w:tcPr>
            <w:tcW w:type="dxa" w:w="2232"/>
            <w:vAlign w:val="center"/>
            <w:shd w:fill="F7F8FA"/>
          </w:tcPr>
          <w:p>
            <w:pPr>
              <w:spacing w:after="40" w:line="245" w:lineRule="auto"/>
            </w:pPr>
            <w:r>
              <w:rPr>
                <w:b w:val="0"/>
                <w:color w:val="000000"/>
                <w:sz w:val="20"/>
              </w:rPr>
              <w:t>Resumen de salida</w:t>
            </w:r>
          </w:p>
        </w:tc>
        <w:tc>
          <w:tcPr>
            <w:tcW w:type="dxa" w:w="7848"/>
            <w:vAlign w:val="center"/>
            <w:shd w:fill="F7F8FA"/>
          </w:tcPr>
          <w:p>
            <w:pPr>
              <w:spacing w:after="40" w:line="245" w:lineRule="auto"/>
            </w:pPr>
            <w:r>
              <w:rPr>
                <w:b w:val="0"/>
                <w:color w:val="000000"/>
                <w:sz w:val="20"/>
              </w:rPr>
              <w:t>Mediana, probabilidades y niveles de intervalos sujetos al cierre de configuración pendiente.</w:t>
            </w:r>
          </w:p>
        </w:tc>
      </w:tr>
    </w:tbl>
    <w:p>
      <w:pPr>
        <w:spacing w:after="20"/>
      </w:pPr>
    </w:p>
    <w:p>
      <w:r>
        <w:t>La comparación será pequeña y documentada. No se añadirá complejidad únicamente para reducir el error de entrenamiento. El sobreajuste, el subajuste, el cambio de régimen y la falta de señal predictiva se evaluarán como explicaciones diferentes.</w:t>
      </w:r>
    </w:p>
    <w:p>
      <w:pPr>
        <w:pStyle w:val="Heading2"/>
      </w:pPr>
      <w:r>
        <w:t>Coherencia y límites</w:t>
      </w:r>
    </w:p>
    <w:p>
      <w:pPr>
        <w:pStyle w:val="ListBullet"/>
      </w:pPr>
      <w:r>
        <w:t>El número de trayectorias, las semillas y la tolerancia del error numérico se fijarán de manera reproducible. Más simulaciones reducen error de simulación, no corrigen un modelo equivocado.</w:t>
      </w:r>
    </w:p>
    <w:p>
      <w:pPr>
        <w:pStyle w:val="ListBullet"/>
      </w:pPr>
      <w:r>
        <w:t>Un bootstrap limitado al pasado observado puede no representar crisis no presentes en la ventana. Se documentarán las colas y los escenarios de estrés que se evalúen, sin inventar sus probabilidades.</w:t>
      </w:r>
    </w:p>
    <w:p>
      <w:pPr>
        <w:pStyle w:val="ListBullet"/>
      </w:pPr>
      <w:r>
        <w:t>Si se reconsidera una Student t no truncada para log rendimientos, no se presentará la media del precio exponenciado como esperanza finita: esa construcción no tiene dicho momento.</w:t>
      </w:r>
    </w:p>
    <w:p>
      <w:r>
        <w:t>Se priorizarán métodos con fundamento estadístico y financiero y referencias académicas identificables [R2–R5]. La afiliación universitaria de una publicación no implica aval del producto ni de su precisión.</w:t>
      </w:r>
    </w:p>
    <w:p>
      <w:r>
        <w:br w:type="page"/>
      </w:r>
    </w:p>
    <w:p>
      <w:pPr>
        <w:pStyle w:val="Heading1"/>
      </w:pPr>
      <w:r>
        <w:t>6 Entrenamiento y evaluación fuera de muestra</w:t>
      </w:r>
    </w:p>
    <w:p>
      <w:pPr>
        <w:pStyle w:val="Heading2"/>
      </w:pPr>
      <w:r>
        <w:t>Separación y selección</w:t>
      </w:r>
    </w:p>
    <w:p>
      <w:r>
        <w:t>Ordenar las observaciones por fecha y reservar el 70 % más antiguo para desarrollo y el 30 % más reciente para prueba. No barajar los datos. Dentro del entrenamiento se realizará validación temporal con orígenes sucesivos, respetando el historial mínimo y la disponibilidad de resultados.</w:t>
      </w:r>
    </w:p>
    <w:p>
      <w:r>
        <w:t>La elección de variables, ventanas, modelos, hiperparámetros y reglas de abstención se resolverá dentro del bloque de entrenamiento. El test evaluará el procedimiento ya elegido. Si el test se utiliza para cambiar esas decisiones, deja de ser una prueba independiente y se necesitará nueva evidencia para evaluar el cambio.</w:t>
      </w:r>
    </w:p>
    <w:p>
      <w:pPr>
        <w:pStyle w:val="Heading2"/>
      </w:pPr>
      <w:r>
        <w:t>Separación de objetivos futuros</w:t>
      </w:r>
    </w:p>
    <w:p>
      <w:r>
        <w:t>Un ejemplo originado antes del corte no pertenece necesariamente al entrenamiento: si su objetivo utiliza un precio diez ruedas después y cruza el corte, no podrá incorporarse como ejemplo de entrenamiento del período anterior. La separación se calculará según el horizonte y la construcción efectiva de etiquetas, no solo mediante un porcentaje de filas.</w:t>
      </w:r>
    </w:p>
    <w:p>
      <w:r>
        <w:t>Los escaladores, la imputación y la selección de variables se ajustarán exclusivamente con los datos permitidos. Los indicadores usarán valores presentes o pasados respecto del origen. Si se combinan empresas, los cortes serán comunes por fecha, evitando que otra serie introduzca información posterior.</w:t>
      </w:r>
    </w:p>
    <w:p>
      <w:pPr>
        <w:pStyle w:val="Heading2"/>
      </w:pPr>
      <w:r>
        <w:t>Prueba progresiva y reentrenamiento</w:t>
      </w:r>
    </w:p>
    <w:p>
      <w:r>
        <w:t>Se permite reentrenar durante la prueba progresiva únicamente con datos ya conocidos y con una frecuencia y política definidas antes del test. Reproducir esa política no equivale a elegir nuevas reglas después de observar los resultados. La frecuencia exacta está pendiente; semanal es una propuesta, no una aprobación.</w:t>
      </w:r>
    </w:p>
    <w:p>
      <w:r>
        <w:t>En cada origen se verificará de nuevo que existan 140 ruedas válidas y que los ejemplos efectivos alcancen para el candidato. Si la validación interna no es viable dentro del año disponible, se registrará la limitación y se restringirá la comparación; no se inventará evidencia ni se ampliará el historial sin una decisión de cambio.</w:t>
      </w:r>
    </w:p>
    <w:p>
      <w:pPr>
        <w:pStyle w:val="Heading2"/>
      </w:pPr>
      <w:r>
        <w:t>Dependencia y representatividad</w:t>
      </w:r>
    </w:p>
    <w:p>
      <w:pPr>
        <w:pStyle w:val="ListBullet"/>
      </w:pPr>
      <w:r>
        <w:t>Los pronósticos a diez ruedas emitidos en días consecutivos se solapan. No se contarán como ensayos independientes.</w:t>
      </w:r>
    </w:p>
    <w:p>
      <w:pPr>
        <w:pStyle w:val="ListBullet"/>
      </w:pPr>
      <w:r>
        <w:t>Los errores entre empresas pueden estar correlacionados. Un mayor número de empresas no garantiza igual aumento de evidencia independiente.</w:t>
      </w:r>
    </w:p>
    <w:p>
      <w:pPr>
        <w:pStyle w:val="ListBullet"/>
      </w:pPr>
      <w:r>
        <w:t>Se reportarán período, cantidad de casos, estados de mercado representados y resultados por acción y horizonte.</w:t>
      </w:r>
    </w:p>
    <w:p>
      <w:r>
        <w:t>Este diseño se apoya en la evaluación temporal y las referencias sencillas de pronóstico [R2]. Las herramientas de partición temporal pueden incorporar separaciones, pero no reemplazan el control de las fechas de las etiquetas [R3].</w:t>
      </w:r>
    </w:p>
    <w:p>
      <w:r>
        <w:br w:type="page"/>
      </w:r>
    </w:p>
    <w:p>
      <w:pPr>
        <w:pStyle w:val="Heading1"/>
      </w:pPr>
      <w:r>
        <w:t>7 Ciclo diario y registro de pronósticos</w:t>
      </w:r>
    </w:p>
    <w:p>
      <w:pPr>
        <w:pStyle w:val="Heading2"/>
      </w:pPr>
      <w:r>
        <w:t>Secuencia funcional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792"/>
        <w:gridCol w:w="9288"/>
      </w:tblGrid>
      <w:tr>
        <w:trPr>
          <w:cantSplit/>
          <w:tblHeader/>
        </w:trPr>
        <w:tc>
          <w:tcPr>
            <w:tcW w:type="dxa" w:w="792"/>
            <w:vAlign w:val="center"/>
            <w:shd w:fill="E7EDF3"/>
          </w:tcPr>
          <w:p>
            <w:pPr>
              <w:spacing w:after="40" w:line="245" w:lineRule="auto"/>
              <w:jc w:val="center"/>
            </w:pPr>
            <w:r>
              <w:rPr>
                <w:b/>
                <w:color w:val="000000"/>
                <w:sz w:val="20"/>
              </w:rPr>
              <w:t>Paso</w:t>
            </w:r>
          </w:p>
        </w:tc>
        <w:tc>
          <w:tcPr>
            <w:tcW w:type="dxa" w:w="9288"/>
            <w:vAlign w:val="center"/>
            <w:shd w:fill="E7EDF3"/>
          </w:tcPr>
          <w:p>
            <w:pPr>
              <w:spacing w:after="40" w:line="245" w:lineRule="auto"/>
            </w:pPr>
            <w:r>
              <w:rPr>
                <w:b/>
                <w:color w:val="000000"/>
                <w:sz w:val="20"/>
              </w:rPr>
              <w:t>Acción y resultado</w:t>
            </w:r>
          </w:p>
        </w:tc>
      </w:tr>
      <w:tr>
        <w:trPr>
          <w:cantSplit/>
        </w:trPr>
        <w:tc>
          <w:tcPr>
            <w:tcW w:type="dxa" w:w="792"/>
            <w:vAlign w:val="center"/>
            <w:shd w:fill="FFFFFF"/>
          </w:tcPr>
          <w:p>
            <w:pPr>
              <w:spacing w:after="40" w:line="245" w:lineRule="auto"/>
              <w:jc w:val="center"/>
            </w:pPr>
            <w:r>
              <w:rPr>
                <w:b w:val="0"/>
                <w:color w:val="000000"/>
                <w:sz w:val="20"/>
              </w:rPr>
              <w:t>1</w:t>
            </w:r>
          </w:p>
        </w:tc>
        <w:tc>
          <w:tcPr>
            <w:tcW w:type="dxa" w:w="9288"/>
            <w:vAlign w:val="center"/>
            <w:shd w:fill="FFFFFF"/>
          </w:tcPr>
          <w:p>
            <w:pPr>
              <w:spacing w:after="40" w:line="245" w:lineRule="auto"/>
            </w:pPr>
            <w:r>
              <w:rPr>
                <w:b w:val="0"/>
                <w:color w:val="000000"/>
                <w:sz w:val="20"/>
              </w:rPr>
              <w:t>Identificar la última rueda cerrada según calendario local y disponibilidad efectiva del dato.</w:t>
            </w:r>
          </w:p>
        </w:tc>
      </w:tr>
      <w:tr>
        <w:trPr>
          <w:cantSplit/>
        </w:trPr>
        <w:tc>
          <w:tcPr>
            <w:tcW w:type="dxa" w:w="792"/>
            <w:vAlign w:val="center"/>
            <w:shd w:fill="F7F8FA"/>
          </w:tcPr>
          <w:p>
            <w:pPr>
              <w:spacing w:after="40" w:line="245" w:lineRule="auto"/>
              <w:jc w:val="center"/>
            </w:pPr>
            <w:r>
              <w:rPr>
                <w:b w:val="0"/>
                <w:color w:val="000000"/>
                <w:sz w:val="20"/>
              </w:rPr>
              <w:t>2</w:t>
            </w:r>
          </w:p>
        </w:tc>
        <w:tc>
          <w:tcPr>
            <w:tcW w:type="dxa" w:w="9288"/>
            <w:vAlign w:val="center"/>
            <w:shd w:fill="F7F8FA"/>
          </w:tcPr>
          <w:p>
            <w:pPr>
              <w:spacing w:after="40" w:line="245" w:lineRule="auto"/>
            </w:pPr>
            <w:r>
              <w:rPr>
                <w:b w:val="0"/>
                <w:color w:val="000000"/>
                <w:sz w:val="20"/>
              </w:rPr>
              <w:t>Actualizar el universo, descargar las observaciones necesarias y ejecutar los controles.</w:t>
            </w:r>
          </w:p>
        </w:tc>
      </w:tr>
      <w:tr>
        <w:trPr>
          <w:cantSplit/>
        </w:trPr>
        <w:tc>
          <w:tcPr>
            <w:tcW w:type="dxa" w:w="792"/>
            <w:vAlign w:val="center"/>
            <w:shd w:fill="FFFFFF"/>
          </w:tcPr>
          <w:p>
            <w:pPr>
              <w:spacing w:after="40" w:line="245" w:lineRule="auto"/>
              <w:jc w:val="center"/>
            </w:pPr>
            <w:r>
              <w:rPr>
                <w:b w:val="0"/>
                <w:color w:val="000000"/>
                <w:sz w:val="20"/>
              </w:rPr>
              <w:t>3</w:t>
            </w:r>
          </w:p>
        </w:tc>
        <w:tc>
          <w:tcPr>
            <w:tcW w:type="dxa" w:w="9288"/>
            <w:vAlign w:val="center"/>
            <w:shd w:fill="FFFFFF"/>
          </w:tcPr>
          <w:p>
            <w:pPr>
              <w:spacing w:after="40" w:line="245" w:lineRule="auto"/>
            </w:pPr>
            <w:r>
              <w:rPr>
                <w:b w:val="0"/>
                <w:color w:val="000000"/>
                <w:sz w:val="20"/>
              </w:rPr>
              <w:t>Evaluar predicciones anteriores cuya fecha objetivo ya tenga cierre confirmado.</w:t>
            </w:r>
          </w:p>
        </w:tc>
      </w:tr>
      <w:tr>
        <w:trPr>
          <w:cantSplit/>
        </w:trPr>
        <w:tc>
          <w:tcPr>
            <w:tcW w:type="dxa" w:w="792"/>
            <w:vAlign w:val="center"/>
            <w:shd w:fill="F7F8FA"/>
          </w:tcPr>
          <w:p>
            <w:pPr>
              <w:spacing w:after="40" w:line="245" w:lineRule="auto"/>
              <w:jc w:val="center"/>
            </w:pPr>
            <w:r>
              <w:rPr>
                <w:b w:val="0"/>
                <w:color w:val="000000"/>
                <w:sz w:val="20"/>
              </w:rPr>
              <w:t>4</w:t>
            </w:r>
          </w:p>
        </w:tc>
        <w:tc>
          <w:tcPr>
            <w:tcW w:type="dxa" w:w="9288"/>
            <w:vAlign w:val="center"/>
            <w:shd w:fill="F7F8FA"/>
          </w:tcPr>
          <w:p>
            <w:pPr>
              <w:spacing w:after="40" w:line="245" w:lineRule="auto"/>
            </w:pPr>
            <w:r>
              <w:rPr>
                <w:b w:val="0"/>
                <w:color w:val="000000"/>
                <w:sz w:val="20"/>
              </w:rPr>
              <w:t>Reentrenar solo si corresponde a la política predefinida; conservar el modelo vigente en otro caso.</w:t>
            </w:r>
          </w:p>
        </w:tc>
      </w:tr>
      <w:tr>
        <w:trPr>
          <w:cantSplit/>
        </w:trPr>
        <w:tc>
          <w:tcPr>
            <w:tcW w:type="dxa" w:w="792"/>
            <w:vAlign w:val="center"/>
            <w:shd w:fill="FFFFFF"/>
          </w:tcPr>
          <w:p>
            <w:pPr>
              <w:spacing w:after="40" w:line="245" w:lineRule="auto"/>
              <w:jc w:val="center"/>
            </w:pPr>
            <w:r>
              <w:rPr>
                <w:b w:val="0"/>
                <w:color w:val="000000"/>
                <w:sz w:val="20"/>
              </w:rPr>
              <w:t>5</w:t>
            </w:r>
          </w:p>
        </w:tc>
        <w:tc>
          <w:tcPr>
            <w:tcW w:type="dxa" w:w="9288"/>
            <w:vAlign w:val="center"/>
            <w:shd w:fill="FFFFFF"/>
          </w:tcPr>
          <w:p>
            <w:pPr>
              <w:spacing w:after="40" w:line="245" w:lineRule="auto"/>
            </w:pPr>
            <w:r>
              <w:rPr>
                <w:b w:val="0"/>
                <w:color w:val="000000"/>
                <w:sz w:val="20"/>
              </w:rPr>
              <w:t>Verificar elegibilidad y emitir escenarios para las próximas una a diez ruedas.</w:t>
            </w:r>
          </w:p>
        </w:tc>
      </w:tr>
      <w:tr>
        <w:trPr>
          <w:cantSplit/>
        </w:trPr>
        <w:tc>
          <w:tcPr>
            <w:tcW w:type="dxa" w:w="792"/>
            <w:vAlign w:val="center"/>
            <w:shd w:fill="F7F8FA"/>
          </w:tcPr>
          <w:p>
            <w:pPr>
              <w:spacing w:after="40" w:line="245" w:lineRule="auto"/>
              <w:jc w:val="center"/>
            </w:pPr>
            <w:r>
              <w:rPr>
                <w:b w:val="0"/>
                <w:color w:val="000000"/>
                <w:sz w:val="20"/>
              </w:rPr>
              <w:t>6</w:t>
            </w:r>
          </w:p>
        </w:tc>
        <w:tc>
          <w:tcPr>
            <w:tcW w:type="dxa" w:w="9288"/>
            <w:vAlign w:val="center"/>
            <w:shd w:fill="F7F8FA"/>
          </w:tcPr>
          <w:p>
            <w:pPr>
              <w:spacing w:after="40" w:line="245" w:lineRule="auto"/>
            </w:pPr>
            <w:r>
              <w:rPr>
                <w:b w:val="0"/>
                <w:color w:val="000000"/>
                <w:sz w:val="20"/>
              </w:rPr>
              <w:t>Guardar el pronóstico original, sus metadatos y el estado de disponibilidad.</w:t>
            </w:r>
          </w:p>
        </w:tc>
      </w:tr>
      <w:tr>
        <w:trPr>
          <w:cantSplit/>
        </w:trPr>
        <w:tc>
          <w:tcPr>
            <w:tcW w:type="dxa" w:w="792"/>
            <w:vAlign w:val="center"/>
            <w:shd w:fill="FFFFFF"/>
          </w:tcPr>
          <w:p>
            <w:pPr>
              <w:spacing w:after="40" w:line="245" w:lineRule="auto"/>
              <w:jc w:val="center"/>
            </w:pPr>
            <w:r>
              <w:rPr>
                <w:b w:val="0"/>
                <w:color w:val="000000"/>
                <w:sz w:val="20"/>
              </w:rPr>
              <w:t>7</w:t>
            </w:r>
          </w:p>
        </w:tc>
        <w:tc>
          <w:tcPr>
            <w:tcW w:type="dxa" w:w="9288"/>
            <w:vAlign w:val="center"/>
            <w:shd w:fill="FFFFFF"/>
          </w:tcPr>
          <w:p>
            <w:pPr>
              <w:spacing w:after="40" w:line="245" w:lineRule="auto"/>
            </w:pPr>
            <w:r>
              <w:rPr>
                <w:b w:val="0"/>
                <w:color w:val="000000"/>
                <w:sz w:val="20"/>
              </w:rPr>
              <w:t>Actualizar la evaluación diaria y preparar la publicación semanal cuando corresponda.</w:t>
            </w:r>
          </w:p>
        </w:tc>
      </w:tr>
    </w:tbl>
    <w:p>
      <w:pPr>
        <w:spacing w:after="20"/>
      </w:pPr>
    </w:p>
    <w:p>
      <w:pPr>
        <w:pStyle w:val="Heading2"/>
      </w:pPr>
      <w:r>
        <w:t>Información mínima de cada registro</w:t>
      </w:r>
    </w:p>
    <w:p>
      <w:r>
        <w:t>Instrumento y empresa; moneda; origen del pronóstico; hora de emisión; última observación usada; fecha objetivo; horizonte; estado; versión del modelo y del código; configuración; semilla; resumen de la distribución; controles de datos; motivo de abstención si aplica. Una vez disponible, se añadirá el precio observado y la evaluación vinculada al pronóstico original.</w:t>
      </w:r>
    </w:p>
    <w:p>
      <w:r>
        <w:t>Cada origen produce horizontes distintos. El resultado de una rueda podrá evaluarse al siguiente cierre; el de diez ruedas deberá esperar diez sesiones. Las predicciones aún no maduras no se contabilizan como aciertos, errores ni observaciones de calibración.</w:t>
      </w:r>
    </w:p>
    <w:p>
      <w:pPr>
        <w:pStyle w:val="Heading2"/>
      </w:pPr>
      <w:r>
        <w:t>Inmutabilidad y correcciones</w:t>
      </w:r>
    </w:p>
    <w:p>
      <w:r>
        <w:t>No se sobrescribirán los pronósticos originales ni se retirarán los errores retrospectivamente. Una corrección de datos, modelo o evaluación se registrará como una nueva versión vinculada a la anterior, conservando el motivo del cambio. Tampoco se usarán cierres futuros para decidir qué pronósticos históricos se consideran publicables.</w:t>
      </w:r>
    </w:p>
    <w:p>
      <w:pPr>
        <w:pStyle w:val="Heading2"/>
      </w:pPr>
      <w:r>
        <w:t>Publicación y antigüedad</w:t>
      </w:r>
    </w:p>
    <w:p>
      <w:r>
        <w:t>El informe se actualizará semanalmente y mostrará la fecha de origen, de datos y de destino. Una proyección emitida hace cinco ruedas no recupera un horizonte de diez ruedas al abrir el archivo. Las copias descargadas conservan la fecha de su versión; no se supondrá que reciben correcciones automáticamente.</w:t>
      </w:r>
    </w:p>
    <w:p>
      <w:r>
        <w:t>Un fallo de descarga o una ejecución omitida se reflejará como tal. No se etiquetará una observación antigua como actual ni se simulará retrospectivamente una emisión real que no ocurrió. La hora concreta de ejecución y el mecanismo local de programación se definirán durante la implementación.</w:t>
      </w:r>
    </w:p>
    <w:p>
      <w:r>
        <w:br w:type="page"/>
      </w:r>
    </w:p>
    <w:p>
      <w:pPr>
        <w:pStyle w:val="Heading1"/>
      </w:pPr>
      <w:r>
        <w:t>8 Métricas y objetivo de desempeño</w:t>
      </w:r>
    </w:p>
    <w:p>
      <w:pPr>
        <w:pStyle w:val="Heading2"/>
      </w:pPr>
      <w:r>
        <w:t>Objetivo provisional a diez ruedas</w:t>
      </w:r>
    </w:p>
    <w:p>
      <w:r>
        <w:t>Se evaluará si al menos el 90 % de los pronósticos publicables, maduros y emitidos para el horizonte de diez ruedas presentan un error porcentual absoluto no superior al 5 %. El error se calcula dividiendo la diferencia absoluta entre precio estimado y observado por el precio observado, y multiplicando por cien.</w:t>
      </w:r>
    </w:p>
    <w:p>
      <w:r>
        <w:t>El umbral corresponde al cierre de la décima rueda, no a todas las fechas intermedias ni a la totalidad de la trayectoria. No es una garantía de precisión futura ni un máximo absoluto de error. La medida puntual utilizada para esta evaluación se fijará antes del test; la mediana es la propuesta actual, aún pendiente.</w:t>
      </w:r>
    </w:p>
    <w:p>
      <w:pPr>
        <w:pStyle w:val="Heading2"/>
      </w:pPr>
      <w:r>
        <w:t>Métricas que se conservarán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160"/>
        <w:gridCol w:w="7920"/>
      </w:tblGrid>
      <w:tr>
        <w:trPr>
          <w:cantSplit/>
          <w:tblHeader/>
        </w:trPr>
        <w:tc>
          <w:tcPr>
            <w:tcW w:type="dxa" w:w="2160"/>
            <w:vAlign w:val="center"/>
            <w:shd w:fill="E7EDF3"/>
          </w:tcPr>
          <w:p>
            <w:pPr>
              <w:spacing w:after="40" w:line="245" w:lineRule="auto"/>
            </w:pPr>
            <w:r>
              <w:rPr>
                <w:b/>
                <w:color w:val="000000"/>
                <w:sz w:val="20"/>
              </w:rPr>
              <w:t>Métrica</w:t>
            </w:r>
          </w:p>
        </w:tc>
        <w:tc>
          <w:tcPr>
            <w:tcW w:type="dxa" w:w="7920"/>
            <w:vAlign w:val="center"/>
            <w:shd w:fill="E7EDF3"/>
          </w:tcPr>
          <w:p>
            <w:pPr>
              <w:spacing w:after="40" w:line="245" w:lineRule="auto"/>
            </w:pPr>
            <w:r>
              <w:rPr>
                <w:b/>
                <w:color w:val="000000"/>
                <w:sz w:val="20"/>
              </w:rPr>
              <w:t>Qué evalúa y cómo se interpreta</w:t>
            </w:r>
          </w:p>
        </w:tc>
      </w:tr>
      <w:tr>
        <w:trPr>
          <w:cantSplit/>
        </w:trPr>
        <w:tc>
          <w:tcPr>
            <w:tcW w:type="dxa" w:w="2160"/>
            <w:vAlign w:val="center"/>
            <w:shd w:fill="FFFFFF"/>
          </w:tcPr>
          <w:p>
            <w:pPr>
              <w:spacing w:after="40" w:line="245" w:lineRule="auto"/>
            </w:pPr>
            <w:r>
              <w:rPr>
                <w:b w:val="0"/>
                <w:color w:val="000000"/>
                <w:sz w:val="20"/>
              </w:rPr>
              <w:t>MAE</w:t>
            </w:r>
          </w:p>
        </w:tc>
        <w:tc>
          <w:tcPr>
            <w:tcW w:type="dxa" w:w="7920"/>
            <w:vAlign w:val="center"/>
            <w:shd w:fill="FFFFFF"/>
          </w:tcPr>
          <w:p>
            <w:pPr>
              <w:spacing w:after="40" w:line="245" w:lineRule="auto"/>
            </w:pPr>
            <w:r>
              <w:rPr>
                <w:b w:val="0"/>
                <w:color w:val="000000"/>
                <w:sz w:val="20"/>
              </w:rPr>
              <w:t>Promedio de las diferencias absolutas entre predicción y observación. En precios se expresa en ARS y no es comparable directamente entre acciones de distinta escala.</w:t>
            </w:r>
          </w:p>
        </w:tc>
      </w:tr>
      <w:tr>
        <w:trPr>
          <w:cantSplit/>
        </w:trPr>
        <w:tc>
          <w:tcPr>
            <w:tcW w:type="dxa" w:w="2160"/>
            <w:vAlign w:val="center"/>
            <w:shd w:fill="F7F8FA"/>
          </w:tcPr>
          <w:p>
            <w:pPr>
              <w:spacing w:after="40" w:line="245" w:lineRule="auto"/>
            </w:pPr>
            <w:r>
              <w:rPr>
                <w:b w:val="0"/>
                <w:color w:val="000000"/>
                <w:sz w:val="20"/>
              </w:rPr>
              <w:t>Error porcentual</w:t>
            </w:r>
          </w:p>
        </w:tc>
        <w:tc>
          <w:tcPr>
            <w:tcW w:type="dxa" w:w="7920"/>
            <w:vAlign w:val="center"/>
            <w:shd w:fill="F7F8FA"/>
          </w:tcPr>
          <w:p>
            <w:pPr>
              <w:spacing w:after="40" w:line="245" w:lineRule="auto"/>
            </w:pPr>
            <w:r>
              <w:rPr>
                <w:b w:val="0"/>
                <w:color w:val="000000"/>
                <w:sz w:val="20"/>
              </w:rPr>
              <w:t>Permite medir el cumplimiento del 5 %, además de la mediana del error y los errores extremos. Se mantendrá el denominador observado.</w:t>
            </w:r>
          </w:p>
        </w:tc>
      </w:tr>
      <w:tr>
        <w:trPr>
          <w:cantSplit/>
        </w:trPr>
        <w:tc>
          <w:tcPr>
            <w:tcW w:type="dxa" w:w="2160"/>
            <w:vAlign w:val="center"/>
            <w:shd w:fill="FFFFFF"/>
          </w:tcPr>
          <w:p>
            <w:pPr>
              <w:spacing w:after="40" w:line="245" w:lineRule="auto"/>
            </w:pPr>
            <w:r>
              <w:rPr>
                <w:b w:val="0"/>
                <w:color w:val="000000"/>
                <w:sz w:val="20"/>
              </w:rPr>
              <w:t>CRPS</w:t>
            </w:r>
          </w:p>
        </w:tc>
        <w:tc>
          <w:tcPr>
            <w:tcW w:type="dxa" w:w="7920"/>
            <w:vAlign w:val="center"/>
            <w:shd w:fill="FFFFFF"/>
          </w:tcPr>
          <w:p>
            <w:pPr>
              <w:spacing w:after="40" w:line="245" w:lineRule="auto"/>
            </w:pPr>
            <w:r>
              <w:rPr>
                <w:b w:val="0"/>
                <w:color w:val="000000"/>
                <w:sz w:val="20"/>
              </w:rPr>
              <w:t>Evalúa la distribución predictiva completa frente al valor observado. Menor es mejor; requiere una variable y escala consistentes, preferentemente rendimientos para comparar instrumentos.</w:t>
            </w:r>
          </w:p>
        </w:tc>
      </w:tr>
      <w:tr>
        <w:trPr>
          <w:cantSplit/>
        </w:trPr>
        <w:tc>
          <w:tcPr>
            <w:tcW w:type="dxa" w:w="2160"/>
            <w:vAlign w:val="center"/>
            <w:shd w:fill="F7F8FA"/>
          </w:tcPr>
          <w:p>
            <w:pPr>
              <w:spacing w:after="40" w:line="245" w:lineRule="auto"/>
            </w:pPr>
            <w:r>
              <w:rPr>
                <w:b w:val="0"/>
                <w:color w:val="000000"/>
                <w:sz w:val="20"/>
              </w:rPr>
              <w:t>Brier score</w:t>
            </w:r>
          </w:p>
        </w:tc>
        <w:tc>
          <w:tcPr>
            <w:tcW w:type="dxa" w:w="7920"/>
            <w:vAlign w:val="center"/>
            <w:shd w:fill="F7F8FA"/>
          </w:tcPr>
          <w:p>
            <w:pPr>
              <w:spacing w:after="40" w:line="245" w:lineRule="auto"/>
            </w:pPr>
            <w:r>
              <w:rPr>
                <w:b w:val="0"/>
                <w:color w:val="000000"/>
                <w:sz w:val="20"/>
              </w:rPr>
              <w:t>Promedio del error cuadrático de una probabilidad frente al indicador de un evento binario. Menor es mejor. El evento debe definirse antes de evaluar.</w:t>
            </w:r>
          </w:p>
        </w:tc>
      </w:tr>
      <w:tr>
        <w:trPr>
          <w:cantSplit/>
        </w:trPr>
        <w:tc>
          <w:tcPr>
            <w:tcW w:type="dxa" w:w="2160"/>
            <w:vAlign w:val="center"/>
            <w:shd w:fill="FFFFFF"/>
          </w:tcPr>
          <w:p>
            <w:pPr>
              <w:spacing w:after="40" w:line="245" w:lineRule="auto"/>
            </w:pPr>
            <w:r>
              <w:rPr>
                <w:b w:val="0"/>
                <w:color w:val="000000"/>
                <w:sz w:val="20"/>
              </w:rPr>
              <w:t>Cobertura de intervalos</w:t>
            </w:r>
          </w:p>
        </w:tc>
        <w:tc>
          <w:tcPr>
            <w:tcW w:type="dxa" w:w="7920"/>
            <w:vAlign w:val="center"/>
            <w:shd w:fill="FFFFFF"/>
          </w:tcPr>
          <w:p>
            <w:pPr>
              <w:spacing w:after="40" w:line="245" w:lineRule="auto"/>
            </w:pPr>
            <w:r>
              <w:rPr>
                <w:b w:val="0"/>
                <w:color w:val="000000"/>
                <w:sz w:val="20"/>
              </w:rPr>
              <w:t>Proporción de observaciones que caen dentro del intervalo de predicción. Se contrasta con el nivel nominal y con su anchura.</w:t>
            </w:r>
          </w:p>
        </w:tc>
      </w:tr>
      <w:tr>
        <w:trPr>
          <w:cantSplit/>
        </w:trPr>
        <w:tc>
          <w:tcPr>
            <w:tcW w:type="dxa" w:w="2160"/>
            <w:vAlign w:val="center"/>
            <w:shd w:fill="F7F8FA"/>
          </w:tcPr>
          <w:p>
            <w:pPr>
              <w:spacing w:after="40" w:line="245" w:lineRule="auto"/>
            </w:pPr>
            <w:r>
              <w:rPr>
                <w:b w:val="0"/>
                <w:color w:val="000000"/>
                <w:sz w:val="20"/>
              </w:rPr>
              <w:t>Anchura de intervalos</w:t>
            </w:r>
          </w:p>
        </w:tc>
        <w:tc>
          <w:tcPr>
            <w:tcW w:type="dxa" w:w="7920"/>
            <w:vAlign w:val="center"/>
            <w:shd w:fill="F7F8FA"/>
          </w:tcPr>
          <w:p>
            <w:pPr>
              <w:spacing w:after="40" w:line="245" w:lineRule="auto"/>
            </w:pPr>
            <w:r>
              <w:rPr>
                <w:b w:val="0"/>
                <w:color w:val="000000"/>
                <w:sz w:val="20"/>
              </w:rPr>
              <w:t>Evita considerar útil un intervalo solo porque sea muy amplio y cubra casi cualquier resultado.</w:t>
            </w:r>
          </w:p>
        </w:tc>
      </w:tr>
      <w:tr>
        <w:trPr>
          <w:cantSplit/>
        </w:trPr>
        <w:tc>
          <w:tcPr>
            <w:tcW w:type="dxa" w:w="2160"/>
            <w:vAlign w:val="center"/>
            <w:shd w:fill="FFFFFF"/>
          </w:tcPr>
          <w:p>
            <w:pPr>
              <w:spacing w:after="40" w:line="245" w:lineRule="auto"/>
            </w:pPr>
            <w:r>
              <w:rPr>
                <w:b w:val="0"/>
                <w:color w:val="000000"/>
                <w:sz w:val="20"/>
              </w:rPr>
              <w:t>Abstención</w:t>
            </w:r>
          </w:p>
        </w:tc>
        <w:tc>
          <w:tcPr>
            <w:tcW w:type="dxa" w:w="7920"/>
            <w:vAlign w:val="center"/>
            <w:shd w:fill="FFFFFF"/>
          </w:tcPr>
          <w:p>
            <w:pPr>
              <w:spacing w:after="40" w:line="245" w:lineRule="auto"/>
            </w:pPr>
            <w:r>
              <w:rPr>
                <w:b w:val="0"/>
                <w:color w:val="000000"/>
                <w:sz w:val="20"/>
              </w:rPr>
              <w:t>Frecuencia de Estimación no disponible y sus motivos; permite interpretar el desempeño de las estimaciones publicadas.</w:t>
            </w:r>
          </w:p>
        </w:tc>
      </w:tr>
    </w:tbl>
    <w:p>
      <w:pPr>
        <w:spacing w:after="20"/>
      </w:pPr>
    </w:p>
    <w:p>
      <w:pPr>
        <w:pStyle w:val="Heading2"/>
      </w:pPr>
      <w:r>
        <w:t>Reglas de interpretación</w:t>
      </w:r>
    </w:p>
    <w:p>
      <w:r>
        <w:t>Presentar resultados por acción y horizonte, con cantidad de casos y período. Comparar contra mantener el último cierre. Cumplir el 5 % sin mejorar una referencia no demuestra una ventaja predictiva. Una predicción dentro del 5 % tampoco garantiza acertar la dirección del movimiento.</w:t>
      </w:r>
    </w:p>
    <w:p>
      <w:r>
        <w:t>El porcentaje observado se acompañará de incertidumbre que contemple el solapamiento y, cuando corresponda, la dependencia entre empresas. El método de cálculo y la evidencia mínima están pendientes. El 90 % de cumplimiento del error y un intervalo nominal del 90 % son conceptos diferentes [R2, R4].</w:t>
      </w:r>
    </w:p>
    <w:p>
      <w:r>
        <w:br w:type="page"/>
      </w:r>
    </w:p>
    <w:p>
      <w:pPr>
        <w:pStyle w:val="Heading1"/>
      </w:pPr>
      <w:r>
        <w:t>9 Disponibilidad y control del riesgo del modelo</w:t>
      </w:r>
    </w:p>
    <w:p>
      <w:pPr>
        <w:pStyle w:val="Heading2"/>
      </w:pPr>
      <w:r>
        <w:t>Cuándo no emitir una estimación</w:t>
      </w:r>
    </w:p>
    <w:p>
      <w:r>
        <w:t>La empresa permanecerá en el catálogo aunque no haya una predicción. Se mostrará exactamente Estimación no disponible, acompañado de un motivo comprensible. La disponibilidad se decidirá con información conocida en el origen, mediante reglas fijadas antes de la prueba.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3240"/>
        <w:gridCol w:w="6840"/>
      </w:tblGrid>
      <w:tr>
        <w:trPr>
          <w:cantSplit/>
          <w:tblHeader/>
        </w:trPr>
        <w:tc>
          <w:tcPr>
            <w:tcW w:type="dxa" w:w="3240"/>
            <w:vAlign w:val="center"/>
            <w:shd w:fill="E7EDF3"/>
          </w:tcPr>
          <w:p>
            <w:pPr>
              <w:spacing w:after="40" w:line="245" w:lineRule="auto"/>
            </w:pPr>
            <w:r>
              <w:rPr>
                <w:b/>
                <w:color w:val="000000"/>
                <w:sz w:val="20"/>
              </w:rPr>
              <w:t>Situación</w:t>
            </w:r>
          </w:p>
        </w:tc>
        <w:tc>
          <w:tcPr>
            <w:tcW w:type="dxa" w:w="6840"/>
            <w:vAlign w:val="center"/>
            <w:shd w:fill="E7EDF3"/>
          </w:tcPr>
          <w:p>
            <w:pPr>
              <w:spacing w:after="40" w:line="245" w:lineRule="auto"/>
            </w:pPr>
            <w:r>
              <w:rPr>
                <w:b/>
                <w:color w:val="000000"/>
                <w:sz w:val="20"/>
              </w:rPr>
              <w:t>Respuesta del sistema</w:t>
            </w:r>
          </w:p>
        </w:tc>
      </w:tr>
      <w:tr>
        <w:trPr>
          <w:cantSplit/>
        </w:trPr>
        <w:tc>
          <w:tcPr>
            <w:tcW w:type="dxa" w:w="3240"/>
            <w:vAlign w:val="center"/>
            <w:shd w:fill="FFFFFF"/>
          </w:tcPr>
          <w:p>
            <w:pPr>
              <w:spacing w:after="40" w:line="245" w:lineRule="auto"/>
            </w:pPr>
            <w:r>
              <w:rPr>
                <w:b w:val="0"/>
                <w:color w:val="000000"/>
                <w:sz w:val="20"/>
              </w:rPr>
              <w:t>Cobertura o identidad no resuelta</w:t>
            </w:r>
          </w:p>
        </w:tc>
        <w:tc>
          <w:tcPr>
            <w:tcW w:type="dxa" w:w="6840"/>
            <w:vAlign w:val="center"/>
            <w:shd w:fill="FFFFFF"/>
          </w:tcPr>
          <w:p>
            <w:pPr>
              <w:spacing w:after="40" w:line="245" w:lineRule="auto"/>
            </w:pPr>
            <w:r>
              <w:rPr>
                <w:b w:val="0"/>
                <w:color w:val="000000"/>
                <w:sz w:val="20"/>
              </w:rPr>
              <w:t>Mantener la empresa y señalar el dato o mapeo faltante.</w:t>
            </w:r>
          </w:p>
        </w:tc>
      </w:tr>
      <w:tr>
        <w:trPr>
          <w:cantSplit/>
        </w:trPr>
        <w:tc>
          <w:tcPr>
            <w:tcW w:type="dxa" w:w="3240"/>
            <w:vAlign w:val="center"/>
            <w:shd w:fill="F7F8FA"/>
          </w:tcPr>
          <w:p>
            <w:pPr>
              <w:spacing w:after="40" w:line="245" w:lineRule="auto"/>
            </w:pPr>
            <w:r>
              <w:rPr>
                <w:b w:val="0"/>
                <w:color w:val="000000"/>
                <w:sz w:val="20"/>
              </w:rPr>
              <w:t>Menos de 140 ruedas válidas</w:t>
            </w:r>
          </w:p>
        </w:tc>
        <w:tc>
          <w:tcPr>
            <w:tcW w:type="dxa" w:w="6840"/>
            <w:vAlign w:val="center"/>
            <w:shd w:fill="F7F8FA"/>
          </w:tcPr>
          <w:p>
            <w:pPr>
              <w:spacing w:after="40" w:line="245" w:lineRule="auto"/>
            </w:pPr>
            <w:r>
              <w:rPr>
                <w:b w:val="0"/>
                <w:color w:val="000000"/>
                <w:sz w:val="20"/>
              </w:rPr>
              <w:t>No emitir el pronóstico. Informar el historial disponible.</w:t>
            </w:r>
          </w:p>
        </w:tc>
      </w:tr>
      <w:tr>
        <w:trPr>
          <w:cantSplit/>
        </w:trPr>
        <w:tc>
          <w:tcPr>
            <w:tcW w:type="dxa" w:w="3240"/>
            <w:vAlign w:val="center"/>
            <w:shd w:fill="FFFFFF"/>
          </w:tcPr>
          <w:p>
            <w:pPr>
              <w:spacing w:after="40" w:line="245" w:lineRule="auto"/>
            </w:pPr>
            <w:r>
              <w:rPr>
                <w:b w:val="0"/>
                <w:color w:val="000000"/>
                <w:sz w:val="20"/>
              </w:rPr>
              <w:t>Evaluación inicial insuficiente</w:t>
            </w:r>
          </w:p>
        </w:tc>
        <w:tc>
          <w:tcPr>
            <w:tcW w:type="dxa" w:w="6840"/>
            <w:vAlign w:val="center"/>
            <w:shd w:fill="FFFFFF"/>
          </w:tcPr>
          <w:p>
            <w:pPr>
              <w:spacing w:after="40" w:line="245" w:lineRule="auto"/>
            </w:pPr>
            <w:r>
              <w:rPr>
                <w:b w:val="0"/>
                <w:color w:val="000000"/>
                <w:sz w:val="20"/>
              </w:rPr>
              <w:t>Mostrar Estimación no disponible hasta reunir la evidencia mínima. Conservar los resultados experimentales para su evaluación.</w:t>
            </w:r>
          </w:p>
        </w:tc>
      </w:tr>
      <w:tr>
        <w:trPr>
          <w:cantSplit/>
        </w:trPr>
        <w:tc>
          <w:tcPr>
            <w:tcW w:type="dxa" w:w="3240"/>
            <w:vAlign w:val="center"/>
            <w:shd w:fill="F7F8FA"/>
          </w:tcPr>
          <w:p>
            <w:pPr>
              <w:spacing w:after="40" w:line="245" w:lineRule="auto"/>
            </w:pPr>
            <w:r>
              <w:rPr>
                <w:b w:val="0"/>
                <w:color w:val="000000"/>
                <w:sz w:val="20"/>
              </w:rPr>
              <w:t>Datos faltantes o desactualizados</w:t>
            </w:r>
          </w:p>
        </w:tc>
        <w:tc>
          <w:tcPr>
            <w:tcW w:type="dxa" w:w="6840"/>
            <w:vAlign w:val="center"/>
            <w:shd w:fill="F7F8FA"/>
          </w:tcPr>
          <w:p>
            <w:pPr>
              <w:spacing w:after="40" w:line="245" w:lineRule="auto"/>
            </w:pPr>
            <w:r>
              <w:rPr>
                <w:b w:val="0"/>
                <w:color w:val="000000"/>
                <w:sz w:val="20"/>
              </w:rPr>
              <w:t>Registrar el problema y evitar una estimación etiquetada como actual.</w:t>
            </w:r>
          </w:p>
        </w:tc>
      </w:tr>
      <w:tr>
        <w:trPr>
          <w:cantSplit/>
        </w:trPr>
        <w:tc>
          <w:tcPr>
            <w:tcW w:type="dxa" w:w="3240"/>
            <w:vAlign w:val="center"/>
            <w:shd w:fill="FFFFFF"/>
          </w:tcPr>
          <w:p>
            <w:pPr>
              <w:spacing w:after="40" w:line="245" w:lineRule="auto"/>
            </w:pPr>
            <w:r>
              <w:rPr>
                <w:b w:val="0"/>
                <w:color w:val="000000"/>
                <w:sz w:val="20"/>
              </w:rPr>
              <w:t>Ajustes o eventos sin resolver</w:t>
            </w:r>
          </w:p>
        </w:tc>
        <w:tc>
          <w:tcPr>
            <w:tcW w:type="dxa" w:w="6840"/>
            <w:vAlign w:val="center"/>
            <w:shd w:fill="FFFFFF"/>
          </w:tcPr>
          <w:p>
            <w:pPr>
              <w:spacing w:after="40" w:line="245" w:lineRule="auto"/>
            </w:pPr>
            <w:r>
              <w:rPr>
                <w:b w:val="0"/>
                <w:color w:val="000000"/>
                <w:sz w:val="20"/>
              </w:rPr>
              <w:t>Revisar consistencia y suspender la estimación afectada cuando impidan modelar el objetivo correctamente.</w:t>
            </w:r>
          </w:p>
        </w:tc>
      </w:tr>
      <w:tr>
        <w:trPr>
          <w:cantSplit/>
        </w:trPr>
        <w:tc>
          <w:tcPr>
            <w:tcW w:type="dxa" w:w="3240"/>
            <w:vAlign w:val="center"/>
            <w:shd w:fill="F7F8FA"/>
          </w:tcPr>
          <w:p>
            <w:pPr>
              <w:spacing w:after="40" w:line="245" w:lineRule="auto"/>
            </w:pPr>
            <w:r>
              <w:rPr>
                <w:b w:val="0"/>
                <w:color w:val="000000"/>
                <w:sz w:val="20"/>
              </w:rPr>
              <w:t>Fallo numérico o inestabilidad</w:t>
            </w:r>
          </w:p>
        </w:tc>
        <w:tc>
          <w:tcPr>
            <w:tcW w:type="dxa" w:w="6840"/>
            <w:vAlign w:val="center"/>
            <w:shd w:fill="F7F8FA"/>
          </w:tcPr>
          <w:p>
            <w:pPr>
              <w:spacing w:after="40" w:line="245" w:lineRule="auto"/>
            </w:pPr>
            <w:r>
              <w:rPr>
                <w:b w:val="0"/>
                <w:color w:val="000000"/>
                <w:sz w:val="20"/>
              </w:rPr>
              <w:t>Registrar el fallo; no publicar un resultado no confiable.</w:t>
            </w:r>
          </w:p>
        </w:tc>
      </w:tr>
      <w:tr>
        <w:trPr>
          <w:cantSplit/>
        </w:trPr>
        <w:tc>
          <w:tcPr>
            <w:tcW w:type="dxa" w:w="3240"/>
            <w:vAlign w:val="center"/>
            <w:shd w:fill="FFFFFF"/>
          </w:tcPr>
          <w:p>
            <w:pPr>
              <w:spacing w:after="40" w:line="245" w:lineRule="auto"/>
            </w:pPr>
            <w:r>
              <w:rPr>
                <w:b w:val="0"/>
                <w:color w:val="000000"/>
                <w:sz w:val="20"/>
              </w:rPr>
              <w:t>Desempeño o calibración insuficiente</w:t>
            </w:r>
          </w:p>
        </w:tc>
        <w:tc>
          <w:tcPr>
            <w:tcW w:type="dxa" w:w="6840"/>
            <w:vAlign w:val="center"/>
            <w:shd w:fill="FFFFFF"/>
          </w:tcPr>
          <w:p>
            <w:pPr>
              <w:spacing w:after="40" w:line="245" w:lineRule="auto"/>
            </w:pPr>
            <w:r>
              <w:rPr>
                <w:b w:val="0"/>
                <w:color w:val="000000"/>
                <w:sz w:val="20"/>
              </w:rPr>
              <w:t>Aplicar la regla predefinida de abstención y conservar la evidencia que motivó la decisión.</w:t>
            </w:r>
          </w:p>
        </w:tc>
      </w:tr>
    </w:tbl>
    <w:p>
      <w:pPr>
        <w:spacing w:after="20"/>
      </w:pPr>
    </w:p>
    <w:p>
      <w:pPr>
        <w:pStyle w:val="Heading2"/>
      </w:pPr>
      <w:r>
        <w:t>Errores que deben distinguirse</w:t>
      </w:r>
    </w:p>
    <w:p>
      <w:r>
        <w:t>Error de datos: el registro recibido o transformado es incorrecto. Error predictivo: el precio observado difiere de una estimación generada correctamente. Error de Monte Carlo: variación numérica por usar un número finito de simulaciones. Cada uno requiere controles diferentes; el 5 % no es una tolerancia para aceptar datos incorrectos.</w:t>
      </w:r>
    </w:p>
    <w:p>
      <w:r>
        <w:t>El subajuste indica que un modelo puede no capturar una estructura aprovechable; el sobreajuste implica aprender particularidades que no generalizan. Ninguno se diagnostica solo mirando un error grande. También pueden existir cambios de régimen, iliquidez, acontecimientos no anticipados o ausencia de señal.</w:t>
      </w:r>
    </w:p>
    <w:p>
      <w:pPr>
        <w:pStyle w:val="Heading2"/>
      </w:pPr>
      <w:r>
        <w:t>Aceptación del procedimiento</w:t>
      </w:r>
    </w:p>
    <w:p>
      <w:r>
        <w:t>La habilitación requerirá datos utilizables, estabilidad numérica, validación cronológica, comparación con la referencia y evaluación de incertidumbre. Los umbrales completos y el mínimo de pronósticos maduros siguen pendientes. No se fabricará un número de casos suficiente después de ver qué resultado favorece al modelo.</w:t>
      </w:r>
    </w:p>
    <w:p>
      <w:r>
        <w:t>El propósito del portfolio no exige que todos los instrumentos superen el objetivo de precisión. Exige que los resultados, incluidas las limitaciones y abstenciones, estén medidos y sean reproducibles. No existe todavía un desempeño validado del sistema.</w:t>
      </w:r>
    </w:p>
    <w:p>
      <w:r>
        <w:br w:type="page"/>
      </w:r>
    </w:p>
    <w:p>
      <w:pPr>
        <w:pStyle w:val="Heading1"/>
      </w:pPr>
      <w:r>
        <w:t>10 Arquitectura técnica y reproducibilidad</w:t>
      </w:r>
    </w:p>
    <w:p>
      <w:pPr>
        <w:pStyle w:val="Heading2"/>
      </w:pPr>
      <w:r>
        <w:t>Separación de responsabilidades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520"/>
        <w:gridCol w:w="7560"/>
      </w:tblGrid>
      <w:tr>
        <w:trPr>
          <w:cantSplit/>
          <w:tblHeader/>
        </w:trPr>
        <w:tc>
          <w:tcPr>
            <w:tcW w:type="dxa" w:w="2520"/>
            <w:vAlign w:val="center"/>
            <w:shd w:fill="E7EDF3"/>
          </w:tcPr>
          <w:p>
            <w:pPr>
              <w:spacing w:after="40" w:line="245" w:lineRule="auto"/>
            </w:pPr>
            <w:r>
              <w:rPr>
                <w:b/>
                <w:color w:val="000000"/>
                <w:sz w:val="20"/>
              </w:rPr>
              <w:t>Componente</w:t>
            </w:r>
          </w:p>
        </w:tc>
        <w:tc>
          <w:tcPr>
            <w:tcW w:type="dxa" w:w="7560"/>
            <w:vAlign w:val="center"/>
            <w:shd w:fill="E7EDF3"/>
          </w:tcPr>
          <w:p>
            <w:pPr>
              <w:spacing w:after="40" w:line="245" w:lineRule="auto"/>
            </w:pPr>
            <w:r>
              <w:rPr>
                <w:b/>
                <w:color w:val="000000"/>
                <w:sz w:val="20"/>
              </w:rPr>
              <w:t>Responsabilidad</w:t>
            </w:r>
          </w:p>
        </w:tc>
      </w:tr>
      <w:tr>
        <w:trPr>
          <w:cantSplit/>
        </w:trPr>
        <w:tc>
          <w:tcPr>
            <w:tcW w:type="dxa" w:w="2520"/>
            <w:vAlign w:val="center"/>
            <w:shd w:fill="FFFFFF"/>
          </w:tcPr>
          <w:p>
            <w:pPr>
              <w:spacing w:after="40" w:line="245" w:lineRule="auto"/>
            </w:pPr>
            <w:r>
              <w:rPr>
                <w:b w:val="0"/>
                <w:color w:val="000000"/>
                <w:sz w:val="20"/>
              </w:rPr>
              <w:t>Catálogo e ingesta</w:t>
            </w:r>
          </w:p>
        </w:tc>
        <w:tc>
          <w:tcPr>
            <w:tcW w:type="dxa" w:w="7560"/>
            <w:vAlign w:val="center"/>
            <w:shd w:fill="FFFFFF"/>
          </w:tcPr>
          <w:p>
            <w:pPr>
              <w:spacing w:after="40" w:line="245" w:lineRule="auto"/>
            </w:pPr>
            <w:r>
              <w:rPr>
                <w:b w:val="0"/>
                <w:color w:val="000000"/>
                <w:sz w:val="20"/>
              </w:rPr>
              <w:t>Universo fechado, correspondencia de símbolos, descarga mediante yfinance y metadatos de origen.</w:t>
            </w:r>
          </w:p>
        </w:tc>
      </w:tr>
      <w:tr>
        <w:trPr>
          <w:cantSplit/>
        </w:trPr>
        <w:tc>
          <w:tcPr>
            <w:tcW w:type="dxa" w:w="2520"/>
            <w:vAlign w:val="center"/>
            <w:shd w:fill="F7F8FA"/>
          </w:tcPr>
          <w:p>
            <w:pPr>
              <w:spacing w:after="40" w:line="245" w:lineRule="auto"/>
            </w:pPr>
            <w:r>
              <w:rPr>
                <w:b w:val="0"/>
                <w:color w:val="000000"/>
                <w:sz w:val="20"/>
              </w:rPr>
              <w:t>Normalización y calidad</w:t>
            </w:r>
          </w:p>
        </w:tc>
        <w:tc>
          <w:tcPr>
            <w:tcW w:type="dxa" w:w="7560"/>
            <w:vAlign w:val="center"/>
            <w:shd w:fill="F7F8FA"/>
          </w:tcPr>
          <w:p>
            <w:pPr>
              <w:spacing w:after="40" w:line="245" w:lineRule="auto"/>
            </w:pPr>
            <w:r>
              <w:rPr>
                <w:b w:val="0"/>
                <w:color w:val="000000"/>
                <w:sz w:val="20"/>
              </w:rPr>
              <w:t>Esquema consistente, controles, eventos corporativos, trazabilidad de correcciones y estados.</w:t>
            </w:r>
          </w:p>
        </w:tc>
      </w:tr>
      <w:tr>
        <w:trPr>
          <w:cantSplit/>
        </w:trPr>
        <w:tc>
          <w:tcPr>
            <w:tcW w:type="dxa" w:w="2520"/>
            <w:vAlign w:val="center"/>
            <w:shd w:fill="FFFFFF"/>
          </w:tcPr>
          <w:p>
            <w:pPr>
              <w:spacing w:after="40" w:line="245" w:lineRule="auto"/>
            </w:pPr>
            <w:r>
              <w:rPr>
                <w:b w:val="0"/>
                <w:color w:val="000000"/>
                <w:sz w:val="20"/>
              </w:rPr>
              <w:t>Variables y particiones</w:t>
            </w:r>
          </w:p>
        </w:tc>
        <w:tc>
          <w:tcPr>
            <w:tcW w:type="dxa" w:w="7560"/>
            <w:vAlign w:val="center"/>
            <w:shd w:fill="FFFFFF"/>
          </w:tcPr>
          <w:p>
            <w:pPr>
              <w:spacing w:after="40" w:line="245" w:lineRule="auto"/>
            </w:pPr>
            <w:r>
              <w:rPr>
                <w:b w:val="0"/>
                <w:color w:val="000000"/>
                <w:sz w:val="20"/>
              </w:rPr>
              <w:t>Construcción causal de características y objetivos; divisiones y validación temporal.</w:t>
            </w:r>
          </w:p>
        </w:tc>
      </w:tr>
      <w:tr>
        <w:trPr>
          <w:cantSplit/>
        </w:trPr>
        <w:tc>
          <w:tcPr>
            <w:tcW w:type="dxa" w:w="2520"/>
            <w:vAlign w:val="center"/>
            <w:shd w:fill="F7F8FA"/>
          </w:tcPr>
          <w:p>
            <w:pPr>
              <w:spacing w:after="40" w:line="245" w:lineRule="auto"/>
            </w:pPr>
            <w:r>
              <w:rPr>
                <w:b w:val="0"/>
                <w:color w:val="000000"/>
                <w:sz w:val="20"/>
              </w:rPr>
              <w:t>Modelado y simulación</w:t>
            </w:r>
          </w:p>
        </w:tc>
        <w:tc>
          <w:tcPr>
            <w:tcW w:type="dxa" w:w="7560"/>
            <w:vAlign w:val="center"/>
            <w:shd w:fill="F7F8FA"/>
          </w:tcPr>
          <w:p>
            <w:pPr>
              <w:spacing w:after="40" w:line="245" w:lineRule="auto"/>
            </w:pPr>
            <w:r>
              <w:rPr>
                <w:b w:val="0"/>
                <w:color w:val="000000"/>
                <w:sz w:val="20"/>
              </w:rPr>
              <w:t>Ajuste, actualización, Monte Carlo y control numérico del modelo seleccionado.</w:t>
            </w:r>
          </w:p>
        </w:tc>
      </w:tr>
      <w:tr>
        <w:trPr>
          <w:cantSplit/>
        </w:trPr>
        <w:tc>
          <w:tcPr>
            <w:tcW w:type="dxa" w:w="2520"/>
            <w:vAlign w:val="center"/>
            <w:shd w:fill="FFFFFF"/>
          </w:tcPr>
          <w:p>
            <w:pPr>
              <w:spacing w:after="40" w:line="245" w:lineRule="auto"/>
            </w:pPr>
            <w:r>
              <w:rPr>
                <w:b w:val="0"/>
                <w:color w:val="000000"/>
                <w:sz w:val="20"/>
              </w:rPr>
              <w:t>Registro y evaluación</w:t>
            </w:r>
          </w:p>
        </w:tc>
        <w:tc>
          <w:tcPr>
            <w:tcW w:type="dxa" w:w="7560"/>
            <w:vAlign w:val="center"/>
            <w:shd w:fill="FFFFFF"/>
          </w:tcPr>
          <w:p>
            <w:pPr>
              <w:spacing w:after="40" w:line="245" w:lineRule="auto"/>
            </w:pPr>
            <w:r>
              <w:rPr>
                <w:b w:val="0"/>
                <w:color w:val="000000"/>
                <w:sz w:val="20"/>
              </w:rPr>
              <w:t>Pronósticos originales, maduración, comparación con observaciones, métricas y abstenciones.</w:t>
            </w:r>
          </w:p>
        </w:tc>
      </w:tr>
      <w:tr>
        <w:trPr>
          <w:cantSplit/>
        </w:trPr>
        <w:tc>
          <w:tcPr>
            <w:tcW w:type="dxa" w:w="2520"/>
            <w:vAlign w:val="center"/>
            <w:shd w:fill="F7F8FA"/>
          </w:tcPr>
          <w:p>
            <w:pPr>
              <w:spacing w:after="40" w:line="245" w:lineRule="auto"/>
            </w:pPr>
            <w:r>
              <w:rPr>
                <w:b w:val="0"/>
                <w:color w:val="000000"/>
                <w:sz w:val="20"/>
              </w:rPr>
              <w:t>Informe</w:t>
            </w:r>
          </w:p>
        </w:tc>
        <w:tc>
          <w:tcPr>
            <w:tcW w:type="dxa" w:w="7560"/>
            <w:vAlign w:val="center"/>
            <w:shd w:fill="F7F8FA"/>
          </w:tcPr>
          <w:p>
            <w:pPr>
              <w:spacing w:after="40" w:line="245" w:lineRule="auto"/>
            </w:pPr>
            <w:r>
              <w:rPr>
                <w:b w:val="0"/>
                <w:color w:val="000000"/>
                <w:sz w:val="20"/>
              </w:rPr>
              <w:t>Resultados de evaluación y visualización en Power BI; publicación semanal.</w:t>
            </w:r>
          </w:p>
        </w:tc>
      </w:tr>
    </w:tbl>
    <w:p>
      <w:pPr>
        <w:spacing w:after="20"/>
      </w:pPr>
    </w:p>
    <w:p>
      <w:r>
        <w:t>La fuente quedará encapsulada detrás de una interfaz de ingesta para poder cambiarla sin reescribir todo el sistema. Una migración futura requerirá comparación de series, revisión de ajustes y nueva validación; no se asumirá equivalencia entre proveedores.</w:t>
      </w:r>
    </w:p>
    <w:p>
      <w:pPr>
        <w:pStyle w:val="Heading2"/>
      </w:pPr>
      <w:r>
        <w:t>Configuración y evidencias</w:t>
      </w:r>
    </w:p>
    <w:p>
      <w:pPr>
        <w:pStyle w:val="ListBullet"/>
      </w:pPr>
      <w:r>
        <w:t>Registrar versiones de Python, dependencias, código, modelos y configuración. Mantener instrucciones reproducibles de instalación y ejecución.</w:t>
      </w:r>
    </w:p>
    <w:p>
      <w:pPr>
        <w:pStyle w:val="ListBullet"/>
      </w:pPr>
      <w:r>
        <w:t>Separar configuraciones publicables de credenciales y datos privados. No incorporar secretos en código, notebooks, mensajes de error o informes.</w:t>
      </w:r>
    </w:p>
    <w:p>
      <w:pPr>
        <w:pStyle w:val="ListBullet"/>
      </w:pPr>
      <w:r>
        <w:t>Fijar semillas para las simulaciones y registrar su número de trayectorias. Comprobar estabilidad numérica con una tolerancia que se definirá antes de evaluar.</w:t>
      </w:r>
    </w:p>
    <w:p>
      <w:pPr>
        <w:pStyle w:val="ListBullet"/>
      </w:pPr>
      <w:r>
        <w:t>Conservar fechas de origen y destino, criterios de inclusión, cantidad de datos efectivos y motivos de fallos o abstenciones.</w:t>
      </w:r>
    </w:p>
    <w:p>
      <w:pPr>
        <w:pStyle w:val="ListBullet"/>
      </w:pPr>
      <w:r>
        <w:t>Mantener diferenciadas las observaciones, las transformaciones y los resultados. Registrar las revisiones en lugar de reemplazar la evidencia sin explicación.</w:t>
      </w:r>
    </w:p>
    <w:p>
      <w:pPr>
        <w:pStyle w:val="Heading2"/>
      </w:pPr>
      <w:r>
        <w:t>Controles funcionales y de ejecución</w:t>
      </w:r>
    </w:p>
    <w:p>
      <w:r>
        <w:t>Las comprobaciones deberán cubrir los límites temporales, el calendario, los ajustes, las métricas, la maduración de objetivos y la repetibilidad de resultados. Se verificará que los fallos de descarga o del modelo no produzcan una salida aparentemente válida.</w:t>
      </w:r>
    </w:p>
    <w:p>
      <w:r>
        <w:t>La automatización se realizará dentro del presupuesto de cero servicios pagos. El mecanismo concreto de ejecución, almacenamiento y actualización del informe se decidirá sin añadir infraestructura ni costos no aprobados. La disponibilidad dependerá del equipo y de los servicios gratuitos utilizados; los fallos deben quedar visibles.</w:t>
      </w:r>
    </w:p>
    <w:p>
      <w:r>
        <w:br w:type="page"/>
      </w:r>
    </w:p>
    <w:p>
      <w:pPr>
        <w:pStyle w:val="Heading1"/>
      </w:pPr>
      <w:r>
        <w:t>11 Repositorio y entregables de la primera etapa</w:t>
      </w:r>
    </w:p>
    <w:p>
      <w:pPr>
        <w:pStyle w:val="Heading2"/>
      </w:pPr>
      <w:r>
        <w:t>Contenido comprometido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944"/>
        <w:gridCol w:w="8136"/>
      </w:tblGrid>
      <w:tr>
        <w:trPr>
          <w:cantSplit/>
          <w:tblHeader/>
        </w:trPr>
        <w:tc>
          <w:tcPr>
            <w:tcW w:type="dxa" w:w="1944"/>
            <w:vAlign w:val="center"/>
            <w:shd w:fill="E7EDF3"/>
          </w:tcPr>
          <w:p>
            <w:pPr>
              <w:spacing w:after="40" w:line="245" w:lineRule="auto"/>
            </w:pPr>
            <w:r>
              <w:rPr>
                <w:b/>
                <w:color w:val="000000"/>
                <w:sz w:val="20"/>
              </w:rPr>
              <w:t>Entregable</w:t>
            </w:r>
          </w:p>
        </w:tc>
        <w:tc>
          <w:tcPr>
            <w:tcW w:type="dxa" w:w="8136"/>
            <w:vAlign w:val="center"/>
            <w:shd w:fill="E7EDF3"/>
          </w:tcPr>
          <w:p>
            <w:pPr>
              <w:spacing w:after="40" w:line="245" w:lineRule="auto"/>
            </w:pPr>
            <w:r>
              <w:rPr>
                <w:b/>
                <w:color w:val="000000"/>
                <w:sz w:val="20"/>
              </w:rPr>
              <w:t>Contenido mínimo</w:t>
            </w:r>
          </w:p>
        </w:tc>
      </w:tr>
      <w:tr>
        <w:trPr>
          <w:cantSplit/>
        </w:trPr>
        <w:tc>
          <w:tcPr>
            <w:tcW w:type="dxa" w:w="1944"/>
            <w:vAlign w:val="center"/>
            <w:shd w:fill="FFFFFF"/>
          </w:tcPr>
          <w:p>
            <w:pPr>
              <w:spacing w:after="40" w:line="245" w:lineRule="auto"/>
            </w:pPr>
            <w:r>
              <w:rPr>
                <w:b w:val="0"/>
                <w:color w:val="000000"/>
                <w:sz w:val="20"/>
              </w:rPr>
              <w:t>Código</w:t>
            </w:r>
          </w:p>
        </w:tc>
        <w:tc>
          <w:tcPr>
            <w:tcW w:type="dxa" w:w="8136"/>
            <w:vAlign w:val="center"/>
            <w:shd w:fill="FFFFFF"/>
          </w:tcPr>
          <w:p>
            <w:pPr>
              <w:spacing w:after="40" w:line="245" w:lineRule="auto"/>
            </w:pPr>
            <w:r>
              <w:rPr>
                <w:b w:val="0"/>
                <w:color w:val="000000"/>
                <w:sz w:val="20"/>
              </w:rPr>
              <w:t>Módulos de ingesta, calidad, modelado, simulación, evaluación y preparación de informes.</w:t>
            </w:r>
          </w:p>
        </w:tc>
      </w:tr>
      <w:tr>
        <w:trPr>
          <w:cantSplit/>
        </w:trPr>
        <w:tc>
          <w:tcPr>
            <w:tcW w:type="dxa" w:w="1944"/>
            <w:vAlign w:val="center"/>
            <w:shd w:fill="F7F8FA"/>
          </w:tcPr>
          <w:p>
            <w:pPr>
              <w:spacing w:after="40" w:line="245" w:lineRule="auto"/>
            </w:pPr>
            <w:r>
              <w:rPr>
                <w:b w:val="0"/>
                <w:color w:val="000000"/>
                <w:sz w:val="20"/>
              </w:rPr>
              <w:t>Instrucciones</w:t>
            </w:r>
          </w:p>
        </w:tc>
        <w:tc>
          <w:tcPr>
            <w:tcW w:type="dxa" w:w="8136"/>
            <w:vAlign w:val="center"/>
            <w:shd w:fill="F7F8FA"/>
          </w:tcPr>
          <w:p>
            <w:pPr>
              <w:spacing w:after="40" w:line="245" w:lineRule="auto"/>
            </w:pPr>
            <w:r>
              <w:rPr>
                <w:b w:val="0"/>
                <w:color w:val="000000"/>
                <w:sz w:val="20"/>
              </w:rPr>
              <w:t>Instalación, requisitos, ejecución, interpretación de salidas y resolución de fallos habituales.</w:t>
            </w:r>
          </w:p>
        </w:tc>
      </w:tr>
      <w:tr>
        <w:trPr>
          <w:cantSplit/>
        </w:trPr>
        <w:tc>
          <w:tcPr>
            <w:tcW w:type="dxa" w:w="1944"/>
            <w:vAlign w:val="center"/>
            <w:shd w:fill="FFFFFF"/>
          </w:tcPr>
          <w:p>
            <w:pPr>
              <w:spacing w:after="40" w:line="245" w:lineRule="auto"/>
            </w:pPr>
            <w:r>
              <w:rPr>
                <w:b w:val="0"/>
                <w:color w:val="000000"/>
                <w:sz w:val="20"/>
              </w:rPr>
              <w:t>Configuraciones</w:t>
            </w:r>
          </w:p>
        </w:tc>
        <w:tc>
          <w:tcPr>
            <w:tcW w:type="dxa" w:w="8136"/>
            <w:vAlign w:val="center"/>
            <w:shd w:fill="FFFFFF"/>
          </w:tcPr>
          <w:p>
            <w:pPr>
              <w:spacing w:after="40" w:line="245" w:lineRule="auto"/>
            </w:pPr>
            <w:r>
              <w:rPr>
                <w:b w:val="0"/>
                <w:color w:val="000000"/>
                <w:sz w:val="20"/>
              </w:rPr>
              <w:t>Ejemplos reproducibles sin secretos; parámetros y decisiones metodológicas identificables.</w:t>
            </w:r>
          </w:p>
        </w:tc>
      </w:tr>
      <w:tr>
        <w:trPr>
          <w:cantSplit/>
        </w:trPr>
        <w:tc>
          <w:tcPr>
            <w:tcW w:type="dxa" w:w="1944"/>
            <w:vAlign w:val="center"/>
            <w:shd w:fill="F7F8FA"/>
          </w:tcPr>
          <w:p>
            <w:pPr>
              <w:spacing w:after="40" w:line="245" w:lineRule="auto"/>
            </w:pPr>
            <w:r>
              <w:rPr>
                <w:b w:val="0"/>
                <w:color w:val="000000"/>
                <w:sz w:val="20"/>
              </w:rPr>
              <w:t>Metodología</w:t>
            </w:r>
          </w:p>
        </w:tc>
        <w:tc>
          <w:tcPr>
            <w:tcW w:type="dxa" w:w="8136"/>
            <w:vAlign w:val="center"/>
            <w:shd w:fill="F7F8FA"/>
          </w:tcPr>
          <w:p>
            <w:pPr>
              <w:spacing w:after="40" w:line="245" w:lineRule="auto"/>
            </w:pPr>
            <w:r>
              <w:rPr>
                <w:b w:val="0"/>
                <w:color w:val="000000"/>
                <w:sz w:val="20"/>
              </w:rPr>
              <w:t>Este documento, supuestos, definición del objetivo, validación, métricas y límites.</w:t>
            </w:r>
          </w:p>
        </w:tc>
      </w:tr>
      <w:tr>
        <w:trPr>
          <w:cantSplit/>
        </w:trPr>
        <w:tc>
          <w:tcPr>
            <w:tcW w:type="dxa" w:w="1944"/>
            <w:vAlign w:val="center"/>
            <w:shd w:fill="FFFFFF"/>
          </w:tcPr>
          <w:p>
            <w:pPr>
              <w:spacing w:after="40" w:line="245" w:lineRule="auto"/>
            </w:pPr>
            <w:r>
              <w:rPr>
                <w:b w:val="0"/>
                <w:color w:val="000000"/>
                <w:sz w:val="20"/>
              </w:rPr>
              <w:t>Evaluaciones</w:t>
            </w:r>
          </w:p>
        </w:tc>
        <w:tc>
          <w:tcPr>
            <w:tcW w:type="dxa" w:w="8136"/>
            <w:vAlign w:val="center"/>
            <w:shd w:fill="FFFFFF"/>
          </w:tcPr>
          <w:p>
            <w:pPr>
              <w:spacing w:after="40" w:line="245" w:lineRule="auto"/>
            </w:pPr>
            <w:r>
              <w:rPr>
                <w:b w:val="0"/>
                <w:color w:val="000000"/>
                <w:sz w:val="20"/>
              </w:rPr>
              <w:t>Resultados por acción y horizonte, referencia, cantidad de casos, incertidumbre y abstenciones.</w:t>
            </w:r>
          </w:p>
        </w:tc>
      </w:tr>
      <w:tr>
        <w:trPr>
          <w:cantSplit/>
        </w:trPr>
        <w:tc>
          <w:tcPr>
            <w:tcW w:type="dxa" w:w="1944"/>
            <w:vAlign w:val="center"/>
            <w:shd w:fill="F7F8FA"/>
          </w:tcPr>
          <w:p>
            <w:pPr>
              <w:spacing w:after="40" w:line="245" w:lineRule="auto"/>
            </w:pPr>
            <w:r>
              <w:rPr>
                <w:b w:val="0"/>
                <w:color w:val="000000"/>
                <w:sz w:val="20"/>
              </w:rPr>
              <w:t>Informes</w:t>
            </w:r>
          </w:p>
        </w:tc>
        <w:tc>
          <w:tcPr>
            <w:tcW w:type="dxa" w:w="8136"/>
            <w:vAlign w:val="center"/>
            <w:shd w:fill="F7F8FA"/>
          </w:tcPr>
          <w:p>
            <w:pPr>
              <w:spacing w:after="40" w:line="245" w:lineRule="auto"/>
            </w:pPr>
            <w:r>
              <w:rPr>
                <w:b w:val="0"/>
                <w:color w:val="000000"/>
                <w:sz w:val="20"/>
              </w:rPr>
              <w:t>Material de presentación y los archivos de Power BI o exportaciones que se definan para el repositorio.</w:t>
            </w:r>
          </w:p>
        </w:tc>
      </w:tr>
    </w:tbl>
    <w:p>
      <w:pPr>
        <w:spacing w:after="20"/>
      </w:pPr>
    </w:p>
    <w:p>
      <w:r>
        <w:t>No se incluirán credenciales, tokens, archivos de entorno privados, información bancaria, datos personales ni otros archivos sensibles. Se revisarán también las salidas de notebooks, rutas personales, registros y contenido incorporado en los informes. Ignorar un archivo en Git no elimina información ya comprometida en su historial.</w:t>
      </w:r>
    </w:p>
    <w:p>
      <w:r>
        <w:t>La privacidad y el data leakage se controlan por separado: la primera protege información; el segundo impide que el futuro influya en el entrenamiento o la evaluación. El repositorio deberá explicar ambos controles sin confundirlos.</w:t>
      </w:r>
    </w:p>
    <w:p>
      <w:pPr>
        <w:pStyle w:val="Heading2"/>
      </w:pPr>
      <w:r>
        <w:t>Condiciones para cerrar la etapa de acciones</w:t>
      </w:r>
    </w:p>
    <w:p>
      <w:pPr>
        <w:pStyle w:val="ListBullet"/>
      </w:pPr>
      <w:r>
        <w:t>El catálogo representa el universo definido y muestra la cobertura efectiva de la fuente, sin eliminar las empresas con problemas.</w:t>
      </w:r>
    </w:p>
    <w:p>
      <w:pPr>
        <w:pStyle w:val="ListBullet"/>
      </w:pPr>
      <w:r>
        <w:t>Se ejecutan los controles de historial, identidad, calendario y eventos corporativos.</w:t>
      </w:r>
    </w:p>
    <w:p>
      <w:pPr>
        <w:pStyle w:val="ListBullet"/>
      </w:pPr>
      <w:r>
        <w:t>El procedimiento elegido puede evaluarse respetando el 70/30, la validación temporal y las reglas de reentrenamiento.</w:t>
      </w:r>
    </w:p>
    <w:p>
      <w:pPr>
        <w:pStyle w:val="ListBullet"/>
      </w:pPr>
      <w:r>
        <w:t>Los pronósticos y sus evaluaciones quedan registrados sin sobrescritura; el informe explica los objetivos pendientes y la antigüedad.</w:t>
      </w:r>
    </w:p>
    <w:p>
      <w:pPr>
        <w:pStyle w:val="ListBullet"/>
      </w:pPr>
      <w:r>
        <w:t>Los resultados están comparados con una referencia y no se presentan metas provisionales como precisión demostrada.</w:t>
      </w:r>
    </w:p>
    <w:p>
      <w:pPr>
        <w:pStyle w:val="ListBullet"/>
      </w:pPr>
      <w:r>
        <w:t>El repositorio contiene instrucciones y artefactos reproducibles, sin archivos privados ni costos de servicio introducidos.</w:t>
      </w:r>
    </w:p>
    <w:p>
      <w:r>
        <w:t>Cerrar esta etapa significa terminar y validar el procedimiento, no garantizar que todas las acciones alcancen el objetivo del 90 % dentro del 5 %. Las configuraciones pendientes de la sección 13 deben resolverse antes de dar por finalizada la implementación afectada.</w:t>
      </w:r>
    </w:p>
    <w:p>
      <w:r>
        <w:br w:type="page"/>
      </w:r>
    </w:p>
    <w:p>
      <w:pPr>
        <w:pStyle w:val="Heading1"/>
      </w:pPr>
      <w:r>
        <w:t>12 Incorporación posterior de CEDEAR</w:t>
      </w:r>
    </w:p>
    <w:p>
      <w:pPr>
        <w:pStyle w:val="Heading2"/>
      </w:pPr>
      <w:r>
        <w:t>Condición y objetivo</w:t>
      </w:r>
    </w:p>
    <w:p>
      <w:r>
        <w:t>La incorporación de CEDEAR comenzará después de que la parte de acciones locales esté completa y validada. No se desarrollarán ambas etapas como si fueran una única entrega inicial. El objetivo para cada certificado será su precio de cierre local en pesos argentinos.</w:t>
      </w:r>
    </w:p>
    <w:p>
      <w:r>
        <w:t>Se mantendrán costo cero, yfinance como fuente inicial, la ventana máxima de un año, los mínimos vigentes, los horizontes de una a diez ruedas y las reglas de evaluación y trazabilidad. Se comprobará la cobertura de los certificados antes de incorporarlos y se informarán las ausencias.</w:t>
      </w:r>
    </w:p>
    <w:p>
      <w:pPr>
        <w:pStyle w:val="Heading2"/>
      </w:pPr>
      <w:r>
        <w:t>Elementos específicos que deberán tratarse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2304"/>
        <w:gridCol w:w="7776"/>
      </w:tblGrid>
      <w:tr>
        <w:trPr>
          <w:cantSplit/>
          <w:tblHeader/>
        </w:trPr>
        <w:tc>
          <w:tcPr>
            <w:tcW w:type="dxa" w:w="2304"/>
            <w:vAlign w:val="center"/>
            <w:shd w:fill="E7EDF3"/>
          </w:tcPr>
          <w:p>
            <w:pPr>
              <w:spacing w:after="40" w:line="245" w:lineRule="auto"/>
            </w:pPr>
            <w:r>
              <w:rPr>
                <w:b/>
                <w:color w:val="000000"/>
                <w:sz w:val="20"/>
              </w:rPr>
              <w:t>Elemento</w:t>
            </w:r>
          </w:p>
        </w:tc>
        <w:tc>
          <w:tcPr>
            <w:tcW w:type="dxa" w:w="7776"/>
            <w:vAlign w:val="center"/>
            <w:shd w:fill="E7EDF3"/>
          </w:tcPr>
          <w:p>
            <w:pPr>
              <w:spacing w:after="40" w:line="245" w:lineRule="auto"/>
            </w:pPr>
            <w:r>
              <w:rPr>
                <w:b/>
                <w:color w:val="000000"/>
                <w:sz w:val="20"/>
              </w:rPr>
              <w:t>Tratamiento conceptual</w:t>
            </w:r>
          </w:p>
        </w:tc>
      </w:tr>
      <w:tr>
        <w:trPr>
          <w:cantSplit/>
        </w:trPr>
        <w:tc>
          <w:tcPr>
            <w:tcW w:type="dxa" w:w="2304"/>
            <w:vAlign w:val="center"/>
            <w:shd w:fill="FFFFFF"/>
          </w:tcPr>
          <w:p>
            <w:pPr>
              <w:spacing w:after="40" w:line="245" w:lineRule="auto"/>
            </w:pPr>
            <w:r>
              <w:rPr>
                <w:b w:val="0"/>
                <w:color w:val="000000"/>
                <w:sz w:val="20"/>
              </w:rPr>
              <w:t>Activo subyacente</w:t>
            </w:r>
          </w:p>
        </w:tc>
        <w:tc>
          <w:tcPr>
            <w:tcW w:type="dxa" w:w="7776"/>
            <w:vAlign w:val="center"/>
            <w:shd w:fill="FFFFFF"/>
          </w:tcPr>
          <w:p>
            <w:pPr>
              <w:spacing w:after="40" w:line="245" w:lineRule="auto"/>
            </w:pPr>
            <w:r>
              <w:rPr>
                <w:b w:val="0"/>
                <w:color w:val="000000"/>
                <w:sz w:val="20"/>
              </w:rPr>
              <w:t>Identificar el instrumento representado por el certificado y la moneda de su mercado de origen.</w:t>
            </w:r>
          </w:p>
        </w:tc>
      </w:tr>
      <w:tr>
        <w:trPr>
          <w:cantSplit/>
        </w:trPr>
        <w:tc>
          <w:tcPr>
            <w:tcW w:type="dxa" w:w="2304"/>
            <w:vAlign w:val="center"/>
            <w:shd w:fill="F7F8FA"/>
          </w:tcPr>
          <w:p>
            <w:pPr>
              <w:spacing w:after="40" w:line="245" w:lineRule="auto"/>
            </w:pPr>
            <w:r>
              <w:rPr>
                <w:b w:val="0"/>
                <w:color w:val="000000"/>
                <w:sz w:val="20"/>
              </w:rPr>
              <w:t>Ratio de conversión</w:t>
            </w:r>
          </w:p>
        </w:tc>
        <w:tc>
          <w:tcPr>
            <w:tcW w:type="dxa" w:w="7776"/>
            <w:vAlign w:val="center"/>
            <w:shd w:fill="F7F8FA"/>
          </w:tcPr>
          <w:p>
            <w:pPr>
              <w:spacing w:after="40" w:line="245" w:lineRule="auto"/>
            </w:pPr>
            <w:r>
              <w:rPr>
                <w:b w:val="0"/>
                <w:color w:val="000000"/>
                <w:sz w:val="20"/>
              </w:rPr>
              <w:t>Registrar el ratio y sus cambios con fecha; evitar falsas variaciones de precio por cambios en la representación.</w:t>
            </w:r>
          </w:p>
        </w:tc>
      </w:tr>
      <w:tr>
        <w:trPr>
          <w:cantSplit/>
        </w:trPr>
        <w:tc>
          <w:tcPr>
            <w:tcW w:type="dxa" w:w="2304"/>
            <w:vAlign w:val="center"/>
            <w:shd w:fill="FFFFFF"/>
          </w:tcPr>
          <w:p>
            <w:pPr>
              <w:spacing w:after="40" w:line="245" w:lineRule="auto"/>
            </w:pPr>
            <w:r>
              <w:rPr>
                <w:b w:val="0"/>
                <w:color w:val="000000"/>
                <w:sz w:val="20"/>
              </w:rPr>
              <w:t>Tipo de cambio implícito</w:t>
            </w:r>
          </w:p>
        </w:tc>
        <w:tc>
          <w:tcPr>
            <w:tcW w:type="dxa" w:w="7776"/>
            <w:vAlign w:val="center"/>
            <w:shd w:fill="FFFFFF"/>
          </w:tcPr>
          <w:p>
            <w:pPr>
              <w:spacing w:after="40" w:line="245" w:lineRule="auto"/>
            </w:pPr>
            <w:r>
              <w:rPr>
                <w:b w:val="0"/>
                <w:color w:val="000000"/>
                <w:sz w:val="20"/>
              </w:rPr>
              <w:t>Contemplar su relación con el precio local sin asumir una cotización única, constante o exactamente observable.</w:t>
            </w:r>
          </w:p>
        </w:tc>
      </w:tr>
      <w:tr>
        <w:trPr>
          <w:cantSplit/>
        </w:trPr>
        <w:tc>
          <w:tcPr>
            <w:tcW w:type="dxa" w:w="2304"/>
            <w:vAlign w:val="center"/>
            <w:shd w:fill="F7F8FA"/>
          </w:tcPr>
          <w:p>
            <w:pPr>
              <w:spacing w:after="40" w:line="245" w:lineRule="auto"/>
            </w:pPr>
            <w:r>
              <w:rPr>
                <w:b w:val="0"/>
                <w:color w:val="000000"/>
                <w:sz w:val="20"/>
              </w:rPr>
              <w:t>Dividendos y eventos</w:t>
            </w:r>
          </w:p>
        </w:tc>
        <w:tc>
          <w:tcPr>
            <w:tcW w:type="dxa" w:w="7776"/>
            <w:vAlign w:val="center"/>
            <w:shd w:fill="F7F8FA"/>
          </w:tcPr>
          <w:p>
            <w:pPr>
              <w:spacing w:after="40" w:line="245" w:lineRule="auto"/>
            </w:pPr>
            <w:r>
              <w:rPr>
                <w:b w:val="0"/>
                <w:color w:val="000000"/>
                <w:sz w:val="20"/>
              </w:rPr>
              <w:t>Mantener consistencia entre los eventos del certificado y los del activo representado.</w:t>
            </w:r>
          </w:p>
        </w:tc>
      </w:tr>
      <w:tr>
        <w:trPr>
          <w:cantSplit/>
        </w:trPr>
        <w:tc>
          <w:tcPr>
            <w:tcW w:type="dxa" w:w="2304"/>
            <w:vAlign w:val="center"/>
            <w:shd w:fill="FFFFFF"/>
          </w:tcPr>
          <w:p>
            <w:pPr>
              <w:spacing w:after="40" w:line="245" w:lineRule="auto"/>
            </w:pPr>
            <w:r>
              <w:rPr>
                <w:b w:val="0"/>
                <w:color w:val="000000"/>
                <w:sz w:val="20"/>
              </w:rPr>
              <w:t>Calendarios y horarios</w:t>
            </w:r>
          </w:p>
        </w:tc>
        <w:tc>
          <w:tcPr>
            <w:tcW w:type="dxa" w:w="7776"/>
            <w:vAlign w:val="center"/>
            <w:shd w:fill="FFFFFF"/>
          </w:tcPr>
          <w:p>
            <w:pPr>
              <w:spacing w:after="40" w:line="245" w:lineRule="auto"/>
            </w:pPr>
            <w:r>
              <w:rPr>
                <w:b w:val="0"/>
                <w:color w:val="000000"/>
                <w:sz w:val="20"/>
              </w:rPr>
              <w:t>Evitar utilizar cierres del mercado extranjero que aún no estaban disponibles en el origen local.</w:t>
            </w:r>
          </w:p>
        </w:tc>
      </w:tr>
      <w:tr>
        <w:trPr>
          <w:cantSplit/>
        </w:trPr>
        <w:tc>
          <w:tcPr>
            <w:tcW w:type="dxa" w:w="2304"/>
            <w:vAlign w:val="center"/>
            <w:shd w:fill="F7F8FA"/>
          </w:tcPr>
          <w:p>
            <w:pPr>
              <w:spacing w:after="40" w:line="245" w:lineRule="auto"/>
            </w:pPr>
            <w:r>
              <w:rPr>
                <w:b w:val="0"/>
                <w:color w:val="000000"/>
                <w:sz w:val="20"/>
              </w:rPr>
              <w:t>Disponibilidad</w:t>
            </w:r>
          </w:p>
        </w:tc>
        <w:tc>
          <w:tcPr>
            <w:tcW w:type="dxa" w:w="7776"/>
            <w:vAlign w:val="center"/>
            <w:shd w:fill="F7F8FA"/>
          </w:tcPr>
          <w:p>
            <w:pPr>
              <w:spacing w:after="40" w:line="245" w:lineRule="auto"/>
            </w:pPr>
            <w:r>
              <w:rPr>
                <w:b w:val="0"/>
                <w:color w:val="000000"/>
                <w:sz w:val="20"/>
              </w:rPr>
              <w:t>Aplicar los mismos estados de cobertura, datos insuficientes y estimación no disponible.</w:t>
            </w:r>
          </w:p>
        </w:tc>
      </w:tr>
    </w:tbl>
    <w:p>
      <w:pPr>
        <w:spacing w:after="20"/>
      </w:pPr>
    </w:p>
    <w:p>
      <w:r>
        <w:t>La exclusión de ETF corresponde al universo de instrumentos de la primera etapa. La definición detallada de qué categorías de CEDEAR se incorporarán, incluidos los que representen ETF, se resolverá al iniciar esta segunda etapa; no se excluirán silenciosamente por extrapolar la regla de acciones locales.</w:t>
      </w:r>
    </w:p>
    <w:p>
      <w:pPr>
        <w:pStyle w:val="Heading2"/>
      </w:pPr>
      <w:r>
        <w:t>Coherencia de la expansión</w:t>
      </w:r>
    </w:p>
    <w:p>
      <w:r>
        <w:t>Se reutilizarán los componentes que mantengan el mismo significado estadístico. Los cambios de variables o hipótesis necesarios para CEDEAR deberán evaluarse específicamente; el desempeño obtenido en acciones locales no certifica su funcionamiento en certificados.</w:t>
      </w:r>
    </w:p>
    <w:p>
      <w:r>
        <w:t>Una eventual incorporación directa de acciones estadounidenses queda como posibilidad futura. No debe anticiparse como requisito ni sustituir el orden aprobado de acciones locales y luego CEDEAR.</w:t>
      </w:r>
    </w:p>
    <w:p>
      <w:r>
        <w:br w:type="page"/>
      </w:r>
    </w:p>
    <w:p>
      <w:pPr>
        <w:pStyle w:val="Heading1"/>
      </w:pPr>
      <w:r>
        <w:t>13 Decisiones pendientes y control de cambios</w:t>
      </w:r>
    </w:p>
    <w:p>
      <w:pPr>
        <w:pStyle w:val="Heading2"/>
      </w:pPr>
      <w:r>
        <w:t>Cuatro decisiones todavía sin confirmar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792"/>
        <w:gridCol w:w="2376"/>
        <w:gridCol w:w="6912"/>
      </w:tblGrid>
      <w:tr>
        <w:trPr>
          <w:cantSplit/>
          <w:tblHeader/>
        </w:trPr>
        <w:tc>
          <w:tcPr>
            <w:tcW w:type="dxa" w:w="792"/>
            <w:vAlign w:val="center"/>
            <w:shd w:fill="E7EDF3"/>
          </w:tcPr>
          <w:p>
            <w:pPr>
              <w:spacing w:after="40" w:line="245" w:lineRule="auto"/>
              <w:jc w:val="center"/>
            </w:pPr>
            <w:r>
              <w:rPr>
                <w:b/>
                <w:color w:val="000000"/>
                <w:sz w:val="20"/>
              </w:rPr>
              <w:t>ID</w:t>
            </w:r>
          </w:p>
        </w:tc>
        <w:tc>
          <w:tcPr>
            <w:tcW w:type="dxa" w:w="2376"/>
            <w:vAlign w:val="center"/>
            <w:shd w:fill="E7EDF3"/>
          </w:tcPr>
          <w:p>
            <w:pPr>
              <w:spacing w:after="40" w:line="245" w:lineRule="auto"/>
            </w:pPr>
            <w:r>
              <w:rPr>
                <w:b/>
                <w:color w:val="000000"/>
                <w:sz w:val="20"/>
              </w:rPr>
              <w:t>Pendiente</w:t>
            </w:r>
          </w:p>
        </w:tc>
        <w:tc>
          <w:tcPr>
            <w:tcW w:type="dxa" w:w="6912"/>
            <w:vAlign w:val="center"/>
            <w:shd w:fill="E7EDF3"/>
          </w:tcPr>
          <w:p>
            <w:pPr>
              <w:spacing w:after="40" w:line="245" w:lineRule="auto"/>
            </w:pPr>
            <w:r>
              <w:rPr>
                <w:b/>
                <w:color w:val="000000"/>
                <w:sz w:val="20"/>
              </w:rPr>
              <w:t>Propuesta o condición actual</w:t>
            </w:r>
          </w:p>
        </w:tc>
      </w:tr>
      <w:tr>
        <w:trPr>
          <w:cantSplit/>
        </w:trPr>
        <w:tc>
          <w:tcPr>
            <w:tcW w:type="dxa" w:w="792"/>
            <w:vAlign w:val="center"/>
            <w:shd w:fill="FFFFFF"/>
          </w:tcPr>
          <w:p>
            <w:pPr>
              <w:spacing w:after="40" w:line="245" w:lineRule="auto"/>
              <w:jc w:val="center"/>
            </w:pPr>
            <w:r>
              <w:rPr>
                <w:b w:val="0"/>
                <w:color w:val="000000"/>
                <w:sz w:val="20"/>
              </w:rPr>
              <w:t>P01</w:t>
            </w:r>
          </w:p>
        </w:tc>
        <w:tc>
          <w:tcPr>
            <w:tcW w:type="dxa" w:w="2376"/>
            <w:vAlign w:val="center"/>
            <w:shd w:fill="FFFFFF"/>
          </w:tcPr>
          <w:p>
            <w:pPr>
              <w:spacing w:after="40" w:line="245" w:lineRule="auto"/>
            </w:pPr>
            <w:r>
              <w:rPr>
                <w:b w:val="0"/>
                <w:color w:val="000000"/>
                <w:sz w:val="20"/>
              </w:rPr>
              <w:t>Modelos exactos</w:t>
            </w:r>
          </w:p>
        </w:tc>
        <w:tc>
          <w:tcPr>
            <w:tcW w:type="dxa" w:w="6912"/>
            <w:vAlign w:val="center"/>
            <w:shd w:fill="FFFFFF"/>
          </w:tcPr>
          <w:p>
            <w:pPr>
              <w:spacing w:after="40" w:line="245" w:lineRule="auto"/>
            </w:pPr>
            <w:r>
              <w:rPr>
                <w:b w:val="0"/>
                <w:color w:val="000000"/>
                <w:sz w:val="20"/>
              </w:rPr>
              <w:t>Monte Carlo está acordado. La combinación definitiva de media, volatilidad e innovaciones y sus parámetros requiere selección.</w:t>
            </w:r>
          </w:p>
        </w:tc>
      </w:tr>
      <w:tr>
        <w:trPr>
          <w:cantSplit/>
        </w:trPr>
        <w:tc>
          <w:tcPr>
            <w:tcW w:type="dxa" w:w="792"/>
            <w:vAlign w:val="center"/>
            <w:shd w:fill="F7F8FA"/>
          </w:tcPr>
          <w:p>
            <w:pPr>
              <w:spacing w:after="40" w:line="245" w:lineRule="auto"/>
              <w:jc w:val="center"/>
            </w:pPr>
            <w:r>
              <w:rPr>
                <w:b w:val="0"/>
                <w:color w:val="000000"/>
                <w:sz w:val="20"/>
              </w:rPr>
              <w:t>P02</w:t>
            </w:r>
          </w:p>
        </w:tc>
        <w:tc>
          <w:tcPr>
            <w:tcW w:type="dxa" w:w="2376"/>
            <w:vAlign w:val="center"/>
            <w:shd w:fill="F7F8FA"/>
          </w:tcPr>
          <w:p>
            <w:pPr>
              <w:spacing w:after="40" w:line="245" w:lineRule="auto"/>
            </w:pPr>
            <w:r>
              <w:rPr>
                <w:b w:val="0"/>
                <w:color w:val="000000"/>
                <w:sz w:val="20"/>
              </w:rPr>
              <w:t>Reentrenamiento</w:t>
            </w:r>
          </w:p>
        </w:tc>
        <w:tc>
          <w:tcPr>
            <w:tcW w:type="dxa" w:w="6912"/>
            <w:vAlign w:val="center"/>
            <w:shd w:fill="F7F8FA"/>
          </w:tcPr>
          <w:p>
            <w:pPr>
              <w:spacing w:after="40" w:line="245" w:lineRule="auto"/>
            </w:pPr>
            <w:r>
              <w:rPr>
                <w:b w:val="0"/>
                <w:color w:val="000000"/>
                <w:sz w:val="20"/>
              </w:rPr>
              <w:t>Frecuencia semanal propuesta, todavía no aprobada. Debe fijarse antes del test y reproducirse en él.</w:t>
            </w:r>
          </w:p>
        </w:tc>
      </w:tr>
      <w:tr>
        <w:trPr>
          <w:cantSplit/>
        </w:trPr>
        <w:tc>
          <w:tcPr>
            <w:tcW w:type="dxa" w:w="792"/>
            <w:vAlign w:val="center"/>
            <w:shd w:fill="FFFFFF"/>
          </w:tcPr>
          <w:p>
            <w:pPr>
              <w:spacing w:after="40" w:line="245" w:lineRule="auto"/>
              <w:jc w:val="center"/>
            </w:pPr>
            <w:r>
              <w:rPr>
                <w:b w:val="0"/>
                <w:color w:val="000000"/>
                <w:sz w:val="20"/>
              </w:rPr>
              <w:t>P03</w:t>
            </w:r>
          </w:p>
        </w:tc>
        <w:tc>
          <w:tcPr>
            <w:tcW w:type="dxa" w:w="2376"/>
            <w:vAlign w:val="center"/>
            <w:shd w:fill="FFFFFF"/>
          </w:tcPr>
          <w:p>
            <w:pPr>
              <w:spacing w:after="40" w:line="245" w:lineRule="auto"/>
            </w:pPr>
            <w:r>
              <w:rPr>
                <w:b w:val="0"/>
                <w:color w:val="000000"/>
                <w:sz w:val="20"/>
              </w:rPr>
              <w:t>Salidas e intervalos</w:t>
            </w:r>
          </w:p>
        </w:tc>
        <w:tc>
          <w:tcPr>
            <w:tcW w:type="dxa" w:w="6912"/>
            <w:vAlign w:val="center"/>
            <w:shd w:fill="FFFFFF"/>
          </w:tcPr>
          <w:p>
            <w:pPr>
              <w:spacing w:after="40" w:line="245" w:lineRule="auto"/>
            </w:pPr>
            <w:r>
              <w:rPr>
                <w:b w:val="0"/>
                <w:color w:val="000000"/>
                <w:sz w:val="20"/>
              </w:rPr>
              <w:t>Mediana, intervalos del 80 % y 95 % y probabilidad de subida o bajada son propuestas aún no confirmadas.</w:t>
            </w:r>
          </w:p>
        </w:tc>
      </w:tr>
      <w:tr>
        <w:trPr>
          <w:cantSplit/>
        </w:trPr>
        <w:tc>
          <w:tcPr>
            <w:tcW w:type="dxa" w:w="792"/>
            <w:vAlign w:val="center"/>
            <w:shd w:fill="F7F8FA"/>
          </w:tcPr>
          <w:p>
            <w:pPr>
              <w:spacing w:after="40" w:line="245" w:lineRule="auto"/>
              <w:jc w:val="center"/>
            </w:pPr>
            <w:r>
              <w:rPr>
                <w:b w:val="0"/>
                <w:color w:val="000000"/>
                <w:sz w:val="20"/>
              </w:rPr>
              <w:t>P04</w:t>
            </w:r>
          </w:p>
        </w:tc>
        <w:tc>
          <w:tcPr>
            <w:tcW w:type="dxa" w:w="2376"/>
            <w:vAlign w:val="center"/>
            <w:shd w:fill="F7F8FA"/>
          </w:tcPr>
          <w:p>
            <w:pPr>
              <w:spacing w:after="40" w:line="245" w:lineRule="auto"/>
            </w:pPr>
            <w:r>
              <w:rPr>
                <w:b w:val="0"/>
                <w:color w:val="000000"/>
                <w:sz w:val="20"/>
              </w:rPr>
              <w:t>Evidencia y habilitación</w:t>
            </w:r>
          </w:p>
        </w:tc>
        <w:tc>
          <w:tcPr>
            <w:tcW w:type="dxa" w:w="6912"/>
            <w:vAlign w:val="center"/>
            <w:shd w:fill="F7F8FA"/>
          </w:tcPr>
          <w:p>
            <w:pPr>
              <w:spacing w:after="40" w:line="245" w:lineRule="auto"/>
            </w:pPr>
            <w:r>
              <w:rPr>
                <w:b w:val="0"/>
                <w:color w:val="000000"/>
                <w:sz w:val="20"/>
              </w:rPr>
              <w:t>Mínimo de pronósticos maduros, método de incertidumbre y umbrales completos para publicar o abstenerse.</w:t>
            </w:r>
          </w:p>
        </w:tc>
      </w:tr>
    </w:tbl>
    <w:p>
      <w:pPr>
        <w:spacing w:after="20"/>
      </w:pPr>
    </w:p>
    <w:p>
      <w:r>
        <w:t>El número de simulaciones, tolerancias, variables, ventanas internas, tratamiento matemático de eventos y detalles operativos son configuraciones de implementación vinculadas a estos puntos. No tienen valores aprobados por omisión y no deben elegirse para favorecer retrospectivamente el test.</w:t>
      </w:r>
    </w:p>
    <w:p>
      <w:pPr>
        <w:pStyle w:val="Heading2"/>
      </w:pPr>
      <w:r>
        <w:t>Decisiones anteriores que fueron reemplazadas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4320"/>
        <w:gridCol w:w="5760"/>
      </w:tblGrid>
      <w:tr>
        <w:trPr>
          <w:cantSplit/>
          <w:tblHeader/>
        </w:trPr>
        <w:tc>
          <w:tcPr>
            <w:tcW w:type="dxa" w:w="4320"/>
            <w:vAlign w:val="center"/>
            <w:shd w:fill="E7EDF3"/>
          </w:tcPr>
          <w:p>
            <w:pPr>
              <w:spacing w:after="40" w:line="245" w:lineRule="auto"/>
            </w:pPr>
            <w:r>
              <w:rPr>
                <w:b/>
                <w:color w:val="000000"/>
                <w:sz w:val="20"/>
              </w:rPr>
              <w:t>Idea anterior</w:t>
            </w:r>
          </w:p>
        </w:tc>
        <w:tc>
          <w:tcPr>
            <w:tcW w:type="dxa" w:w="5760"/>
            <w:vAlign w:val="center"/>
            <w:shd w:fill="E7EDF3"/>
          </w:tcPr>
          <w:p>
            <w:pPr>
              <w:spacing w:after="40" w:line="245" w:lineRule="auto"/>
            </w:pPr>
            <w:r>
              <w:rPr>
                <w:b/>
                <w:color w:val="000000"/>
                <w:sz w:val="20"/>
              </w:rPr>
              <w:t>Base vigente</w:t>
            </w:r>
          </w:p>
        </w:tc>
      </w:tr>
      <w:tr>
        <w:trPr>
          <w:cantSplit/>
        </w:trPr>
        <w:tc>
          <w:tcPr>
            <w:tcW w:type="dxa" w:w="4320"/>
            <w:vAlign w:val="center"/>
            <w:shd w:fill="FFFFFF"/>
          </w:tcPr>
          <w:p>
            <w:pPr>
              <w:spacing w:after="40" w:line="245" w:lineRule="auto"/>
            </w:pPr>
            <w:r>
              <w:rPr>
                <w:b w:val="0"/>
                <w:color w:val="000000"/>
                <w:sz w:val="20"/>
              </w:rPr>
              <w:t>Herramienta pública para inversores</w:t>
            </w:r>
          </w:p>
        </w:tc>
        <w:tc>
          <w:tcPr>
            <w:tcW w:type="dxa" w:w="5760"/>
            <w:vAlign w:val="center"/>
            <w:shd w:fill="FFFFFF"/>
          </w:tcPr>
          <w:p>
            <w:pPr>
              <w:spacing w:after="40" w:line="245" w:lineRule="auto"/>
            </w:pPr>
            <w:r>
              <w:rPr>
                <w:b w:val="0"/>
                <w:color w:val="000000"/>
                <w:sz w:val="20"/>
              </w:rPr>
              <w:t>Portfolio personal, sin servicio a usuarios reales.</w:t>
            </w:r>
          </w:p>
        </w:tc>
      </w:tr>
      <w:tr>
        <w:trPr>
          <w:cantSplit/>
        </w:trPr>
        <w:tc>
          <w:tcPr>
            <w:tcW w:type="dxa" w:w="4320"/>
            <w:vAlign w:val="center"/>
            <w:shd w:fill="F7F8FA"/>
          </w:tcPr>
          <w:p>
            <w:pPr>
              <w:spacing w:after="40" w:line="245" w:lineRule="auto"/>
            </w:pPr>
            <w:r>
              <w:rPr>
                <w:b w:val="0"/>
                <w:color w:val="000000"/>
                <w:sz w:val="20"/>
              </w:rPr>
              <w:t>Seis meses de cotización</w:t>
            </w:r>
          </w:p>
        </w:tc>
        <w:tc>
          <w:tcPr>
            <w:tcW w:type="dxa" w:w="5760"/>
            <w:vAlign w:val="center"/>
            <w:shd w:fill="F7F8FA"/>
          </w:tcPr>
          <w:p>
            <w:pPr>
              <w:spacing w:after="40" w:line="245" w:lineRule="auto"/>
            </w:pPr>
            <w:r>
              <w:rPr>
                <w:b w:val="0"/>
                <w:color w:val="000000"/>
                <w:sz w:val="20"/>
              </w:rPr>
              <w:t>140 ruedas válidas conocidas antes de cada pronóstico.</w:t>
            </w:r>
          </w:p>
        </w:tc>
      </w:tr>
      <w:tr>
        <w:trPr>
          <w:cantSplit/>
        </w:trPr>
        <w:tc>
          <w:tcPr>
            <w:tcW w:type="dxa" w:w="4320"/>
            <w:vAlign w:val="center"/>
            <w:shd w:fill="FFFFFF"/>
          </w:tcPr>
          <w:p>
            <w:pPr>
              <w:spacing w:after="40" w:line="245" w:lineRule="auto"/>
            </w:pPr>
            <w:r>
              <w:rPr>
                <w:b w:val="0"/>
                <w:color w:val="000000"/>
                <w:sz w:val="20"/>
              </w:rPr>
              <w:t>140 observaciones totales para 70/30</w:t>
            </w:r>
          </w:p>
        </w:tc>
        <w:tc>
          <w:tcPr>
            <w:tcW w:type="dxa" w:w="5760"/>
            <w:vAlign w:val="center"/>
            <w:shd w:fill="FFFFFF"/>
          </w:tcPr>
          <w:p>
            <w:pPr>
              <w:spacing w:after="40" w:line="245" w:lineRule="auto"/>
            </w:pPr>
            <w:r>
              <w:rPr>
                <w:b w:val="0"/>
                <w:color w:val="000000"/>
                <w:sz w:val="20"/>
              </w:rPr>
              <w:t>Al menos 200 para tener 140 inicialmente en entrenamiento.</w:t>
            </w:r>
          </w:p>
        </w:tc>
      </w:tr>
      <w:tr>
        <w:trPr>
          <w:cantSplit/>
        </w:trPr>
        <w:tc>
          <w:tcPr>
            <w:tcW w:type="dxa" w:w="4320"/>
            <w:vAlign w:val="center"/>
            <w:shd w:fill="F7F8FA"/>
          </w:tcPr>
          <w:p>
            <w:pPr>
              <w:spacing w:after="40" w:line="245" w:lineRule="auto"/>
            </w:pPr>
            <w:r>
              <w:rPr>
                <w:b w:val="0"/>
                <w:color w:val="000000"/>
                <w:sz w:val="20"/>
              </w:rPr>
              <w:t>Ningún error superior al 5 %</w:t>
            </w:r>
          </w:p>
        </w:tc>
        <w:tc>
          <w:tcPr>
            <w:tcW w:type="dxa" w:w="5760"/>
            <w:vAlign w:val="center"/>
            <w:shd w:fill="F7F8FA"/>
          </w:tcPr>
          <w:p>
            <w:pPr>
              <w:spacing w:after="40" w:line="245" w:lineRule="auto"/>
            </w:pPr>
            <w:r>
              <w:rPr>
                <w:b w:val="0"/>
                <w:color w:val="000000"/>
                <w:sz w:val="20"/>
              </w:rPr>
              <w:t>Objetivo provisional de cumplimiento del 90 % a diez ruedas.</w:t>
            </w:r>
          </w:p>
        </w:tc>
      </w:tr>
      <w:tr>
        <w:trPr>
          <w:cantSplit/>
        </w:trPr>
        <w:tc>
          <w:tcPr>
            <w:tcW w:type="dxa" w:w="4320"/>
            <w:vAlign w:val="center"/>
            <w:shd w:fill="FFFFFF"/>
          </w:tcPr>
          <w:p>
            <w:pPr>
              <w:spacing w:after="40" w:line="245" w:lineRule="auto"/>
            </w:pPr>
            <w:r>
              <w:rPr>
                <w:b w:val="0"/>
                <w:color w:val="000000"/>
                <w:sz w:val="20"/>
              </w:rPr>
              <w:t>Comisiones de bancos</w:t>
            </w:r>
          </w:p>
        </w:tc>
        <w:tc>
          <w:tcPr>
            <w:tcW w:type="dxa" w:w="5760"/>
            <w:vAlign w:val="center"/>
            <w:shd w:fill="FFFFFF"/>
          </w:tcPr>
          <w:p>
            <w:pPr>
              <w:spacing w:after="40" w:line="245" w:lineRule="auto"/>
            </w:pPr>
            <w:r>
              <w:rPr>
                <w:b w:val="0"/>
                <w:color w:val="000000"/>
                <w:sz w:val="20"/>
              </w:rPr>
              <w:t>Excluidas de la versión inicial.</w:t>
            </w:r>
          </w:p>
        </w:tc>
      </w:tr>
      <w:tr>
        <w:trPr>
          <w:cantSplit/>
        </w:trPr>
        <w:tc>
          <w:tcPr>
            <w:tcW w:type="dxa" w:w="4320"/>
            <w:vAlign w:val="center"/>
            <w:shd w:fill="F7F8FA"/>
          </w:tcPr>
          <w:p>
            <w:pPr>
              <w:spacing w:after="40" w:line="245" w:lineRule="auto"/>
            </w:pPr>
            <w:r>
              <w:rPr>
                <w:b w:val="0"/>
                <w:color w:val="000000"/>
                <w:sz w:val="20"/>
              </w:rPr>
              <w:t>BYMA como paso necesario</w:t>
            </w:r>
          </w:p>
        </w:tc>
        <w:tc>
          <w:tcPr>
            <w:tcW w:type="dxa" w:w="5760"/>
            <w:vAlign w:val="center"/>
            <w:shd w:fill="F7F8FA"/>
          </w:tcPr>
          <w:p>
            <w:pPr>
              <w:spacing w:after="40" w:line="245" w:lineRule="auto"/>
            </w:pPr>
            <w:r>
              <w:rPr>
                <w:b w:val="0"/>
                <w:color w:val="000000"/>
                <w:sz w:val="20"/>
              </w:rPr>
              <w:t>yfinance elegido; sin dependencia obligatoria de BYMA.</w:t>
            </w:r>
          </w:p>
        </w:tc>
      </w:tr>
      <w:tr>
        <w:trPr>
          <w:cantSplit/>
        </w:trPr>
        <w:tc>
          <w:tcPr>
            <w:tcW w:type="dxa" w:w="4320"/>
            <w:vAlign w:val="center"/>
            <w:shd w:fill="FFFFFF"/>
          </w:tcPr>
          <w:p>
            <w:pPr>
              <w:spacing w:after="40" w:line="245" w:lineRule="auto"/>
            </w:pPr>
            <w:r>
              <w:rPr>
                <w:b w:val="0"/>
                <w:color w:val="000000"/>
                <w:sz w:val="20"/>
              </w:rPr>
              <w:t>Acciones y CEDEAR en conjunto</w:t>
            </w:r>
          </w:p>
        </w:tc>
        <w:tc>
          <w:tcPr>
            <w:tcW w:type="dxa" w:w="5760"/>
            <w:vAlign w:val="center"/>
            <w:shd w:fill="FFFFFF"/>
          </w:tcPr>
          <w:p>
            <w:pPr>
              <w:spacing w:after="40" w:line="245" w:lineRule="auto"/>
            </w:pPr>
            <w:r>
              <w:rPr>
                <w:b w:val="0"/>
                <w:color w:val="000000"/>
                <w:sz w:val="20"/>
              </w:rPr>
              <w:t>Acciones primero y CEDEAR después de su validación.</w:t>
            </w:r>
          </w:p>
        </w:tc>
      </w:tr>
    </w:tbl>
    <w:p>
      <w:pPr>
        <w:spacing w:after="20"/>
      </w:pPr>
    </w:p>
    <w:p>
      <w:pPr>
        <w:pStyle w:val="Heading2"/>
      </w:pPr>
      <w:r>
        <w:t>Regla para mantener la fidelidad</w:t>
      </w:r>
    </w:p>
    <w:p>
      <w:r>
        <w:t>Antes de implementar una decisión pendiente, identificarla, resolverla explícitamente y actualizar esta especificación. Para cambios de alcance, presupuesto, fuente, historial, objetivos o validación, registrar la decisión del responsable del proyecto. Las instrucciones posteriores prevalecen y deben reflejarse en una nueva versión, sin borrar la trazabilidad de la anterior.</w:t>
      </w:r>
    </w:p>
    <w:p>
      <w:r>
        <w:t>Registro inicial: versión 1.0, 16 de octubre de 2026. Consolidación de las bases aprobadas y de los pendientes identificados. Estado del proyecto: especificación; no se ha iniciado la programación ni validado un modelo.</w:t>
      </w:r>
    </w:p>
    <w:p>
      <w:r>
        <w:br w:type="page"/>
      </w:r>
    </w:p>
    <w:p>
      <w:pPr>
        <w:pStyle w:val="Heading1"/>
      </w:pPr>
      <w:r>
        <w:t>14 Referencias y vocabulario de consulta</w:t>
      </w:r>
    </w:p>
    <w:p>
      <w:r>
        <w:t>Las decisiones de producto proceden de los acuerdos del proyecto. Las siguientes referencias permiten consultar las herramientas y fundamentos metodológicos discutidos. No sustituyen la validación empírica ni constituyen un aval institucional del resultado.</w:t>
      </w:r>
    </w:p>
    <w:p>
      <w:pPr>
        <w:spacing w:after="20"/>
      </w:pPr>
      <w:r>
        <w:t>R1  yfinance. Documentación del proyecto y controles de reparación de precios.</w:t>
      </w:r>
    </w:p>
    <w:p>
      <w:pPr>
        <w:spacing w:after="140"/>
      </w:pPr>
      <w:hyperlink r:id="rId10">
        <w:r>
          <w:rPr>
            <w:color w:val="17446B"/>
          </w:rPr>
          <w:t>Abrir referencia</w:t>
        </w:r>
      </w:hyperlink>
    </w:p>
    <w:p>
      <w:pPr>
        <w:spacing w:after="20"/>
      </w:pPr>
      <w:r>
        <w:t>R1a  Reparación de precios. Errores de ajustes, datos faltantes y límites de reparación.</w:t>
      </w:r>
    </w:p>
    <w:p>
      <w:pPr>
        <w:spacing w:after="140"/>
      </w:pPr>
      <w:hyperlink r:id="rId11">
        <w:r>
          <w:rPr>
            <w:color w:val="17446B"/>
          </w:rPr>
          <w:t>Abrir referencia</w:t>
        </w:r>
      </w:hyperlink>
    </w:p>
    <w:p>
      <w:pPr>
        <w:spacing w:after="20"/>
      </w:pPr>
      <w:r>
        <w:t>R2  Hyndman y Athanasopoulos. Forecasting Principles and Practice. Referencias, métricas y validación temporal.</w:t>
      </w:r>
    </w:p>
    <w:p>
      <w:pPr>
        <w:spacing w:after="140"/>
      </w:pPr>
      <w:hyperlink r:id="rId12">
        <w:r>
          <w:rPr>
            <w:color w:val="17446B"/>
          </w:rPr>
          <w:t>Abrir referencia</w:t>
        </w:r>
      </w:hyperlink>
    </w:p>
    <w:p>
      <w:pPr>
        <w:spacing w:after="20"/>
      </w:pPr>
      <w:r>
        <w:t>R3  scikit learn. TimeSeriesSplit. Particiones temporales y separación entre bloques.</w:t>
      </w:r>
    </w:p>
    <w:p>
      <w:pPr>
        <w:spacing w:after="140"/>
      </w:pPr>
      <w:hyperlink r:id="rId13">
        <w:r>
          <w:rPr>
            <w:color w:val="17446B"/>
          </w:rPr>
          <w:t>Abrir referencia</w:t>
        </w:r>
      </w:hyperlink>
    </w:p>
    <w:p>
      <w:pPr>
        <w:spacing w:after="20"/>
      </w:pPr>
      <w:r>
        <w:t>R4  Gneiting y Raftery. Strictly Proper Scoring Rules Prediction and Estimation. Evaluación probabilística.</w:t>
      </w:r>
    </w:p>
    <w:p>
      <w:pPr>
        <w:spacing w:after="140"/>
      </w:pPr>
      <w:hyperlink r:id="rId14">
        <w:r>
          <w:rPr>
            <w:color w:val="17446B"/>
          </w:rPr>
          <w:t>Abrir referencia</w:t>
        </w:r>
      </w:hyperlink>
    </w:p>
    <w:p>
      <w:pPr>
        <w:spacing w:after="20"/>
      </w:pPr>
      <w:r>
        <w:t>R5  Bollerslev. Generalized autoregressive conditional heteroskedasticity. Fundamento de GARCH.</w:t>
      </w:r>
    </w:p>
    <w:p>
      <w:pPr>
        <w:spacing w:after="140"/>
      </w:pPr>
      <w:hyperlink r:id="rId15">
        <w:r>
          <w:rPr>
            <w:color w:val="17446B"/>
          </w:rPr>
          <w:t>Abrir referencia</w:t>
        </w:r>
      </w:hyperlink>
    </w:p>
    <w:p>
      <w:pPr>
        <w:spacing w:after="20"/>
      </w:pPr>
      <w:r>
        <w:t>R6  Zou y Hastie. Regularization and variable selection via the elastic net. Candidato de regularización.</w:t>
      </w:r>
    </w:p>
    <w:p>
      <w:pPr>
        <w:spacing w:after="140"/>
      </w:pPr>
      <w:hyperlink r:id="rId16">
        <w:r>
          <w:rPr>
            <w:color w:val="17446B"/>
          </w:rPr>
          <w:t>Abrir referencia</w:t>
        </w:r>
      </w:hyperlink>
    </w:p>
    <w:p>
      <w:pPr>
        <w:spacing w:after="20"/>
      </w:pPr>
      <w:r>
        <w:t>R7  arch. Forecasting. Pronósticos analíticos, por simulación y bootstrap.</w:t>
      </w:r>
    </w:p>
    <w:p>
      <w:pPr>
        <w:spacing w:after="140"/>
      </w:pPr>
      <w:hyperlink r:id="rId17">
        <w:r>
          <w:rPr>
            <w:color w:val="17446B"/>
          </w:rPr>
          <w:t>Abrir referencia</w:t>
        </w:r>
      </w:hyperlink>
    </w:p>
    <w:p>
      <w:pPr>
        <w:pStyle w:val="Heading2"/>
      </w:pPr>
      <w:r>
        <w:t>Definiciones operativas</w:t>
      </w:r>
    </w:p>
    <w:p>
      <w:r>
        <w:t>Origen: cierre y momento desde los que se emite el pronóstico. Horizonte: número de ruedas futuras hasta el resultado. Fecha objetivo: sesión cuyo cierre se estima. Pronóstico maduro: aquel cuyo resultado ya puede observarse y evaluarse.</w:t>
      </w:r>
    </w:p>
    <w:p>
      <w:r>
        <w:t>Backtest: reconstrucción histórica de un procedimiento. Evaluación prospectiva: seguimiento de pronósticos realmente registrados desde su emisión. Calibración: correspondencia entre probabilidades o coberturas anunciadas y frecuencias observadas. Abstención: decisión de no emitir una estimación por una regla previa.</w:t>
      </w:r>
    </w:p>
    <w:p>
      <w:r>
        <w:t>Data leakage: incorporación indebida de información futura o del conjunto de prueba al desarrollo. Reproducibilidad: posibilidad de reconstruir los resultados a partir de los datos, versiones y configuraciones identificados.</w:t>
      </w:r>
    </w:p>
    <w:sectPr w:rsidR="00FC693F" w:rsidRPr="0006063C" w:rsidSect="00034616">
      <w:footerReference w:type="default" r:id="rId9"/>
      <w:pgSz w:w="12240" w:h="15840"/>
      <w:pgMar w:top="1008" w:right="1080" w:bottom="936" w:left="108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Bases del proyecto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cs="Calibri"/>
      <w:color w:val="000000"/>
      <w:sz w:val="22"/>
      <w:lang w:val="es-AR"/>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Theme="majorHAnsi" w:eastAsiaTheme="majorEastAsia" w:hAnsiTheme="majorHAnsi" w:cstheme="majorBidi" w:ascii="Calibri" w:hAnsi="Calibri" w:eastAsia="Calibri" w:cs="Calibri"/>
      <w:b/>
      <w:bCs/>
      <w:color w:val="000000"/>
      <w:sz w:val="38"/>
      <w:szCs w:val="28"/>
      <w:lang w:val="es-AR"/>
    </w:rPr>
  </w:style>
  <w:style w:type="paragraph" w:styleId="Heading2">
    <w:name w:val="heading 2"/>
    <w:basedOn w:val="Normal"/>
    <w:next w:val="Normal"/>
    <w:link w:val="Heading2Char"/>
    <w:uiPriority w:val="9"/>
    <w:unhideWhenUsed/>
    <w:qFormat/>
    <w:rsid w:val="00FC693F"/>
    <w:pPr>
      <w:keepNext/>
      <w:keepLines/>
      <w:widowControl/>
      <w:spacing w:before="200" w:after="140" w:line="259" w:lineRule="auto"/>
      <w:outlineLvl w:val="1"/>
    </w:pPr>
    <w:rPr>
      <w:rFonts w:asciiTheme="majorHAnsi" w:eastAsiaTheme="majorEastAsia" w:hAnsiTheme="majorHAnsi" w:cstheme="majorBidi" w:ascii="Calibri" w:hAnsi="Calibri" w:eastAsia="Calibri" w:cs="Calibri"/>
      <w:b/>
      <w:bCs/>
      <w:color w:val="000000"/>
      <w:sz w:val="25"/>
      <w:szCs w:val="26"/>
      <w:lang w:val="es-AR"/>
    </w:rPr>
  </w:style>
  <w:style w:type="paragraph" w:styleId="Heading3">
    <w:name w:val="heading 3"/>
    <w:basedOn w:val="Normal"/>
    <w:next w:val="Normal"/>
    <w:link w:val="Heading3Char"/>
    <w:uiPriority w:val="9"/>
    <w:unhideWhenUsed/>
    <w:qFormat/>
    <w:rsid w:val="00FC693F"/>
    <w:pPr>
      <w:keepNext/>
      <w:keepLines/>
      <w:widowControl/>
      <w:spacing w:before="200" w:after="140" w:line="259" w:lineRule="auto"/>
      <w:outlineLvl w:val="2"/>
    </w:pPr>
    <w:rPr>
      <w:rFonts w:asciiTheme="majorHAnsi" w:eastAsiaTheme="majorEastAsia" w:hAnsiTheme="majorHAnsi" w:cstheme="majorBidi" w:ascii="Calibri" w:hAnsi="Calibri" w:eastAsia="Calibri" w:cs="Calibri"/>
      <w:b/>
      <w:bCs/>
      <w:color w:val="000000"/>
      <w:sz w:val="23"/>
      <w:lang w:val="es-AR"/>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9" w:lineRule="auto"/>
      <w:contextualSpacing/>
    </w:pPr>
    <w:rPr>
      <w:rFonts w:asciiTheme="majorHAnsi" w:eastAsiaTheme="majorEastAsia" w:hAnsiTheme="majorHAnsi" w:cstheme="majorBidi" w:ascii="Calibri" w:hAnsi="Calibri" w:eastAsia="Calibri" w:cs="Calibri"/>
      <w:b/>
      <w:color w:val="000000"/>
      <w:spacing w:val="5"/>
      <w:kern w:val="28"/>
      <w:sz w:val="52"/>
      <w:szCs w:val="52"/>
      <w:lang w:val="es-A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line="259" w:lineRule="auto"/>
    </w:pPr>
    <w:rPr>
      <w:rFonts w:asciiTheme="majorHAnsi" w:eastAsiaTheme="majorEastAsia" w:hAnsiTheme="majorHAnsi" w:cstheme="majorBidi" w:ascii="Calibri" w:hAnsi="Calibri" w:eastAsia="Calibri" w:cs="Calibri"/>
      <w:i/>
      <w:iCs/>
      <w:color w:val="000000"/>
      <w:spacing w:val="15"/>
      <w:sz w:val="26"/>
      <w:szCs w:val="24"/>
      <w:lang w:val="es-A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Calibri" w:hAnsi="Calibri" w:eastAsia="Calibri" w:cs="Calibri"/>
      <w:color w:val="000000"/>
      <w:sz w:val="22"/>
      <w:lang w:val="es-AR"/>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Calibri" w:hAnsi="Calibri" w:eastAsia="Calibri" w:cs="Calibri"/>
      <w:color w:val="000000"/>
      <w:sz w:val="22"/>
      <w:lang w:val="es-AR"/>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anaroussi/yfinance" TargetMode="External"/><Relationship Id="rId11" Type="http://schemas.openxmlformats.org/officeDocument/2006/relationships/hyperlink" Target="https://ranaroussi.github.io/yfinance/advanced/price_repair.html" TargetMode="External"/><Relationship Id="rId12" Type="http://schemas.openxmlformats.org/officeDocument/2006/relationships/hyperlink" Target="https://otexts.com/fpp3/toolbox.html" TargetMode="External"/><Relationship Id="rId13" Type="http://schemas.openxmlformats.org/officeDocument/2006/relationships/hyperlink" Target="https://scikit-learn.org/stable/modules/generated/sklearn.model_selection.TimeSeriesSplit.html" TargetMode="External"/><Relationship Id="rId14" Type="http://schemas.openxmlformats.org/officeDocument/2006/relationships/hyperlink" Target="https://doi.org/10.1198/016214506000001437" TargetMode="External"/><Relationship Id="rId15" Type="http://schemas.openxmlformats.org/officeDocument/2006/relationships/hyperlink" Target="https://scholars.duke.edu/publication/651658" TargetMode="External"/><Relationship Id="rId16" Type="http://schemas.openxmlformats.org/officeDocument/2006/relationships/hyperlink" Target="https://doi.org/10.1111/j.1467-9868.2005.00503.x" TargetMode="External"/><Relationship Id="rId17" Type="http://schemas.openxmlformats.org/officeDocument/2006/relationships/hyperlink" Target="https://arch.readthedocs.io/en/stable/univariate/forecas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del proyecto de simulación bursátil con Monte Carlo</dc:title>
  <dc:subject>Especificación de negocio y técnica para el portfolio de acciones argentinas y CEDEAR</dc:subject>
  <dc:creator>Proyecto de Monte Carlo</dc:creator>
  <cp:keywords>especificación, decisiones, acciones argentinas, CEDEAR, Monte Carlo, yfinance</cp:keywords>
  <dc:description/>
  <cp:lastModifiedBy/>
  <cp:revision>1</cp:revision>
  <dcterms:created xsi:type="dcterms:W3CDTF">2026-10-16T12:00:00Z</dcterms:created>
  <dcterms:modified xsi:type="dcterms:W3CDTF">2026-10-16T12:00:00Z</dcterms:modified>
  <cp:category/>
</cp:coreProperties>
</file>