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PRÁCTICAS PROFESIONALES (EJEMPLO)</w:t>
      </w:r>
    </w:p>
    <w:p>
      <w:r>
        <w:t>[DOCUMENTO DE EJEMPLO - Reemplazar por el Manual de Prácticas Profesionales oficial de la Facultad de Ingeniería]</w:t>
      </w:r>
    </w:p>
    <w:p>
      <w:pPr>
        <w:pStyle w:val="Heading2"/>
      </w:pPr>
      <w:r>
        <w:t>1. Modalidades de práctica</w:t>
      </w:r>
    </w:p>
    <w:p>
      <w:r>
        <w:t>El estudiante puede optar por dos modalidades de práctica profesional: práctica empresarial en una organización externa, o práctica investigativa dentro de un grupo de investigación reconocido por la universidad.</w:t>
      </w:r>
    </w:p>
    <w:p>
      <w:pPr>
        <w:pStyle w:val="Heading2"/>
      </w:pPr>
      <w:r>
        <w:t>2. Proceso de inscripción</w:t>
      </w:r>
    </w:p>
    <w:p>
      <w:r>
        <w:t>Para inscribir la práctica profesional, el estudiante debe presentar la carta de aceptación de la organización receptora ante la Coordinación de Prácticas, con al menos dos semanas de anticipación al inicio del periodo académico.</w:t>
      </w:r>
    </w:p>
    <w:p>
      <w:pPr>
        <w:pStyle w:val="Heading2"/>
      </w:pPr>
      <w:r>
        <w:t>3. Seguimiento y evaluación</w:t>
      </w:r>
    </w:p>
    <w:p>
      <w:r>
        <w:t>El supervisor académico realizará al menos dos visitas de seguimiento durante el periodo de práctica. Al finalizar, el estudiante debe entregar un informe final y una evaluación de desempeño firmada por el supervisor de la organización receptora.</w:t>
      </w:r>
    </w:p>
    <w:p>
      <w:pPr>
        <w:pStyle w:val="Heading2"/>
      </w:pPr>
      <w:r>
        <w:t>4. Terminación anticipada</w:t>
      </w:r>
    </w:p>
    <w:p>
      <w:r>
        <w:t>Si la práctica se interrumpe antes de completar las 480 horas reglamentarias por causas ajenas al estudiante, este podrá solicitar ante el Comité de Currículo la convalidación parcial de las horas ya cumplidas.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