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1A2A4F"/>
          <w:sz w:val="34"/>
          <w:szCs w:val="34"/>
        </w:rPr>
        <w:t xml:space="preserve">AI Investment Advisor</w:t>
      </w:r>
    </w:p>
    <w:p>
      <w:pPr>
        <w:pBdr>
          <w:bottom w:val="single" w:color="C99700" w:sz="6"/>
        </w:pBdr>
        <w:spacing w:after="140" w:before="80"/>
      </w:pPr>
      <w:r>
        <w:t xml:space="preserve"/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1. Project Summary</w:t>
      </w:r>
    </w:p>
    <w:p>
      <w:pPr>
        <w:spacing w:after="120"/>
      </w:pPr>
      <w:r>
        <w:rPr>
          <w:sz w:val="20"/>
          <w:szCs w:val="20"/>
        </w:rPr>
        <w:t xml:space="preserve">A full Streamlit application with sign-up and login (SQLAlchemy + PBKDF2). After signing in, the user enters a stock ticker and, with one click, triggers a complete analysis pipeline: live market and news data, native TradingView-aligned technical indicators, a deterministic scoring engine (0–100), and a GPT-4.1 narrative that explains the score without deciding it. Every analysis is saved to the user's history. This is an educational tool only and not financial advice.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2. Goals and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in Streamlit (multi-page: landing / auth / dashboard) and Backend in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user authentication layer (SQLAlchemy) with saved analysis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connection to Finnhub for live price and news, and to yfinance for OHLCV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deterministic, transparent scoring engine combining technical indicators with AI sentiment (FinBERT).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GPT-4.1 narrates an explanation based on the score; a floating chatbot grounded in live data.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3. Architecture</w:t>
      </w:r>
    </w:p>
    <w:p>
      <w:pPr>
        <w:spacing w:after="120"/>
      </w:pPr>
      <w:r>
        <w:rPr>
          <w:sz w:val="20"/>
          <w:szCs w:val="20"/>
        </w:rPr>
        <w:t xml:space="preserve">The system is layered: Auth → Data → Analysis → Scoring → AI (narrative + chatbot) → Presentation (Streamlit). Guiding principle: the deterministic scoring engine decides, and the LLM only explains — so the same data always produces the same recommendation, and the AI can never bias the rating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A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Output: dashboard + GPT narrative + grounded chatbot + saved to history</w:t>
            </w:r>
          </w:p>
        </w:tc>
      </w:tr>
      <w:tr>
        <w:tc>
          <w:tcPr>
            <w:tcW w:type="dxa" w:w="9360"/>
            <w:shd w:fill="F2F5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layer — GPT-4.1 narrates the score (does not decide it)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Scoring engine — Trend 35% · Momentum 25% · Volume 15% · Volatility 10% · Sentiment 10% · Risk 5%</w:t>
            </w:r>
          </w:p>
        </w:tc>
      </w:tr>
      <w:tr>
        <w:tc>
          <w:tcPr>
            <w:tcW w:type="dxa" w:w="9360"/>
            <w:shd w:fill="F2F5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Analysis layer — native indicators (RSI/MACD/EMA/Bollinger/ADX/ATR/OBV) + sentiment (FinBERT)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layer — Finnhub (price/news) + yfinance (history)</w:t>
            </w:r>
          </w:p>
        </w:tc>
      </w:tr>
      <w:tr>
        <w:tc>
          <w:tcPr>
            <w:tcW w:type="dxa" w:w="9360"/>
            <w:shd w:fill="F2F5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 layer — sign-up/login (SQLAlchemy) · signed session token</w:t>
            </w:r>
          </w:p>
        </w:tc>
      </w:tr>
    </w:tbl>
    <w:p>
      <w:pPr>
        <w:spacing w:after="140"/>
      </w:pP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260"/>
      </w:tblGrid>
      <w:tr>
        <w:tc>
          <w:tcPr>
            <w:tcW w:type="dxa" w:w="5100"/>
            <w:shd w:fill="069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260"/>
            <w:shd w:fill="069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Streamlit (multi-page)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interface (Frontend)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· pandas · numpy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and computation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SQLAlchemy · PBKDF2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authentication and history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/ Postgres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(DATABASE_URL)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Finnhub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price and financial news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yfinance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OHLCV history (2 years)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FinBERT / VADER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Sentiment analysis (AI)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 GPT-4.1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Narrative explanation of the rating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 (Llama 3.3) / Gemini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Grounded floating chatbot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TradingView Lightweight Charts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Interactive charts</w:t>
            </w:r>
          </w:p>
        </w:tc>
      </w:tr>
      <w:tr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Streamlit Community Cloud · Docker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</w:tr>
    </w:tbl>
    <w:p>
      <w:pPr>
        <w:spacing w:after="140"/>
      </w:pP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5. How It Works — The Data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user logs in or registers, enters a ticker, and clicks Analyze.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Live price from Finnhub + two years of OHLCV history from yfinance; up to 10 recent headlines from Finnhub.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indicators module computes RSI/MACD/EMA/Bollinger/StochRSI/ADX/ATR/OBV; sentiment is scored with FinBERT.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correlation.py de-duplicates correlated trend indicators before scoring; see Section 6.1.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scoring.py produces a 0–100 score and a confidence level (distance from 50 plus agreement across categories).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GPT-4.1 narrates a plain-language rationale based on the score; the result is saved to the user's history.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6. Indicators and the Scoring Engine</w:t>
      </w:r>
    </w:p>
    <w:p>
      <w:pPr>
        <w:spacing w:after="120"/>
      </w:pPr>
      <w:r>
        <w:rPr>
          <w:sz w:val="20"/>
          <w:szCs w:val="20"/>
        </w:rPr>
        <w:t xml:space="preserve">Every indicator is implemented natively in NumPy/pandas (not the pandas-ta library), using the conventions that match TradingView: Wilder's RMA for RSI/ATR/ADX, EMA for MACD, and population standard deviation for Bollinger Bands. The final score blends five active categories — Trend 35% · Momentum 25% · Volume 15% · Volatility 10% · Sentiment 10% (as defined in config.py) — where every indicator exposes a value, a signal and its contribution to the category average, so nothing is a black box. Note: config.py also defines a 5% Risk Adjustment weight, but there is currently no active Risk category in scoring.py — that weight is defined but not yet implemented.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6.1 Diagnosing a Systematic Bias</w:t>
      </w:r>
    </w:p>
    <w:p>
      <w:pPr>
        <w:spacing w:after="120"/>
      </w:pPr>
      <w:r>
        <w:rPr>
          <w:sz w:val="20"/>
          <w:szCs w:val="20"/>
        </w:rPr>
        <w:t xml:space="preserve">Testing against TradingView found that the original engine consistently leaned toward ‘Strong Buy’ even when other sites showed Sell or Neutral. The diagnosis: six or seven correlated trend indicators (price vs. SMA50/200, moving-average crossovers, and so on) were counted as independent signals, so a single phenomenon — an uptrend — was counted almost six times over. The solution: correlation.py, which automatically detects correlated indicators (above a 0.85 threshold) and merges them into a shared cluster weight — now wired directly into scoring.py's Trend category, with ADX kept as an independent signal (trend_adx_share) since it measures trend strength rather than direction. Verified with a synthetic test: a scenario with 5 correlated bullish signals against 2 independent bearish ones scored 71.4/100 (Strong Buy) under the old equal-weighting, and correctly 35.0/100 (mixed/bearish) after the fix.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7. Robustness and Testing</w:t>
      </w:r>
    </w:p>
    <w:p>
      <w:pPr>
        <w:spacing w:after="120"/>
      </w:pPr>
      <w:r>
        <w:rPr>
          <w:sz w:val="20"/>
          <w:szCs w:val="20"/>
        </w:rPr>
        <w:t xml:space="preserve">The scoring engine does not depend on API keys — it runs in full even without OpenAI (only the narrative is disabled); sentiment falls back from FinBERT to VADER under constrained memory; and the most recent candle is automatically dropped if it is still forming, to prevent look-ahead bias. Missing data is shown as ‘Data unavailable’ and is never fabricated. A pytest suite (tests/) verifies closed-form values for every indicator, the absence of look-ahead bias, determinism of the scoring, and sanity against real tickers.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8. Limitations and Future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5% Risk Adjustment category is defined in config.py but is not implemented in scoring.py.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Confidence still depends heavily on the score's distance from 50, not only on agreement between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Educational tool only; indicators are backward-looking; a high score does not guarantee a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News coverage skews English-language; the default SQLite setup is not meant for high concurrent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Future work: implement the Risk Adjustment category, full historical backtesting.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Future work: multi-stock portfolios, automated alerts, additional data sources (SEC filings, macroeconomic data).</w:t>
      </w:r>
    </w:p>
    <w:p>
      <w:pPr>
        <w:pStyle w:val="Heading1"/>
        <w:spacing w:after="100" w:before="220"/>
      </w:pPr>
      <w:r>
        <w:rPr>
          <w:b/>
          <w:bCs/>
          <w:color w:val="1A2A4F"/>
          <w:sz w:val="25"/>
          <w:szCs w:val="25"/>
        </w:rPr>
        <w:t xml:space="preserve">9. Deployment</w:t>
      </w:r>
    </w:p>
    <w:p>
      <w:pPr>
        <w:spacing w:after="120"/>
      </w:pPr>
      <w:r>
        <w:rPr>
          <w:sz w:val="20"/>
          <w:szCs w:val="20"/>
        </w:rPr>
        <w:t xml:space="preserve">The application is deployed and live on Streamlit Community Cloud, built directly from the repository's main branch: ai-investment-advisor-0.streamlit.app</w:t>
      </w:r>
    </w:p>
    <w:p>
      <w:pPr>
        <w:spacing w:after="120"/>
      </w:pPr>
      <w:r>
        <w:rPr>
          <w:sz w:val="20"/>
          <w:szCs w:val="20"/>
        </w:rPr>
        <w:t xml:space="preserve">It is also packaged with Docker (a Dockerfile at the project root) and is suitable for deployment on any container-based service (for example, a Hugging Face Spaces Docker Space). In either case, the API keys and DATABASE_URL must be set as environment variables / Secrets in the platform's settings. Full details are in the README.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2026-07-22T18:01:09.934Z</dcterms:created>
  <dcterms:modified xsi:type="dcterms:W3CDTF">2026-07-22T18:01:09.935Z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