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1120"/>
      </w:pPr>
    </w:p>
    <w:p>
      <w:pPr>
        <w:pStyle w:val="Title"/>
        <w:widowControl/>
        <w:jc w:val="center"/>
      </w:pPr>
      <w:r>
        <w:rPr>
          <w:color w:val="000000"/>
        </w:rPr>
        <w:t>Лабораторная работа 2</w:t>
      </w:r>
    </w:p>
    <w:p>
      <w:pPr>
        <w:widowControl/>
        <w:jc w:val="center"/>
      </w:pPr>
      <w:r>
        <w:rPr>
          <w:b/>
          <w:sz w:val="36"/>
        </w:rPr>
        <w:t>Включение и агрегирование</w:t>
        <w:br/>
        <w:t>компонентов ACOM</w:t>
      </w:r>
    </w:p>
    <w:p>
      <w:pPr>
        <w:widowControl/>
        <w:spacing w:after="440"/>
      </w:pPr>
    </w:p>
    <w:p>
      <w:pPr>
        <w:widowControl/>
        <w:jc w:val="center"/>
      </w:pPr>
      <w:r>
        <w:rPr>
          <w:sz w:val="28"/>
        </w:rPr>
        <w:t>Eco.Lab1 и Eco.Lab2</w:t>
        <w:br/>
        <w:t>Калькуляторные компоненты A–E</w:t>
      </w:r>
    </w:p>
    <w:p>
      <w:pPr>
        <w:widowControl/>
        <w:spacing w:after="1560"/>
      </w:pPr>
    </w:p>
    <w:p>
      <w:pPr>
        <w:widowControl/>
        <w:jc w:val="center"/>
      </w:pPr>
      <w:r>
        <w:rPr>
          <w:sz w:val="28"/>
        </w:rPr>
        <w:t>Выполнил</w:t>
        <w:br/>
        <w:t>Анвари Д.А</w:t>
        <w:br/>
        <w:t>24ТИДИ</w:t>
      </w:r>
    </w:p>
    <w:p>
      <w:pPr>
        <w:widowControl/>
        <w:spacing w:after="900"/>
      </w:pPr>
    </w:p>
    <w:p>
      <w:pPr>
        <w:widowControl/>
        <w:jc w:val="center"/>
      </w:pPr>
      <w:r>
        <w:t>Нижний Новгород, 2026</w:t>
      </w:r>
    </w:p>
    <w:p>
      <w:r>
        <w:br w:type="page"/>
      </w:r>
    </w:p>
    <w:p>
      <w:pPr>
        <w:pStyle w:val="Heading1"/>
      </w:pPr>
      <w:r>
        <w:rPr>
          <w:color w:val="000000"/>
        </w:rPr>
        <w:t>1 Постановка задачи и критерии</w:t>
      </w:r>
    </w:p>
    <w:p>
      <w:pPr>
        <w:widowControl/>
      </w:pPr>
      <w:r>
        <w:t>Цель работы — расширить компонент полиномиальной аппроксимации из ЛР1 калькуляторными интерфейсами и показать реальное взаимодействие ACOM-компонентов через включение и агрегирование. Для внешнего компонента Eco.Lab2 компонент Eco.Lab1 поддерживает агрегирование с общим управляющим IEcoUnknown.</w:t>
      </w:r>
    </w:p>
    <w:p>
      <w:pPr>
        <w:widowControl/>
      </w:pPr>
      <w:r>
        <w:t>Работа выполнена по «Задание_2.pdf». Максимальный критерий требует нового Eco.Lab2, поддержки внешнего агрегирования Eco.Lab1 и демонстрации включения/агрегирования всех A, B, C, D, E, Eco.Lab1. В клиенте необходимо показать переходы QueryInterface между поддерживаемыми интерфейсами.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24577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Требование задания</w:t>
            </w:r>
          </w:p>
        </w:tc>
        <w:tc>
          <w:tcPr>
            <w:tcW w:type="dxa" w:w="674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24577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Подтверждение в проекте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Добавить калькулятор в прежний компонент</w:t>
            </w:r>
          </w:p>
        </w:tc>
        <w:tc>
          <w:tcPr>
            <w:tcW w:type="dxa" w:w="674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Lab1 включает C; операции фасадов делегируются его X/Y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Показать A–E в механизме композиции</w:t>
            </w:r>
          </w:p>
        </w:tc>
        <w:tc>
          <w:tcPr>
            <w:tcW w:type="dxa" w:w="674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Lab1→C→A/D→B и Lab2→E→B; каждый узел участвует в вызовах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Внешнее агрегирование Lab1</w:t>
            </w:r>
          </w:p>
        </w:tc>
        <w:tc>
          <w:tcPr>
            <w:tcW w:type="dxa" w:w="674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Lab2 хранит приватный unknown Lab1; публичные QI/AddRef/Release используют внешний unknown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Получать интерфейсы через QueryInterface</w:t>
            </w:r>
          </w:p>
        </w:tc>
        <w:tc>
          <w:tcPr>
            <w:tcW w:type="dxa" w:w="674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Проверяются матрицы переходов для всех восьми CID, включая Lab2→Lab1→Lab2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Предоставить исходники, клиент, сборку и Word</w:t>
            </w:r>
          </w:p>
        </w:tc>
        <w:tc>
          <w:tcPr>
            <w:tcW w:type="dxa" w:w="674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C/H/IDL, Eco UnitTest, Xcode-проекты, Dynamic runtime-скрипт и настоящий отчёт</w:t>
            </w:r>
          </w:p>
        </w:tc>
      </w:tr>
    </w:tbl>
    <w:p>
      <w:pPr>
        <w:widowControl/>
        <w:spacing w:after="40"/>
      </w:pPr>
    </w:p>
    <w:p>
      <w:pPr>
        <w:pStyle w:val="Heading2"/>
      </w:pPr>
      <w:r>
        <w:rPr>
          <w:color w:val="000000"/>
        </w:rPr>
        <w:t>Материалы и границы работы</w:t>
      </w:r>
    </w:p>
    <w:p>
      <w:pPr>
        <w:widowControl/>
      </w:pPr>
      <w:r>
        <w:t>Архитектура опирается на уроки 001.InsideACOM: B имеет делегирующий и неделегирующий unknown; D включает X-компонент; E агрегирует B. Для согласованного API с дробными аргументами введены собственные double-интерфейсы с новыми IID. Бинарная совместимость с целочисленными интерфейсами примеров не заявляется.</w:t>
      </w:r>
    </w:p>
    <w:p>
      <w:pPr>
        <w:widowControl/>
      </w:pPr>
      <w:r>
        <w:t>Существующая функциональность Lab1 сохранена: пять типов polyfit, нормальные уравнения/Гаусс и QR/Givens, FitVector и IEcoPolynomial. Основная проверенная платформа — macOS arm64 с официальным Eco Framework. Исходники Framework не изменялись.</w:t>
      </w:r>
    </w:p>
    <w:p>
      <w:r>
        <w:br w:type="page"/>
      </w:r>
    </w:p>
    <w:p>
      <w:pPr>
        <w:pStyle w:val="Heading1"/>
      </w:pPr>
      <w:r>
        <w:rPr>
          <w:color w:val="000000"/>
        </w:rPr>
        <w:t>2 Компонентная архитектура</w:t>
      </w:r>
    </w:p>
    <w:p>
      <w:pPr>
        <w:widowControl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52000" cy="4973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497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Рисунок 1. Реальная схема создания и владения компонентами</w:t>
      </w:r>
    </w:p>
    <w:p>
      <w:pPr>
        <w:widowControl/>
      </w:pPr>
      <w:r>
        <w:t>На схеме B₁ и B₂ — разные экземпляры одной фабрики. D владеет обычной ссылкой B₁, а E владеет приватным неделегирующим unknown B₂. Все компоненты создаются через IEcoInterfaceBus1::QueryComponent по соответствующему CID.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9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24577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Операция через внешний Lab2</w:t>
            </w:r>
          </w:p>
        </w:tc>
        <w:tc>
          <w:tcPr>
            <w:tcW w:type="dxa" w:w="56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24577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Путь вызова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Addition</w:t>
            </w:r>
          </w:p>
        </w:tc>
        <w:tc>
          <w:tcPr>
            <w:tcW w:type="dxa" w:w="56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Lab2.X → Lab1.X → C.X → A.X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Subtraction</w:t>
            </w:r>
          </w:p>
        </w:tc>
        <w:tc>
          <w:tcPr>
            <w:tcW w:type="dxa" w:w="56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Lab2.X → Lab1.X → C.X → D.X → B₁.X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Multiplication / Division / TryDivision</w:t>
            </w:r>
          </w:p>
        </w:tc>
        <w:tc>
          <w:tcPr>
            <w:tcW w:type="dxa" w:w="56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Lab2.Y → включённый E.Y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CalculatorX самостоятельного E</w:t>
            </w:r>
          </w:p>
        </w:tc>
        <w:tc>
          <w:tcPr>
            <w:tcW w:type="dxa" w:w="56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E.QueryInterface(X) → агрегированный B₂.X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t>Фасад Lab2.Y сохраняет identity Lab2 и вызывает включённый E. Внутренние A/D/C/E не выдаются клиенту как независимые identity внешнего объекта. Они остаются закрытыми деталями композиции.</w:t>
      </w:r>
    </w:p>
    <w:p>
      <w:r>
        <w:br w:type="page"/>
      </w:r>
    </w:p>
    <w:p>
      <w:pPr>
        <w:pStyle w:val="Heading1"/>
      </w:pPr>
      <w:r>
        <w:rPr>
          <w:color w:val="000000"/>
        </w:rPr>
        <w:t>3 Публичные интерфейсы и идентификаторы</w:t>
      </w:r>
    </w:p>
    <w:p>
      <w:pPr>
        <w:widowControl/>
      </w:pPr>
      <w:r>
        <w:t>Методы CalculatorX/Y возвращают числовой результат напрямую. TryDivision возвращает int16_t и записывает результат через double*. IEcoLab1 и IEcoLab2 служат корневыми интерфейсами; их функциональные интерфейсы запрашиваются через QueryInterface.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24577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Интерфейс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24577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Методы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24577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Последний байт IID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IEcoCalculatorX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Addition, Subtraction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IEcoCalculatorY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Multiplication, Division, TryDivision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51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IEcoLab1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QueryInterface, AddRef, Release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52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IEcoLab2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QueryInterface, AddRef, Release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53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t>Общий префикс IID: D3B3E2F1-8D21-4A6B-9A40-4400000000. В конце добавляются две hex-цифры из таблицы. CID компонентов приведены полностью: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24577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731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24577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CID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Eco.Lab1 normal</w:t>
            </w:r>
          </w:p>
        </w:tc>
        <w:tc>
          <w:tcPr>
            <w:tcW w:type="dxa" w:w="731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D3B3E2F1-8D21-4A6B-9A40-440000000045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Eco.Lab1 QR</w:t>
            </w:r>
          </w:p>
        </w:tc>
        <w:tc>
          <w:tcPr>
            <w:tcW w:type="dxa" w:w="731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D3B3E2F1-8D21-4A6B-9A40-440000000046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A</w:t>
            </w:r>
          </w:p>
        </w:tc>
        <w:tc>
          <w:tcPr>
            <w:tcW w:type="dxa" w:w="731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D3B3E2F1-8D21-4A6B-9A40-440000000060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B</w:t>
            </w:r>
          </w:p>
        </w:tc>
        <w:tc>
          <w:tcPr>
            <w:tcW w:type="dxa" w:w="731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D3B3E2F1-8D21-4A6B-9A40-440000000061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C</w:t>
            </w:r>
          </w:p>
        </w:tc>
        <w:tc>
          <w:tcPr>
            <w:tcW w:type="dxa" w:w="731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D3B3E2F1-8D21-4A6B-9A40-440000000062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D</w:t>
            </w:r>
          </w:p>
        </w:tc>
        <w:tc>
          <w:tcPr>
            <w:tcW w:type="dxa" w:w="731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D3B3E2F1-8D21-4A6B-9A40-440000000063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E</w:t>
            </w:r>
          </w:p>
        </w:tc>
        <w:tc>
          <w:tcPr>
            <w:tcW w:type="dxa" w:w="731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D3B3E2F1-8D21-4A6B-9A40-440000000064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Eco.Lab2</w:t>
            </w:r>
          </w:p>
        </w:tc>
        <w:tc>
          <w:tcPr>
            <w:tcW w:type="dxa" w:w="731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8"/>
              </w:rPr>
              <w:t>D3B3E2F1-8D21-4A6B-9A40-440000000065</w:t>
            </w:r>
          </w:p>
        </w:tc>
      </w:tr>
    </w:tbl>
    <w:p>
      <w:pPr>
        <w:widowControl/>
        <w:spacing w:after="40"/>
      </w:pPr>
    </w:p>
    <w:p>
      <w:pPr>
        <w:pStyle w:val="Heading2"/>
      </w:pPr>
      <w:r>
        <w:rPr>
          <w:color w:val="000000"/>
        </w:rPr>
        <w:t>Ошибки и ограничения контракта</w:t>
      </w:r>
    </w:p>
    <w:p>
      <w:pPr>
        <w:widowControl/>
      </w:pPr>
      <w:r>
        <w:t>QueryInterface очищает выход до проверки me/riid, поддерживает IEcoUnknown и отвергает неизвестный IID. Для агрегированного создания outer допускается только с IID_IEcoUnknown. TryDivision сообщает об ошибке при b = 0 и обнуляет выход. Division при недопустимом вызове возвращает 0; статус ошибки следует получать через TryDivision.</w:t>
      </w:r>
      <w:r>
        <w:t xml:space="preserve"> Если целочисленный вход нельзя точно преобразовать во внутренний long double, polyfit возвращает ERR__POLYFIT_PRECISION (1005) с нулевыми коэффициентами.</w:t>
      </w:r>
    </w:p>
    <w:p>
      <w:pPr>
        <w:widowControl/>
      </w:pPr>
      <w:r>
        <w:t>Заголовки и IDL находятся в SharedFiles. Контракт IDL обновлён; генерация межпроцессного маршалинга в данную лабораторную работу не входит. Численный и компонентный код компилируется как C89 без стандартных заголовков/прямых вызовов libc.</w:t>
      </w:r>
      <w:r>
        <w:t xml:space="preserve"> На macOS arm64 long double имеет точность double; некоторые 64-битные long отклоняются этой проверкой. Полный диапазон long без потери точности здесь не заявляется.</w:t>
      </w:r>
    </w:p>
    <w:p>
      <w:r>
        <w:br w:type="page"/>
      </w:r>
    </w:p>
    <w:p>
      <w:pPr>
        <w:pStyle w:val="Heading1"/>
      </w:pPr>
      <w:r>
        <w:rPr>
          <w:color w:val="000000"/>
        </w:rPr>
        <w:t>4 Включение и управление агрегатом</w:t>
      </w:r>
    </w:p>
    <w:p>
      <w:pPr>
        <w:widowControl/>
      </w:pPr>
      <w:r>
        <w:t>При включении внешний объект владеет обычным дочерним интерфейсом и вызывает его Release при уничтожении. Публичный фасад внешнего объекта перенаправляет операции, сохраняя собственную identity. Дочерний объект сохраняет независимый IEcoUnknown.</w:t>
      </w:r>
    </w:p>
    <w:p>
      <w:pPr>
        <w:widowControl/>
      </w:pPr>
      <w:r>
        <w:t>При агрегировании нужны два уровня unknown: публичный делегирует управляющему unknown владельца, приватный неделегирующий управляет внутренним временем жизни. Возврат совпадающего публичного unknown сам по себе недостаточен: требуется корректное освобождение через приватную ссылку.</w:t>
      </w:r>
    </w:p>
    <w:p>
      <w:pPr>
        <w:widowControl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4147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lifet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14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t>Рисунок 2. Разделение публичных ссылок и приватного времени жизни</w:t>
      </w:r>
    </w:p>
    <w:p>
      <w:pPr>
        <w:widowControl/>
      </w:pPr>
      <w:r>
        <w:t>Lab2 создаёт Lab1 с outer = Lab2 и IID_IEcoUnknown. Полученную приватную ссылку хранит до разрушения. Когда клиент получает Lab1, X/Y или PolynomialMath, AddRef увеличивает внешний счётчик. Эти интерфейсы остаются рабочими после освобождения отдельной корневой ссылки клиента.</w:t>
      </w:r>
    </w:p>
    <w:p>
      <w:pPr>
        <w:widowControl/>
      </w:pPr>
      <w:r>
        <w:t>Последний внешний Release сначала освобождает private unknown Lab1 и включённый E, затем system и allocator. E аналогично освобождает private unknown своего B. Внешний код не приводит интерфейсы к структурам чужих компонентов и не вызывает их конкретные destroy-функции.</w:t>
      </w:r>
    </w:p>
    <w:p>
      <w:r>
        <w:br w:type="page"/>
      </w:r>
    </w:p>
    <w:p>
      <w:pPr>
        <w:pStyle w:val="Heading1"/>
      </w:pPr>
      <w:r>
        <w:rPr>
          <w:color w:val="000000"/>
        </w:rPr>
        <w:t>5 Методика тестирования и результаты</w:t>
      </w:r>
    </w:p>
    <w:p>
      <w:pPr>
        <w:widowControl/>
      </w:pPr>
      <w:r>
        <w:t>Host-тест использует явно обозначенный тестовый allocator для локального численного и контрактного контроля. Eco-тест работает с настоящим Framework и шиной: фабрики и QueryInterface не подменяются. Тестовый наблюдатель allocator считает реальные выделения компонента и позволяет отказать на конкретном Alloc.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51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24577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Проверка</w:t>
            </w:r>
          </w:p>
        </w:tc>
        <w:tc>
          <w:tcPr>
            <w:tcW w:type="dxa" w:w="612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24577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Наблюдаемый результат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Host UnitTest</w:t>
            </w:r>
          </w:p>
        </w:tc>
        <w:tc>
          <w:tcPr>
            <w:tcW w:type="dxa" w:w="612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183 проверок, ошибок 0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Eco integration</w:t>
            </w:r>
          </w:p>
        </w:tc>
        <w:tc>
          <w:tcPr>
            <w:tcW w:type="dxa" w:w="612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977 проверки, ошибок 0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Баланс памяти Eco</w:t>
            </w:r>
          </w:p>
        </w:tc>
        <w:tc>
          <w:tcPr>
            <w:tcW w:type="dxa" w:w="612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Выделено 345; освобождено 345; живых блоков 0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Dynamic Debug</w:t>
            </w:r>
          </w:p>
        </w:tc>
        <w:tc>
          <w:tcPr>
            <w:tcW w:type="dxa" w:w="612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44 проверки, ошибок 0; загружены все 8 CID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Dynamic Release</w:t>
            </w:r>
          </w:p>
        </w:tc>
        <w:tc>
          <w:tcPr>
            <w:tcW w:type="dxa" w:w="612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44 проверки, ошибок 0; загружены все 8 CID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Пустой Dynamic runtime</w:t>
            </w:r>
          </w:p>
        </w:tc>
        <w:tc>
          <w:tcPr>
            <w:tcW w:type="dxa" w:w="612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Отдельный процесс завершился с ненулевым кодом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C89 / отсутствие libc / ASan и UBSan</w:t>
            </w:r>
          </w:p>
        </w:tc>
        <w:tc>
          <w:tcPr>
            <w:tcW w:type="dxa" w:w="6123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sz w:val="19"/>
              </w:rPr>
              <w:t>Контрольные команды завершились успешно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t>Счётчик обозначает проверенные условия, а не независимые тестовые сценарии или процент покрытия. Число проверок отказов может зависеть от внутреннего количества выделений Framework. Отдельный контракт обязательных сценариев контролирует их выполнение.</w:t>
      </w:r>
    </w:p>
    <w:p>
      <w:pPr>
        <w:pStyle w:val="Heading2"/>
      </w:pPr>
      <w:r>
        <w:rPr>
          <w:color w:val="000000"/>
        </w:rPr>
        <w:t>Состав интеграционных сценариев</w:t>
      </w:r>
    </w:p>
    <w:p>
      <w:pPr>
        <w:pStyle w:val="ListBullet"/>
        <w:widowControl/>
      </w:pPr>
      <w:r>
        <w:t>Восемь CID: матрицы QI, self-query, unknown, переходы в обе стороны, неизвестный IID и единая identity; отдельно C.X/C.Y и Lab2→Lab1→Lab2.</w:t>
      </w:r>
    </w:p>
    <w:p>
      <w:pPr>
        <w:pStyle w:val="ListBullet"/>
        <w:widowControl/>
      </w:pPr>
      <w:r>
        <w:t>Восемь фабрик и восемь групп отказов allocator; для каждого ошибочного создания проверяются выходы, возврат счётчиков ссылок и живых блоков к исходному уровню.</w:t>
      </w:r>
    </w:p>
    <w:p>
      <w:pPr>
        <w:pStyle w:val="ListBullet"/>
        <w:widowControl/>
      </w:pPr>
      <w:r>
        <w:t>Шесть сценариев отсутствующих зависимостей, два сценария сохранения интерфейса после Release корня и три численных пути: normal, QR, facade Lab2.</w:t>
      </w:r>
    </w:p>
    <w:p>
      <w:pPr>
        <w:pStyle w:val="ListBullet"/>
        <w:widowControl/>
      </w:pPr>
      <w:r>
        <w:t>Положительные, отрицательные, дробные и нулевые аргументы; NULL, деление на ноль; обе реализации polyfit и объект результата.</w:t>
      </w:r>
    </w:p>
    <w:p>
      <w:pPr>
        <w:widowControl/>
      </w:pPr>
      <w:r>
        <w:t>AddressSanitizer и UndefinedBehaviorSanitizer запускаются для Host и реального Eco-клиента. LeakSanitizer на Darwin недоступен; поэтому отсутствие оставшихся блоков дополнительно подтверждается явным балансом allocator.</w:t>
      </w:r>
    </w:p>
    <w:p>
      <w:r>
        <w:br w:type="page"/>
      </w:r>
    </w:p>
    <w:p>
      <w:pPr>
        <w:pStyle w:val="Heading1"/>
      </w:pPr>
      <w:r>
        <w:rPr>
          <w:color w:val="000000"/>
        </w:rPr>
        <w:t>6 Сборка и настоящий Dynamic runtime</w:t>
      </w:r>
    </w:p>
    <w:p>
      <w:pPr>
        <w:widowControl/>
      </w:pPr>
      <w:r>
        <w:t>Окружение: macOS arm64, Xcode и официальный Eco.Framework из /Users/danial2006/Downloads/Eco.Framework. Команды запускаются из корня проекта. Сначала задаётся переменная окружения:</w:t>
      </w:r>
    </w:p>
    <w:p>
      <w:pPr>
        <w:keepLines/>
        <w:widowControl/>
        <w:spacing w:after="160" w:line="252" w:lineRule="auto"/>
        <w:shd w:fill="F2F5F7"/>
      </w:pPr>
      <w:r>
        <w:rPr>
          <w:rFonts w:ascii="Courier New" w:hAnsi="Courier New"/>
          <w:sz w:val="17"/>
        </w:rPr>
        <w:t>export ECO_FRAMEWORK="/Users/danial2006/Downloads/Eco.Framework"</w:t>
        <w:br/>
        <w:t>make ECO_FRAMEWORK="$ECO_FRAMEWORK" check</w:t>
        <w:br/>
        <w:t>make ECO_FRAMEWORK="$ECO_FRAMEWORK" eco-test</w:t>
      </w:r>
    </w:p>
    <w:p>
      <w:pPr>
        <w:widowControl/>
      </w:pPr>
      <w:r>
        <w:t>Static-компонент и консольный UnitTest собраны в Debug и Release. Сборка клиента отдельно от его запуска; выполненные клиентские процессы дали результат из таблицы проверок.</w:t>
      </w:r>
    </w:p>
    <w:p>
      <w:pPr>
        <w:keepLines/>
        <w:widowControl/>
        <w:spacing w:after="160" w:line="252" w:lineRule="auto"/>
        <w:shd w:fill="F2F5F7"/>
      </w:pPr>
      <w:r>
        <w:rPr>
          <w:rFonts w:ascii="Courier New" w:hAnsi="Courier New"/>
          <w:sz w:val="17"/>
        </w:rPr>
        <w:t>for configuration in Debug Release; do</w:t>
        <w:br/>
        <w:t xml:space="preserve">  xcodebuild -project AssemblyFiles/Mac/Xcode_v123/EcoLab1.xcodeproj \</w:t>
        <w:br/>
        <w:t xml:space="preserve">    -scheme Static -configuration "$configuration" -jobs 1 \</w:t>
        <w:br/>
        <w:t xml:space="preserve">    -derivedDataPath "BuildFiles/XcodeComponentStatic$configuration" \</w:t>
        <w:br/>
        <w:t xml:space="preserve">    ECO_FRAMEWORK="$ECO_FRAMEWORK" CODE_SIGNING_ALLOWED=NO build</w:t>
        <w:br/>
        <w:t xml:space="preserve">  xcodebuild -project AssemblyFiles/Mac/Xcode_v123/EcoLab1UnitTest.xcodeproj \</w:t>
        <w:br/>
        <w:t xml:space="preserve">    -scheme Static -configuration "$configuration" -jobs 1 \</w:t>
        <w:br/>
        <w:t xml:space="preserve">    -derivedDataPath "BuildFiles/XcodeUnit$configuration" \</w:t>
        <w:br/>
        <w:t xml:space="preserve">    ECO_FRAMEWORK="$ECO_FRAMEWORK" CODE_SIGNING_ALLOWED=NO build</w:t>
        <w:br/>
        <w:t>done</w:t>
      </w:r>
    </w:p>
    <w:p>
      <w:pPr>
        <w:pStyle w:val="Heading2"/>
      </w:pPr>
      <w:r>
        <w:rPr>
          <w:color w:val="000000"/>
        </w:rPr>
        <w:t>Восемь отдельных динамических фабрик</w:t>
      </w:r>
    </w:p>
    <w:p>
      <w:pPr>
        <w:keepLines/>
        <w:widowControl/>
        <w:spacing w:after="160" w:line="252" w:lineRule="auto"/>
        <w:shd w:fill="F2F5F7"/>
      </w:pPr>
      <w:r>
        <w:rPr>
          <w:rFonts w:ascii="Courier New" w:hAnsi="Courier New"/>
          <w:sz w:val="17"/>
        </w:rPr>
        <w:t>ECO_FRAMEWORK="$ECO_FRAMEWORK" CONFIGURATION=Release \</w:t>
        <w:br/>
        <w:t xml:space="preserve">  DesignFiles/Report/build_dynamic_runtime_macos.sh</w:t>
        <w:br/>
        <w:t>ECO_FRAMEWORK="$ECO_FRAMEWORK" CONFIGURATION=Debug \</w:t>
        <w:br/>
        <w:t xml:space="preserve">  DesignFiles/Report/build_dynamic_runtime_macos.sh</w:t>
      </w:r>
    </w:p>
    <w:p>
      <w:pPr>
        <w:widowControl/>
      </w:pPr>
      <w:r>
        <w:t>Скрипт собирает восемь dylib, названных реальными CID без дефисов. Селекторы фабрики: normal, POLYFIT_QR_ONLY, ECO_CALCULATOR_KIND=0..4 и ECO_LAB2_ONLY. Отдельный runtime-клиент линкует только официальные system/bus/memory/filesystem-библиотеки, без лабораторных исходников или статической лабораторной библиотеки.</w:t>
      </w:r>
    </w:p>
    <w:p>
      <w:pPr>
        <w:widowControl/>
      </w:pPr>
      <w:r>
        <w:t>Клиент вызывает QueryComponent, а официальный загрузчик ищет файлы в ECO_FRAMEWORK_RT. Статическая регистрация лабораторных фабрик отсутствует. DYLD_PRINT_LIBRARIES подтверждает загрузку всех восьми файлов. В свежем процессе с пустым runtime тест завершается ошибкой. Для каждой dylib проверены nm -u и otool -L.</w:t>
      </w:r>
    </w:p>
    <w:p>
      <w:pPr>
        <w:widowControl/>
      </w:pPr>
      <w:r>
        <w:t>Артефакты: BuildFiles/DynamicRuntime/{Debug,Release}. Полные логи Xcode, загрузчика, зависимостей и запуска: BuildFiles/DynamicRuntimeLogs/{Debug,Release}. Каждый CID использует отдельный derivedDataPath.</w:t>
      </w:r>
    </w:p>
    <w:p>
      <w:r>
        <w:br w:type="page"/>
      </w:r>
    </w:p>
    <w:p>
      <w:pPr>
        <w:pStyle w:val="Heading1"/>
      </w:pPr>
      <w:r>
        <w:rPr>
          <w:color w:val="000000"/>
        </w:rPr>
        <w:t>7 Анализ результатов и ограничения</w:t>
      </w:r>
    </w:p>
    <w:p>
      <w:pPr>
        <w:widowControl/>
      </w:pPr>
      <w:r>
        <w:t>Матрицы интерфейсов проверяют свойство транзитивности QueryInterface и общую identity. Баланс 345/345 при живых блоках 0 подтверждает освобождение отслеживаемых выделений данного прогона, включая детерминированные отказы. Это сильнее проверки только нормального разрушения, но не является доказательством отсутствия всех возможных дефектов.</w:t>
      </w:r>
    </w:p>
    <w:p>
      <w:pPr>
        <w:widowControl/>
      </w:pPr>
      <w:r>
        <w:t>Dynamic-клиент подтверждает дополнительный сценарий: реальные библиотеки загружаются официальной шиной без статических лабораторных фабрик. Пустой runtime служит отрицательным контролем — клиент не способен выдать успешный результат без файлов компонентов.</w:t>
      </w:r>
    </w:p>
    <w:p>
      <w:pPr>
        <w:pStyle w:val="Heading2"/>
      </w:pPr>
      <w:r>
        <w:rPr>
          <w:color w:val="000000"/>
        </w:rPr>
        <w:t>Независимое сравнение полиномиальной аппроксимации</w:t>
      </w:r>
    </w:p>
    <w:p>
      <w:pPr>
        <w:widowControl/>
      </w:pPr>
      <w:r>
        <w:t>Регрессионные результаты Lab1 сверены с SciPy 1.15.3 (scipy.linalg.lstsq), NumPy 2.1.3 (numpy.linalg.lstsq) и фактическим запуском MATLAB R2026b. Используются девять наборов данных для двух алгоритмов; SciPy и NumPy дают 36 сравнений массивов коэффициентов. MATLAB отдельно проверяет 18 результатов компонента. Сохранённые JSON, вывод и сравнения находятся в DesignFiles/Reference.</w:t>
      </w:r>
    </w:p>
    <w:p>
      <w:pPr>
        <w:widowControl/>
      </w:pPr>
      <w:r>
        <w:t>Сравниваются все коэффициенты с заранее заданными абсолютным и относительным допусками для каждого набора. Общий протокол обусловливания входной задачи записан в reference_cases.py; независимые библиотеки решают подготовленную задачу МНК. Наборы включают точные полиномы, шумную линейную зависимость, постоянную функцию и крайние масштабы. Эти эталоны проверяют численную часть и дополняют контрактные тесты ACOM.</w:t>
      </w:r>
    </w:p>
    <w:p>
      <w:pPr>
        <w:pStyle w:val="Heading2"/>
      </w:pPr>
      <w:r>
        <w:rPr>
          <w:color w:val="000000"/>
        </w:rPr>
        <w:t>Ограничения платформы и проверки</w:t>
      </w:r>
    </w:p>
    <w:p>
      <w:pPr>
        <w:pStyle w:val="ListBullet"/>
        <w:widowControl/>
      </w:pPr>
      <w:r>
        <w:t>Windows/Linux/EcoOS: списки исходников исправлены, но сборки этих платформ не заявляются выполненными. Без официального ECO_TOOLCHAIN матрица возвращает SKIPPED.</w:t>
      </w:r>
    </w:p>
    <w:p>
      <w:pPr>
        <w:pStyle w:val="ListBullet"/>
        <w:widowControl/>
      </w:pPr>
      <w:r>
        <w:t>Официальной Eco.StdIO.C89 arm64 в архиве нет. Консольные клиенты используют stdio; компонент остаётся без прямых вызовов libc. macOS добавляет платформенную libSystem; собственные обращения контролируются nm -u.</w:t>
      </w:r>
    </w:p>
    <w:p>
      <w:pPr>
        <w:pStyle w:val="ListBullet"/>
        <w:widowControl/>
      </w:pPr>
      <w:r>
        <w:t>В поставленной шине учтён порядок снятия регистрации: компоненты снимаются в обратном порядке, после начала снятия новые запросы не выполняются. Framework не исправляется локально.</w:t>
      </w:r>
    </w:p>
    <w:p>
      <w:pPr>
        <w:pStyle w:val="Heading2"/>
      </w:pPr>
      <w:r>
        <w:rPr>
          <w:color w:val="000000"/>
        </w:rPr>
        <w:t>Вывод</w:t>
      </w:r>
    </w:p>
    <w:p>
      <w:pPr>
        <w:widowControl/>
      </w:pPr>
      <w:r>
        <w:t>Реализованы включение A–E в реальный граф вызовов, агрегирование B и внешнее агрегирование Eco.Lab1. Публичные интерфейсы получают через QueryInterface, а частное время жизни агрегатов управляется через неделегирующий unknown. Функциональность polyfit сохранена и прошла регрессионное и независимое сравнение. Условия максимального варианта подтверждены описанными сценариями на macOS arm64; окончательную оценку выставляет преподаватель.</w:t>
      </w:r>
    </w:p>
    <w:p>
      <w:pPr>
        <w:pStyle w:val="Caption"/>
        <w:widowControl/>
      </w:pPr>
      <w:r>
        <w:t>Источники: Задание_2.pdf, стр. 1–4; Eco.Education / 001.InsideACOM, Lesson03 (B), Lesson06 (D), Lesson07 (E); официальные заголовки IEcoUnknown, IEcoComponentFactory, IEcoInterfaceBus1, IEcoMemoryAllocator1. Репозиторий материалов: https://github.com/peerf-eco/Eco.Education. Системный промпт хранится отдельно в DesignFiles/Prompt и в отчёт не включён.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000000"/>
        <w:sz w:val="16"/>
      </w:rPr>
      <w:t>ACOM  •  Лабораторная работа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2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9" w:lineRule="auto"/>
    </w:pPr>
    <w:rPr>
      <w:rFonts w:ascii="Arial" w:hAnsi="Arial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69" w:lineRule="auto" w:after="160"/>
    </w:pPr>
    <w:rPr>
      <w:rFonts w:ascii="Arial" w:hAnsi="Arial"/>
      <w:b/>
      <w:bCs/>
      <w:color w:val="4D596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