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7B4A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КЫРГЫЗСКИЙ НАЦИОНАЛЬНЫЙ УНИВЕРСИТЕТ</w:t>
      </w:r>
    </w:p>
    <w:p w14:paraId="22969C94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КЫРГЫЗСКО-ЕВРОПЕЙСКИЙ ФАКУЛЬТЕТ</w:t>
      </w:r>
    </w:p>
    <w:p w14:paraId="07019350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ЭКОНОМИКА И УПРАВЛЕНИЕ</w:t>
      </w:r>
    </w:p>
    <w:p w14:paraId="627D2AB8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6DCB9B2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CCCCE3D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810B548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4074AB3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46C969B4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7E8EC77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DC47568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4D9115C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467BFCEB" w14:textId="6C057FC9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РЕФЕРАТ НА ТЕМУ: “</w:t>
      </w:r>
      <w:r w:rsidR="002B5832">
        <w:rPr>
          <w:rFonts w:ascii="Times New Roman" w:hAnsi="Times New Roman" w:cs="Times New Roman"/>
          <w:sz w:val="32"/>
          <w:szCs w:val="32"/>
          <w:lang w:val="ru-RU"/>
        </w:rPr>
        <w:t>Анализ динамики и структуры государственного бюджета Кыргызской республики</w:t>
      </w:r>
      <w:r w:rsidRPr="0034199C">
        <w:rPr>
          <w:rFonts w:ascii="Times New Roman" w:hAnsi="Times New Roman" w:cs="Times New Roman"/>
          <w:sz w:val="32"/>
          <w:szCs w:val="32"/>
          <w:lang w:val="ru-RU"/>
        </w:rPr>
        <w:t xml:space="preserve"> ”</w:t>
      </w:r>
    </w:p>
    <w:p w14:paraId="1DA29F03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2BAEF30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876C7A6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5FD60286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02BA9A5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617E60D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DE142A9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5C7213E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35304D1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2EC8FBC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852CF8E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BF12D2A" w14:textId="77777777" w:rsidR="00652A72" w:rsidRPr="0034199C" w:rsidRDefault="00652A72" w:rsidP="00652A72">
      <w:pPr>
        <w:jc w:val="right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Выполнил</w:t>
      </w:r>
      <w:r w:rsidRPr="00652A72"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 w:rsidRPr="0034199C">
        <w:rPr>
          <w:rFonts w:ascii="Times New Roman" w:hAnsi="Times New Roman" w:cs="Times New Roman"/>
          <w:sz w:val="32"/>
          <w:szCs w:val="32"/>
          <w:lang w:val="ru-RU"/>
        </w:rPr>
        <w:t>Казаков Данияр ЭУ 15-19</w:t>
      </w:r>
    </w:p>
    <w:p w14:paraId="2E5E6F0A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7D690BF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D7BDF7A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14394156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38C3703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652765D3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337A33AF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21D86DB" w14:textId="77777777" w:rsidR="00652A72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71CB67EE" w14:textId="77777777" w:rsidR="00652A72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235F16B7" w14:textId="77777777" w:rsidR="00652A72" w:rsidRPr="0034199C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14:paraId="0E747231" w14:textId="79643DDB" w:rsidR="00E9019F" w:rsidRPr="00652A72" w:rsidRDefault="00652A72" w:rsidP="00652A7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4199C">
        <w:rPr>
          <w:rFonts w:ascii="Times New Roman" w:hAnsi="Times New Roman" w:cs="Times New Roman"/>
          <w:sz w:val="32"/>
          <w:szCs w:val="32"/>
          <w:lang w:val="ru-RU"/>
        </w:rPr>
        <w:t>Бишкек 2022</w:t>
      </w:r>
    </w:p>
    <w:p w14:paraId="7F3D1545" w14:textId="6565FA24" w:rsidR="003322A9" w:rsidRPr="00E9019F" w:rsidRDefault="003322A9">
      <w:pPr>
        <w:rPr>
          <w:rFonts w:ascii="Times New Roman" w:hAnsi="Times New Roman" w:cs="Times New Roman"/>
          <w:sz w:val="28"/>
          <w:szCs w:val="28"/>
        </w:rPr>
      </w:pPr>
    </w:p>
    <w:p w14:paraId="143A1D82" w14:textId="1FC29E56" w:rsidR="003322A9" w:rsidRPr="00E9019F" w:rsidRDefault="003322A9" w:rsidP="003322A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9019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Анализ доходов и расходов </w:t>
      </w:r>
      <w:r w:rsidR="00DA7BBC" w:rsidRPr="00E90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государственного бюджета Кыргызской республики</w:t>
      </w:r>
    </w:p>
    <w:p w14:paraId="084112AD" w14:textId="43762AA0" w:rsidR="00DA7BBC" w:rsidRPr="00E9019F" w:rsidRDefault="00DA7BBC" w:rsidP="00DA7BBC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A6FF6E7" w14:textId="6232792E" w:rsidR="00DA7BBC" w:rsidRPr="00E9019F" w:rsidRDefault="00DA7BBC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</w:pPr>
      <w:r w:rsidRPr="00DA7BB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Классификация структуры доходов бюджетов разных уровней бюджетов КР</w:t>
      </w:r>
      <w:r w:rsidRPr="00E9019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:</w:t>
      </w:r>
    </w:p>
    <w:p w14:paraId="455FB3C6" w14:textId="532DC1F2" w:rsidR="00DA7BBC" w:rsidRPr="00E9019F" w:rsidRDefault="00DA7BBC" w:rsidP="00DA7BBC">
      <w:pPr>
        <w:spacing w:before="100" w:beforeAutospacing="1" w:after="100" w:afterAutospacing="1"/>
        <w:outlineLvl w:val="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901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БЮДЖЕТНАЯ КЛАССИФИКАЦИЯ – важнейшая составляющая бюджетного устройства КР – группировка доходов и расходов бюджетов всех уровней бюджетной системы, источников финансирования дефицитов этих бюджетов, используемая для составления и использования бюджетов и обеспечивающая сопоставимость показателей всех уровней бюджетной системы. В состав бюджетной классификации входят: 1) классификация доходов бюджетов – группировка доходов бюджетов по всем уровням бюджетной системы в соответствии с источниками их формирования, установленными соответствующими законодательными. актами; 2) функциональная классификация расходов бюджетов – группировка расходов бюджетов всех уровней, отражающая направление бюджетных средств на выполнение основных функций. Первый уровень этой классификации составляют разделы, отражающие выполнение государством его важнейших функций; второй – подразделы, конкретизирующие направление бюджетных средств на выполнение функций государства в рамках соответствующих разделов; третий – классификация целевых статей расходов федерального бюджета (финансирование расходов по основным направлениям деятельности главных распорядителей средств федерального бюджета); четвертый – виды расходов федерального бюджета (детализация направлений финансирования по целевым статьям); 3) экономическая классификация – группировка расходов бюджетов всех уровней бюджетной системы по их экономическому содержанию (текущие расходы, капитальные расходы, капитальные вложения в основные фонды; создание государственных запасов и резервов; предоставление кредитов и бюджетных ссуд за вычетом погашения и др.); 4) классификация источников финансирования дефицитов бюджетов – группировка заемных средств, привлекаемых для покрытия дефицитов соответствующих бюджетов, включая как внутренние, так и внешние источники; 5) ведомственная классификация расходов федерального бюджета – группировка расходов, отражающая распределение бюджетных ассигнований по главным распорядителям (прямым получателям) средств из федерального бюджета, а в рамках их бюджетов – по целевым статьям и видам бюджетов. Классификация целевых статей расходов бюджетов отражает финансирование по конкретным направлениям деятельности прямых получателей средств и соответствующим разделам и подразделам функциональной и </w:t>
      </w:r>
      <w:r w:rsidRPr="00E901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экономической классификациям расходов бюджетов КР; 6) ведомственная классификация расходов бюджетов субъектов Федерации – группировка расходов, отражающая распределение бюджетных ассигнований по прямым получателям бюджетных средств из бюджетов субъектов РФ по соответствующим разделам и подразделам функциональной и экономической классификаций. Ведомственная классификация местных бюджетов утверждается решениями соответствующих органов местного самоуправления. Законодательные (представительные) органы и органы местного самоуправления при утверждении бюджетных классификаций могут вводить дополнительную детализацию объектов бюджетной классификации, не нарушая при этом общие принципы построения и единства бюджетной системы.</w:t>
      </w:r>
    </w:p>
    <w:p w14:paraId="023A661C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Переход от коммунистической, жестко централизованно планируемой системы к рыночным отношениям, прежде всего, предусматривает изменение бюджетной системы и бюджетной политики государства. Это связано с тем, что при разгосударствлении и приватизации государство фактически теряет прямой контроль над деятельностью хозяйствующих субъектов. Связь государства с хозяйствующими субъектами осуществляется косвенно – через бюджетно-налоговую политику. Так, расширяя объем государственных капиталовложений, государство вызывает повышение спроса на оборудование, материалы, рабочую силу, что в свою очередь обычно дает импульс росту промышленного производства, расширению частых инвестиций, оживлению хозяйственной конъюнктуры и т.д., или увеличивая, или уменьшая расходы государства на образование и здравоохранение можно стимулировать социальный прогресс, развивать социальную инфраструктуру, что имеет огромное значение дальнейшего развития общества в целом. Поэтому в условиях рыночной экономики, особенно в переходный период, возрастает значение правильной, глубоко продуманной бюджетной политики.</w:t>
      </w:r>
    </w:p>
    <w:p w14:paraId="156C03FC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 xml:space="preserve">Переход к рыночной системе экономики Кыргызской Республики и других стран СНГ привнесла немало нового в государственные финансы. Изменение экономической системы этих стран сопровождается поисками нового и даже полностью трансформацией системы развитых западных стран в экономику. Все это ведет к новым особенностям в механизме распределения и перераспределения национального дохода, новым формам воздействия государства на процесс воспроизводства, с более или менее широким использованием государственных финансов, и </w:t>
      </w:r>
      <w:r w:rsidRPr="00E9019F">
        <w:rPr>
          <w:color w:val="000000"/>
          <w:sz w:val="28"/>
          <w:szCs w:val="28"/>
        </w:rPr>
        <w:lastRenderedPageBreak/>
        <w:t>подчеркивает роль финансовых проблем как важнейших политических, экономических и социальных.</w:t>
      </w:r>
    </w:p>
    <w:p w14:paraId="6BE19CC9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В государственной системе управления Кыргызской Республики в осуществлении регулирующих мероприятий в области экономики государственный бюджет, прежде всего, республиканский, занимает важнейшее место.</w:t>
      </w:r>
    </w:p>
    <w:p w14:paraId="4948AB61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В связи с приобретением независимости Кыргызская Республика и независимого бюджета вынуждена проводить самостоятельную бюджетную политику, перестраивать бюджетную систему адекватную требованиям рыночной экономики. Бюджет переходного периода призван укрепить рыночную систему, способствовать развитию частного сектора и предпринимательства. Все больше необходимость вмешательства государства в процесс распределения и перераспределения национального дохода, приватизация и разгосударствление всей хозяйственной системы страны повысили значение бюджетов в экономике и политике Кыргызской Республики. Государственный бюджет приобрел следующие новые черты:</w:t>
      </w:r>
    </w:p>
    <w:p w14:paraId="03E3727F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Бюджет становиться одним из важнейших каналов, через который государство может оказывать определенное воздействие на различные сферы хозяйственной деятельности в условиях переходного периода к рыночным отношениям.</w:t>
      </w:r>
    </w:p>
    <w:p w14:paraId="17944FC4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Возрастают масштабы государственного бюджета в связи с ростом доли национального дохода, перераспределяемого через него.</w:t>
      </w:r>
    </w:p>
    <w:p w14:paraId="2FC4CA40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Усиление роли бюджета в экономическом регулировании требовало пересмотра прежней бюджетной системы. Первый закон о бюджете Кыргызской Республики как суверенного государства был принят 30 января 1991 года. Впервые в этом законе государственный бюджет республики подразделяется на автономные республиканский и местные бюджеты. Нижестоящие бюджеты не входят в состав бюджета вышестоящих уровней.</w:t>
      </w:r>
    </w:p>
    <w:p w14:paraId="2B8FCDFF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 xml:space="preserve">Республиканский бюджет обеспечивает централизацию части бюджетных ресурсов общегосударственного характера. Через республиканский бюджет регулируется процесс распределения и перераспределения национального дохода между субъектами и регионами </w:t>
      </w:r>
      <w:r w:rsidRPr="00E9019F">
        <w:rPr>
          <w:color w:val="000000"/>
          <w:sz w:val="28"/>
          <w:szCs w:val="28"/>
        </w:rPr>
        <w:lastRenderedPageBreak/>
        <w:t>республики. А через местные бюджеты обеспечивается финансирование объектов местного самоуправления и администрации.</w:t>
      </w:r>
    </w:p>
    <w:p w14:paraId="46DE73D2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Однако в виду многочисленных недоработок закона «О бюджете» 1991 года 10 января 1994 года принимается новый, более усовершенствованный закон «Об основах бюджетного права в Кыргызской Республике». В этом законе учитываются все изменения и дополнения, вынесенные по другим принятым экономическим законам республики за прошедший период, адекватные требованиям переходного периода.</w:t>
      </w:r>
    </w:p>
    <w:p w14:paraId="5F0E245E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11 июня 1998 года принимается третий по счету новый закон Кыргызской Республики «Об основных принципах бюджетного права в Кыргызской Республике», дополненный некоторыми новыми положениями.</w:t>
      </w:r>
    </w:p>
    <w:p w14:paraId="5488BE94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Бюджетная система Кыргызской Республики в соответствии с новым бюджетным законодательством базируется на следующих основных принципах: единство бюджетной системы; самостоятельность бюджетов; прозрачность и гласность бюджетов.</w:t>
      </w:r>
    </w:p>
    <w:p w14:paraId="1D040FDB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Бюджетная классификация представляет собой определенную группировку расходов и доходов, основанную на однородных признаках. Правильная, научно обоснованная бюджетная классификация позволяет определить цели расходования бюджетных средств, установить задачи курс финансовой политики правительства. В то же время она показывает источники бюджетных ресурсов, степень участия отдельных общественных групп в их формировании.</w:t>
      </w:r>
    </w:p>
    <w:p w14:paraId="1D7630DD" w14:textId="3FE1011A" w:rsidR="00DA7BBC" w:rsidRPr="00E9019F" w:rsidRDefault="00DA7BBC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B0B4198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Итак, Доходы бюджетов – денежные средства, поступающие в безвозмездном и безвозвратном порядке в соответствии с законодательством в распоряжение органов государственной власти соответствующего уровня.</w:t>
      </w:r>
    </w:p>
    <w:p w14:paraId="69E03A16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Согласно действующей бюджетной классификации все доходы бюджетов делятся на следующие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  <w:u w:val="single"/>
        </w:rPr>
        <w:t>виды</w:t>
      </w:r>
      <w:r w:rsidRPr="00E9019F">
        <w:rPr>
          <w:color w:val="000000"/>
          <w:sz w:val="28"/>
          <w:szCs w:val="28"/>
        </w:rPr>
        <w:t>:</w:t>
      </w:r>
    </w:p>
    <w:p w14:paraId="5A213DF9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1.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i/>
          <w:iCs/>
          <w:color w:val="000000"/>
          <w:sz w:val="28"/>
          <w:szCs w:val="28"/>
        </w:rPr>
        <w:t>Налоговые доходы</w:t>
      </w:r>
      <w:r w:rsidRPr="00E9019F">
        <w:rPr>
          <w:color w:val="000000"/>
          <w:sz w:val="28"/>
          <w:szCs w:val="28"/>
        </w:rPr>
        <w:t>, которые включают в себя:</w:t>
      </w:r>
    </w:p>
    <w:p w14:paraId="48536D72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lastRenderedPageBreak/>
        <w:t>– прямые налоги на прибыль, доход, прирост капитала;</w:t>
      </w:r>
    </w:p>
    <w:p w14:paraId="439A8F26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налоги, взимаемые в зависимости от фонда оплаты труда;</w:t>
      </w:r>
    </w:p>
    <w:p w14:paraId="1B726B64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налоги на товары и услуги;</w:t>
      </w:r>
    </w:p>
    <w:p w14:paraId="0F8E92DA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налоги на имущество;</w:t>
      </w:r>
    </w:p>
    <w:p w14:paraId="6BA47F86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платежи за использование природных ресурсов;</w:t>
      </w:r>
    </w:p>
    <w:p w14:paraId="20BD18B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налоги на внешнюю торговлю и внешнеэкономические операции;</w:t>
      </w:r>
    </w:p>
    <w:p w14:paraId="1169E0A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прочие налоги, сборы и пошлины.</w:t>
      </w:r>
    </w:p>
    <w:p w14:paraId="541038B1" w14:textId="77777777" w:rsidR="00DA7BBC" w:rsidRPr="00DA7BBC" w:rsidRDefault="00DA7BBC" w:rsidP="00DA7BBC">
      <w:pPr>
        <w:shd w:val="clear" w:color="auto" w:fill="FFFFFF"/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2. </w:t>
      </w:r>
      <w:r w:rsidRPr="00DA7BB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Неналоговые доходы</w:t>
      </w: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 которым в соответствии со ст. 41 Бюджетного кодекса относятся:</w:t>
      </w:r>
    </w:p>
    <w:p w14:paraId="0D5BB286" w14:textId="77777777" w:rsidR="00DA7BBC" w:rsidRPr="00DA7BBC" w:rsidRDefault="00DA7BBC" w:rsidP="00DA7BBC">
      <w:pPr>
        <w:numPr>
          <w:ilvl w:val="0"/>
          <w:numId w:val="1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доходы от использования имущества, находящегося в государственной и муниципальной собственности;</w:t>
      </w:r>
    </w:p>
    <w:p w14:paraId="11DC7874" w14:textId="77777777" w:rsidR="00DA7BBC" w:rsidRPr="00DA7BBC" w:rsidRDefault="00DA7BBC" w:rsidP="00DA7BBC">
      <w:pPr>
        <w:numPr>
          <w:ilvl w:val="0"/>
          <w:numId w:val="1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доходы от платных услуг, оказываемых бюджетными учреждениями, находящимися в ведении соответственно государственных органов исполнительной власти, органов исполнительной власти субъектов КР органов местного самоуправления;</w:t>
      </w:r>
    </w:p>
    <w:p w14:paraId="5205AF57" w14:textId="77777777" w:rsidR="00DA7BBC" w:rsidRPr="00DA7BBC" w:rsidRDefault="00DA7BBC" w:rsidP="00DA7BBC">
      <w:pPr>
        <w:numPr>
          <w:ilvl w:val="0"/>
          <w:numId w:val="1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средства, полученные в результате применения мер гражданско-правовой, административной, уголовной ответственности, в том числе штрафы, конфискации, компенсации, а также средства, полученные в возмещение вреда, причиненного КР, муниципальным образованьям, и иные суммы принудительного изъятия;</w:t>
      </w:r>
    </w:p>
    <w:p w14:paraId="3F247519" w14:textId="77777777" w:rsidR="00DA7BBC" w:rsidRPr="00DA7BBC" w:rsidRDefault="00DA7BBC" w:rsidP="00DA7BBC">
      <w:pPr>
        <w:numPr>
          <w:ilvl w:val="0"/>
          <w:numId w:val="1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доходы в виде финансовой помощи, полученной от бюджетов других уровней бюджетной системы КР, за исключением бюджетных ссуд и бюджетных кредитов;</w:t>
      </w:r>
    </w:p>
    <w:p w14:paraId="74AD0769" w14:textId="77777777" w:rsidR="00DA7BBC" w:rsidRPr="00DA7BBC" w:rsidRDefault="00DA7BBC" w:rsidP="00DA7BBC">
      <w:pPr>
        <w:numPr>
          <w:ilvl w:val="0"/>
          <w:numId w:val="1"/>
        </w:numPr>
        <w:shd w:val="clear" w:color="auto" w:fill="FFFFFF"/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7B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иные неналоговые доходы (прибыль НацБанка КР, доходы от внешнеэкономической деятельности).</w:t>
      </w:r>
    </w:p>
    <w:p w14:paraId="2D02445A" w14:textId="77777777" w:rsidR="00DA7BBC" w:rsidRPr="00DA7BBC" w:rsidRDefault="00DA7BBC" w:rsidP="00DA7BB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EA51FA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3.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i/>
          <w:iCs/>
          <w:color w:val="000000"/>
          <w:sz w:val="28"/>
          <w:szCs w:val="28"/>
        </w:rPr>
        <w:t>Безвозмездные перечисления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включают следующие поступления:</w:t>
      </w:r>
    </w:p>
    <w:p w14:paraId="6E57AC59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От нерезидентов;</w:t>
      </w:r>
    </w:p>
    <w:p w14:paraId="347BCBF1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lastRenderedPageBreak/>
        <w:t>– От других уровней власти (дотации, субвенции, средства, перечисленные по взаимным расчетам, трансферты, прочие безвозмездные поступления);</w:t>
      </w:r>
    </w:p>
    <w:p w14:paraId="0C4BAEE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От государственных внебюджетных фондов;</w:t>
      </w:r>
    </w:p>
    <w:p w14:paraId="4E8178EF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От государственных предприятий и учреждений;</w:t>
      </w:r>
    </w:p>
    <w:p w14:paraId="58093852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От наднациональных организаций.</w:t>
      </w:r>
    </w:p>
    <w:p w14:paraId="6617FB9B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Основная часть доходного потенциала государственного бюджета на 2008 год формируется за счет налоговых доходов, которые составляют около 81% от общей суммы поступлений в казну. И только 4,91% составили неналоговые доходы. В целом это свидетельствует о крайне неэффективном использовании государственной собственности, поскольку ее доля в общем экономическом потенциале производственной сферы остается достаточно высокой – около 30%, а отдача в виде отчислений от ее использования и сдачи в аренду составляют всего лишь 2,37% от доходов государственного бюджета.</w:t>
      </w:r>
    </w:p>
    <w:p w14:paraId="411C4C4A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В доходах государственного бюджета основные налоговые поступления – это косвенные налоги (налог на добавленную стоимость, акцизы, таможенные пошлины). Доля этих налоговых платежей составляет около 62% от всех налоговых доходов. Это также свидетельствует о недостаточно рациональной структуре доходных источников. Поскольку косвенное налогообложение по существу представляет собой надбавки к цене товара, которые полностью оплачивают конечные потребители, в конечном итоге, чрезмерное косвенное налогообложение сужает внутренний покупательный спрос и соответственно сокращает потенциальные возможности экономического развития страны.</w:t>
      </w:r>
    </w:p>
    <w:p w14:paraId="75A78AB2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Необходимо отметить, что ряд государственных налогов являются регулирующими, т.е. часть из них направляется в бюджеты субъектов КР и местные бюджеты. Полностью в государственный бюджет поступают такие налоги, как, например, налог на добавленную стоимость на товары, вводимые на территорию КР; акцизы на природный газ, легковые автомобили, бензин автомобильный, спирт этиловый из всех видов сырья (за исключением пищевого); налоги па операции с ценными бумагами; таможенные пошлины, сборы и иные таможенные платежи, а также доходы от внешнеэкономической деятельности.</w:t>
      </w:r>
    </w:p>
    <w:p w14:paraId="3780CA5F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lastRenderedPageBreak/>
        <w:t>Республиканский закон о государственном бюджете на каждый год содержит перечень регулирующих и закрепленных государственных налогов и платежей субъектов КР.</w:t>
      </w:r>
    </w:p>
    <w:p w14:paraId="2C1E06F6" w14:textId="77777777" w:rsidR="00DA7BBC" w:rsidRPr="00E9019F" w:rsidRDefault="00DA7BBC" w:rsidP="00DA7BBC">
      <w:pPr>
        <w:pStyle w:val="3"/>
        <w:rPr>
          <w:color w:val="000000"/>
          <w:sz w:val="28"/>
          <w:szCs w:val="28"/>
        </w:rPr>
      </w:pPr>
    </w:p>
    <w:p w14:paraId="14F8DDF4" w14:textId="16FDD10E" w:rsidR="00DA7BBC" w:rsidRPr="00E9019F" w:rsidRDefault="00DA7BBC" w:rsidP="00DA7BBC">
      <w:pPr>
        <w:pStyle w:val="3"/>
        <w:rPr>
          <w:color w:val="000000"/>
          <w:sz w:val="32"/>
          <w:szCs w:val="32"/>
          <w:lang w:val="ru-RU"/>
        </w:rPr>
      </w:pPr>
      <w:r w:rsidRPr="00E9019F">
        <w:rPr>
          <w:color w:val="000000"/>
          <w:sz w:val="32"/>
          <w:szCs w:val="32"/>
        </w:rPr>
        <w:t>Анализ налоговых доходов республиканского бюджета КР</w:t>
      </w:r>
      <w:r w:rsidRPr="00E9019F">
        <w:rPr>
          <w:color w:val="000000"/>
          <w:sz w:val="32"/>
          <w:szCs w:val="32"/>
          <w:lang w:val="ru-RU"/>
        </w:rPr>
        <w:t>:</w:t>
      </w:r>
    </w:p>
    <w:p w14:paraId="01825F7E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За 2008 г. в бюджет фактически поступило 13986,6 млн. сомов налогов и платежей, или 100,7% к плановому заданию При этом при сравнении с прошлым годом номинальный рост доходов составил 117,4%, или поступление налогов и платежей возросло на 2074,6 млн. сомов. В объеме ВВП доходная часть бюджета составила 18,7%, что ниже на 0,2 процентных пункта прошлогоднего показателя.</w:t>
      </w:r>
    </w:p>
    <w:p w14:paraId="01960D9D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b/>
          <w:bCs/>
          <w:color w:val="000000"/>
          <w:sz w:val="28"/>
          <w:szCs w:val="28"/>
        </w:rPr>
        <w:t>Налоговые поступления</w:t>
      </w:r>
      <w:r w:rsidRPr="00E9019F">
        <w:rPr>
          <w:b/>
          <w:bCs/>
          <w:i/>
          <w:iCs/>
          <w:color w:val="000000"/>
          <w:sz w:val="28"/>
          <w:szCs w:val="28"/>
          <w:u w:val="single"/>
        </w:rPr>
        <w:t>.</w:t>
      </w:r>
      <w:r w:rsidRPr="00E9019F">
        <w:rPr>
          <w:rStyle w:val="apple-converted-space"/>
          <w:i/>
          <w:iCs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В 2008 г. удельный вес налоговых поступлений в ВВП по сравнению с 2007 г. увеличился на 0,6 процентных пункта. При этом удельный вес налоговых поступлений в структуре общих доходов с грантами снизился на 0,4 процентных пункта.</w:t>
      </w:r>
    </w:p>
    <w:p w14:paraId="7494F349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Сборы подоходного налога по данным Комитета по доходам за 2008 г. составили 1442,9 млн. сомов, или 102,5% к плану по сравнению с прошлым годом сборы увеличились на 19,4 несмотря на снижение ставок подоходного налога в 2008 г. и установление их в размере 10% и 20%, в отличие от прежней прогрессивной системы ставок (от 5% до 33%), и увеличения размера необлагаемого подоходным налогом минимума с 400 до 650 сомов в месяц. Это объясняется увеличением среднемесячной заработной платы и улучшением администрирования. Доля подоходного налога в структуре налоговых поступлений по сравнению с прошлым годом снизилась с 10,5% до 10,3%, а в объеме ВВП увеличилась на 0,1 процентных пункта.</w:t>
      </w:r>
    </w:p>
    <w:p w14:paraId="1146262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По налогу на прибыль за 2008 г. поступление составило 918,6 млн. сомов, при этом план (890,00 млн. сомов) был перевыполнен на 108,7%. Доля налога в общих налоговых поступлениях снизилась на 1,6%, а в объеме ВВП за 2008 г., как и в 2004 г. составила 1,3%. Сборы по налогу на прибыль по сравнению с прошлым годом снизилась на 2,6% не только за счет установления ставки налога на прибыль в размере 30%</w:t>
      </w:r>
      <w:r w:rsidRPr="00E9019F">
        <w:rPr>
          <w:rStyle w:val="apple-converted-space"/>
          <w:i/>
          <w:iCs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 xml:space="preserve">для предприятий монополистов и 20% для остальных предприятий, но и за счет снижения количества налогоплательщиков данного вида налога на 38, </w:t>
      </w:r>
      <w:r w:rsidRPr="00E9019F">
        <w:rPr>
          <w:color w:val="000000"/>
          <w:sz w:val="28"/>
          <w:szCs w:val="28"/>
        </w:rPr>
        <w:lastRenderedPageBreak/>
        <w:t>%. На снижение поступлений налога на</w:t>
      </w:r>
      <w:r w:rsidRPr="00E9019F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прибыль также оказало влияние недопоступление сумм от предприятий системы Кыргызэнерго. Так, если за прошлый год от АО «Кыргызэнерго» поступило налога на прибыль в размере 401,8 млн. сомов, то за 12 месяцев текущего года фактически поступившая сумма налога от деятельности Энергокомпаний составила 363,6 млн. сомов, то есть меньше 9,5%, что заметно отразилось на увеличении состояния недоимки. Без учета поступлений налога от Энергокомпаний поступления увеличились на 5,8%.</w:t>
      </w:r>
    </w:p>
    <w:p w14:paraId="0D47F48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По сравнению с соответствующим периодом прошлого года финансовые результаты экономической деятельности предприятий в целом ухудшились, о чем свидетельствует снижение объема балансовой прибыли оценочно более чем в два раза. Так, предприятиями за 9 месяцев 2008 г. получена балансовая прибыль в размере 1987,8 млн. сомов, что на 3655,0 млн. сомов меньше показателя за соответствующий период прошлого года.</w:t>
      </w:r>
    </w:p>
    <w:p w14:paraId="1C7C9512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За 9 месяцев 2008 г. рентабельными предприятиями получена прибыль в размере 4138,1 млн. сомов, их доля в общем числе предприятий составила 35,3% (2885 предприятий). Основные суммы прибыли приходились на предприятия горнодобывающей промышленности – 1078,7 млн. сомов или 26,1% суммарной прибыли предприятий республики, обрабатывающей промышленности – 650,5 млн. сомов или 15,7%, транспорта и связи – 759,2 млн. сомов или 18,3, организации торговли, по ремонту автомобилей, бытовых изделий и предметов личного пользования – 511,1 млн. сомов или 12,4% финансовой деятельности – 470,3 млн. сомов или 11,4%.</w:t>
      </w:r>
    </w:p>
    <w:p w14:paraId="726F8597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В январе – сентябре 2008 г. убыточными являлись 38,3% отчитавшихся предприятий, общая сумма их убытков достигла 2150,3 млн. сомов. По сравнению с январем – июнем убытки возросли на 16,6% или на 305,8 млн. сомов, за счет предприятий обрабатывающей промышленности, организаций торговли, по ремонту автомобилей,</w:t>
      </w:r>
      <w:r w:rsidRPr="00E9019F">
        <w:rPr>
          <w:rStyle w:val="apple-converted-space"/>
          <w:b/>
          <w:bCs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бытовых изделий и предметов личного пользования, транспорта и связи.</w:t>
      </w:r>
    </w:p>
    <w:p w14:paraId="3B64D895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 xml:space="preserve">В 2008 г. поступило 1445,6 млн. сомов налога на добавленную стоимость на внутреннюю продукцию, с исполнением плана 98,0%, при этом темп роста относительно 2004 г. составил 113,3%, что объясняется снижением ставок фиксированного зачета по НДС для </w:t>
      </w:r>
      <w:r w:rsidRPr="00E9019F">
        <w:rPr>
          <w:color w:val="000000"/>
          <w:sz w:val="28"/>
          <w:szCs w:val="28"/>
        </w:rPr>
        <w:lastRenderedPageBreak/>
        <w:t>сельскохозяйственной продукции с 1 января 2007 г. с 10% – 12% до 5% – 7% и с 15 мая 2007 г. – до 3%. Доля НДС в структуре налоговых поступлений снизилась на 0,1% и в объеме ВВП возросла на 0,2 процентных пункта.</w:t>
      </w:r>
    </w:p>
    <w:p w14:paraId="26D5A72B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Поступление по налогу за оказание платных услуг населению и с розничных продаж за 2008 г. составили 410,4 млн. сомов с выполнением плана (467,2 млн. сомов) на 87,8%. Не выполнение обусловлено тем, что увеличенная ставка 4% принята не повсеместно. Темп роста к 2007 г. составил 134,5%, что объясняется повышением ставки налога с 3 до 4 процентов.</w:t>
      </w:r>
    </w:p>
    <w:p w14:paraId="3C18C121" w14:textId="77777777" w:rsidR="00DA7BBC" w:rsidRPr="00E9019F" w:rsidRDefault="00DA7BBC" w:rsidP="00DA7BBC">
      <w:pPr>
        <w:pStyle w:val="a3"/>
        <w:shd w:val="clear" w:color="auto" w:fill="FFFFFF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Повысились налоговых поступлении за счет следующих источников:</w:t>
      </w:r>
    </w:p>
    <w:p w14:paraId="1CB5D14D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НДС на ввозимую продукцию на -165%;</w:t>
      </w:r>
    </w:p>
    <w:p w14:paraId="062B474D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Налог с товарооборота розничной торговли на – 133,6;</w:t>
      </w:r>
    </w:p>
    <w:p w14:paraId="455AFDA9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Акцизные сборы на – 115,6%</w:t>
      </w:r>
    </w:p>
    <w:p w14:paraId="4EC20812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Поступление средств на предупреждение и ликвидацию чрезвычайных ситуаций на – 128,2%.</w:t>
      </w:r>
    </w:p>
    <w:p w14:paraId="04BC85EA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Поступление средств на развитие и воспроизводство минерально-сырьевой базы на-3 раза.</w:t>
      </w:r>
    </w:p>
    <w:p w14:paraId="4F6A20A6" w14:textId="77777777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– Налог с юридических лиц – владельцев транспортных средств на 129,1%. Нужно отметить, что НДС на внутреннюю продукция снизилась на -6%. Акцизы на внутреннюю (местную) продукцию и.т.д. Чтобы дать экономическую оценку по налоговым поступлениям</w:t>
      </w:r>
    </w:p>
    <w:p w14:paraId="35735473" w14:textId="6092C914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 xml:space="preserve">В целом по Кыргызской Республике Выбор принципов формирования доходов и расходов местных бюджетов – наиболее сложный аспект организации. Это обусловлено тем, что они предназначены для реализации целей и задач бюджетной политики, обеспечения функционального взаимодействия бюджетов всех уровней. В то же время в них должна быть учтена специфика местных бюджетов, связанная с особенностями такой формы государственного устройства, как местное самоуправление. Принципы формирования играют роль своеобразного фильтра, ограничивающего сферу бюджетных отношений </w:t>
      </w:r>
      <w:r w:rsidRPr="00E9019F">
        <w:rPr>
          <w:color w:val="000000"/>
          <w:sz w:val="28"/>
          <w:szCs w:val="28"/>
        </w:rPr>
        <w:lastRenderedPageBreak/>
        <w:t>местных органов власти, препятствующего «стягиванию» бюджетных отношений «вниз» или «наверх». Как нам представляется, всю совокупность «ограничений», учитываемых при разделении расходных функций и доходных поступлений между органами местного самоуправления и вышестоящими звеньями государственной власти, можно свести к принципам экономической целесообразности, макроэкономической регулируемости, достаточности доходных поступлений</w:t>
      </w:r>
    </w:p>
    <w:p w14:paraId="247B98F2" w14:textId="2FD76479" w:rsidR="00DA7BBC" w:rsidRPr="00E9019F" w:rsidRDefault="00DA7BBC" w:rsidP="00DA7BBC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Особое значение имеет неналоговые поступления в государственный бюджет</w:t>
      </w:r>
    </w:p>
    <w:p w14:paraId="2249B6B7" w14:textId="57F21F49" w:rsidR="00DA7BBC" w:rsidRPr="00E9019F" w:rsidRDefault="00DA7BBC" w:rsidP="00DA7BBC">
      <w:pPr>
        <w:pStyle w:val="3"/>
        <w:rPr>
          <w:color w:val="000000"/>
          <w:sz w:val="28"/>
          <w:szCs w:val="28"/>
        </w:rPr>
      </w:pPr>
    </w:p>
    <w:p w14:paraId="35F4134B" w14:textId="37CF49B0" w:rsidR="00DA7BBC" w:rsidRPr="00E9019F" w:rsidRDefault="00DA7BBC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E1DA33" w14:textId="7C85FAC0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F5DC03B" w14:textId="4EFE2EB8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1E80412" w14:textId="0D160972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9019F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1318F87E" wp14:editId="3DBCB41E">
            <wp:simplePos x="0" y="0"/>
            <wp:positionH relativeFrom="column">
              <wp:posOffset>-211015</wp:posOffset>
            </wp:positionH>
            <wp:positionV relativeFrom="paragraph">
              <wp:posOffset>5683348</wp:posOffset>
            </wp:positionV>
            <wp:extent cx="5731510" cy="2469515"/>
            <wp:effectExtent l="0" t="0" r="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19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5066C9A" wp14:editId="3E582E93">
            <wp:simplePos x="0" y="0"/>
            <wp:positionH relativeFrom="column">
              <wp:posOffset>-210282</wp:posOffset>
            </wp:positionH>
            <wp:positionV relativeFrom="paragraph">
              <wp:posOffset>549373</wp:posOffset>
            </wp:positionV>
            <wp:extent cx="5731510" cy="5093335"/>
            <wp:effectExtent l="0" t="0" r="0" b="0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5E0C9" w14:textId="21751695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2819B89" w14:textId="5138C703" w:rsidR="00C80844" w:rsidRDefault="00C80844" w:rsidP="00C80844">
      <w:pPr>
        <w:spacing w:after="100" w:afterAutospacing="1" w:line="360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2032C7F" w14:textId="397F1900" w:rsidR="00C80844" w:rsidRDefault="00C80844" w:rsidP="00C80844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 wp14:anchorId="5F5F6EC6" wp14:editId="11FD324B">
            <wp:simplePos x="0" y="0"/>
            <wp:positionH relativeFrom="column">
              <wp:posOffset>32673</wp:posOffset>
            </wp:positionH>
            <wp:positionV relativeFrom="paragraph">
              <wp:posOffset>231</wp:posOffset>
            </wp:positionV>
            <wp:extent cx="5731510" cy="8689975"/>
            <wp:effectExtent l="0" t="0" r="0" b="0"/>
            <wp:wrapTight wrapText="bothSides">
              <wp:wrapPolygon edited="0">
                <wp:start x="0" y="0"/>
                <wp:lineTo x="0" y="21561"/>
                <wp:lineTo x="21538" y="21561"/>
                <wp:lineTo x="2153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6788FC" w14:textId="41C8DD2C" w:rsidR="00EB728D" w:rsidRPr="00EB728D" w:rsidRDefault="00EB728D" w:rsidP="00EB728D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расчете доходов консолидированного бюджета Кыргызской Республики были учтены следующие изменения законодательства в области налоговых, таможенных и неналоговых платежей:</w:t>
      </w: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1) снижение ставки налога на прибыль организаций с 20% до 10% с 1 января 2007 года, за исключением субъектов естественных и разрешенных монополий, с 1 января 2008 года сниженная ставка налога будет действовать для всех юридических лиц;</w:t>
      </w:r>
    </w:p>
    <w:p w14:paraId="36FF1A97" w14:textId="77777777" w:rsidR="00EB728D" w:rsidRPr="00EB728D" w:rsidRDefault="00EB728D" w:rsidP="00EB728D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2) установление плоской шкалы начисления подоходного налога с физических лиц путем отмены максимальной ставки налога в 20%;</w:t>
      </w:r>
    </w:p>
    <w:p w14:paraId="73ABF42F" w14:textId="77777777" w:rsidR="00EB728D" w:rsidRPr="00EB728D" w:rsidRDefault="00EB728D" w:rsidP="00EB728D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3) освобождение от уплаты НДС импорта оборудования, относящегося к категории основных средств и предназначенного для собственного производства;</w:t>
      </w:r>
    </w:p>
    <w:p w14:paraId="26C3AD68" w14:textId="77777777" w:rsidR="00EB728D" w:rsidRPr="00EB728D" w:rsidRDefault="00EB728D" w:rsidP="00EB728D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4) увеличение регистрационного порога по НДС с 500 тыс. сомов до 2,5 млн. сомов;</w:t>
      </w:r>
    </w:p>
    <w:p w14:paraId="21FEFF19" w14:textId="19F12CBE" w:rsidR="00EB728D" w:rsidRPr="00EB728D" w:rsidRDefault="00EB728D" w:rsidP="00EB728D">
      <w:pPr>
        <w:spacing w:after="100" w:afterAutospacing="1" w:line="360" w:lineRule="atLeast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B72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5) освобождение от уплаты НДС поставки сельскохозяйственными товаропроизводителями сельскохозяйственной продукции;</w:t>
      </w:r>
    </w:p>
    <w:p w14:paraId="38D387CA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6) отмена отдельных неэффективных местных налогов и сборов и сокращение их количества с 16 до 8 видов, действующих в настоящее время: налог за оказание платных услуг населению и с розничных продаж, налог с владельцев транспортных средств, налог на недвижимое имущество, налог на рекламу, гостиничный налог, курортный налог, сбор за вывоз мусора с территорий населенных пунктов и сбор за парковку автотранспорта;</w:t>
      </w:r>
    </w:p>
    <w:p w14:paraId="260D3563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7) трехкратное увеличение налога с владельцев транспортных средств;</w:t>
      </w:r>
    </w:p>
    <w:p w14:paraId="63C5EB1C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8) изменение системы взимания таможенных платежей при импорте товаров физическими лицами путем применения единой ставки таможенных пошлин и налогов от весовой категории товаров;</w:t>
      </w:r>
    </w:p>
    <w:p w14:paraId="3AD96A56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9) перевод арендной платы за земли фонда перераспределения земель из категории специальных средств органов местного самоуправления в категорию бюджетных средств;</w:t>
      </w:r>
    </w:p>
    <w:p w14:paraId="41D144ED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lastRenderedPageBreak/>
        <w:t>10) снижение процента отчислений в республиканский бюджет арендной платы от сдачи в аренду государственного имущества;</w:t>
      </w:r>
    </w:p>
    <w:p w14:paraId="144E1037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11) изменение системы администрирования органами ГАИ платы за регистрацию и перерегистрацию автотранспортных средств.</w:t>
      </w:r>
    </w:p>
    <w:p w14:paraId="33C60E45" w14:textId="544E4353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BC7988D" w14:textId="77777777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По сравнению с утвержденным бюджетом 2007 года прогнозируемые в 2008 году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доходы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государственного бюджета увеличатся на 12,3% или на 2 820,1 млн. сомов. Следует отметить, что без учета грантов общие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доходыбюджета увеличатся на 13,9% или на 3 011,9 млн. сомов. В 2008 году прогнозируется снижение объема поступлений грантовых средств по сравнению с утвержденным бюджетом 2007 года на 191,8 млн. сомов. Основным источником роста бюджетных доходов станут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налоговые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поступления, их рост прогнозируется на уровне 16,3% или на 2 877,0 млн. сомов. При этом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неналоговые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поступления возрастут всего на 4,0% или на 160,8 млн. сомов.</w:t>
      </w:r>
    </w:p>
    <w:p w14:paraId="03340D60" w14:textId="5C054566" w:rsidR="00EB728D" w:rsidRPr="00E9019F" w:rsidRDefault="00EB728D" w:rsidP="00EB728D">
      <w:pPr>
        <w:pStyle w:val="a3"/>
        <w:spacing w:before="0" w:beforeAutospacing="0" w:line="360" w:lineRule="atLeast"/>
        <w:ind w:firstLine="709"/>
        <w:rPr>
          <w:color w:val="000000"/>
          <w:sz w:val="28"/>
          <w:szCs w:val="28"/>
        </w:rPr>
      </w:pPr>
      <w:r w:rsidRPr="00E9019F">
        <w:rPr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50E3922" wp14:editId="30B9762D">
            <wp:simplePos x="0" y="0"/>
            <wp:positionH relativeFrom="column">
              <wp:posOffset>14556</wp:posOffset>
            </wp:positionH>
            <wp:positionV relativeFrom="paragraph">
              <wp:posOffset>2113280</wp:posOffset>
            </wp:positionV>
            <wp:extent cx="5731510" cy="2301240"/>
            <wp:effectExtent l="0" t="0" r="0" b="0"/>
            <wp:wrapTight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19F">
        <w:rPr>
          <w:color w:val="000000"/>
          <w:sz w:val="28"/>
          <w:szCs w:val="28"/>
        </w:rPr>
        <w:t>Доходы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республиканского бюджета увеличатся по сравнению с утвержденным бюджетом 2007 года на 14,0% или на 2 808,5 млн. сомов, в том числе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налоговые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доходы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– на 21,5% или на 3 248,9 млн. сомов,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неналоговые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доходы</w:t>
      </w:r>
      <w:r w:rsidRPr="00E9019F">
        <w:rPr>
          <w:rStyle w:val="apple-converted-space"/>
          <w:color w:val="000000"/>
          <w:sz w:val="28"/>
          <w:szCs w:val="28"/>
        </w:rPr>
        <w:t> </w:t>
      </w:r>
      <w:r w:rsidRPr="00E9019F">
        <w:rPr>
          <w:color w:val="000000"/>
          <w:sz w:val="28"/>
          <w:szCs w:val="28"/>
        </w:rPr>
        <w:t>– на 2,0% или на 69,7 млн. сомов. Превышение роста налоговых доходов республиканского бюджета над ростом общих налоговых поступлений связано с изменением системы распределения налогов между уровнями бюджетов в результате перехода к двухуровневой схеме межбюджетных отношений.</w:t>
      </w:r>
    </w:p>
    <w:p w14:paraId="597999DF" w14:textId="21EFF075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58F4A93" w14:textId="55F769D3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35ACE08" w14:textId="516C08AF" w:rsidR="00EB728D" w:rsidRPr="00E9019F" w:rsidRDefault="00EB728D" w:rsidP="00EB728D">
      <w:pPr>
        <w:pStyle w:val="3"/>
        <w:rPr>
          <w:color w:val="000000"/>
          <w:sz w:val="28"/>
          <w:szCs w:val="28"/>
          <w:lang w:val="ru-RU"/>
        </w:rPr>
      </w:pPr>
      <w:r w:rsidRPr="00E9019F">
        <w:rPr>
          <w:color w:val="000000"/>
          <w:sz w:val="28"/>
          <w:szCs w:val="28"/>
        </w:rPr>
        <w:t>Роль налоговых доходов в формировании республиканского бюджета</w:t>
      </w:r>
      <w:r w:rsidRPr="00E9019F">
        <w:rPr>
          <w:color w:val="000000"/>
          <w:sz w:val="28"/>
          <w:szCs w:val="28"/>
          <w:lang w:val="ru-RU"/>
        </w:rPr>
        <w:t>:</w:t>
      </w:r>
    </w:p>
    <w:p w14:paraId="6A95C50B" w14:textId="77777777" w:rsidR="00E9019F" w:rsidRPr="00E9019F" w:rsidRDefault="00E9019F" w:rsidP="00E9019F">
      <w:pPr>
        <w:pStyle w:val="a3"/>
        <w:spacing w:before="0" w:beforeAutospacing="0"/>
        <w:ind w:firstLine="709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При расчете доходов консолидированного бюджета Кыргызской Республики были учтены следующие изменения законодательства в области налоговых поступлений, таможенных пошлин:</w:t>
      </w:r>
    </w:p>
    <w:p w14:paraId="0EB51E8D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снижение ставки налога на прибыль организаций с 20% до 12% с 1 января 2009 года, за исключением субъектов естественных и разрешенных монополий, с 1 января 2009 года сниженная ставка налога будет действовать для всех юридических лиц;</w:t>
      </w:r>
    </w:p>
    <w:p w14:paraId="5561C736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установление плоской шкалы начисления подоходного налога с физических лиц путем отмены максимальной ставки налога в 20%;</w:t>
      </w:r>
    </w:p>
    <w:p w14:paraId="2324411B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освобождение от уплаты НДС импорта оборудования, относящегося к категории основных средств и предназначенного для собственного производства;</w:t>
      </w:r>
    </w:p>
    <w:p w14:paraId="40E25E28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увеличение регистрационного порога по НДС с 500 тысяч. сомов до 2,5 миллион. сомов;</w:t>
      </w:r>
    </w:p>
    <w:p w14:paraId="47430AF5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освобождение от уплаты НДС поставки сельскохозяйственными товаропроизводителями сельскохозяйственной продукции;</w:t>
      </w:r>
    </w:p>
    <w:p w14:paraId="72083E74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отмена отдельных неэффективных местных налогов и сборов и сокращение их количества с 16 до 8 видов, действующих в настоящее время: налог за оказание платных услуг населению и с розничных продаж, налог с владельцев транспортных средств, налог на недвижимое имущество, налог на рекламу, гостиничный налог, курортный налог, сбор за вывоз мусора с территорий населенных пунктов и сбор за парковку автотранспорта;</w:t>
      </w:r>
    </w:p>
    <w:p w14:paraId="4150E618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трехкратное увеличение налога с владельцев транспортных средств;</w:t>
      </w:r>
    </w:p>
    <w:p w14:paraId="57980D98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изменение системы взимания таможенных платежей при импорте товаров физическими лицами путем применения единой ставки таможенных пошлин и налогов от весовой категории товаров;</w:t>
      </w:r>
    </w:p>
    <w:p w14:paraId="7F4E691D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перевод арендной платы за земли фонда перераспределения земель из категории специальных средств органов местного самоуправления в категорию бюджетных средств;</w:t>
      </w:r>
    </w:p>
    <w:p w14:paraId="7E238920" w14:textId="780DF703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снижение процента отчислений в республиканский бюджет аренднойплаты от сдачи в аренду государственного имущества;</w:t>
      </w:r>
    </w:p>
    <w:p w14:paraId="031C742A" w14:textId="77777777" w:rsidR="00E9019F" w:rsidRPr="00E9019F" w:rsidRDefault="00E9019F" w:rsidP="00E9019F">
      <w:pPr>
        <w:pStyle w:val="a3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</w:rPr>
        <w:t>изменение системы администрирования органами ГАИ платы за регистрацию и перерегистрацию автотранспортных средств.</w:t>
      </w:r>
    </w:p>
    <w:p w14:paraId="38960258" w14:textId="755FD8F1" w:rsidR="00EB728D" w:rsidRPr="00E9019F" w:rsidRDefault="00E9019F" w:rsidP="00EB728D">
      <w:pPr>
        <w:pStyle w:val="3"/>
        <w:rPr>
          <w:color w:val="000000"/>
          <w:sz w:val="28"/>
          <w:szCs w:val="28"/>
        </w:rPr>
      </w:pPr>
      <w:r w:rsidRPr="00E9019F">
        <w:rPr>
          <w:color w:val="000000"/>
          <w:sz w:val="28"/>
          <w:szCs w:val="28"/>
          <w:shd w:val="clear" w:color="auto" w:fill="FFFFFF"/>
        </w:rPr>
        <w:t xml:space="preserve">Возмещение НДС, уплаченного поставщикам материальных ресурсов, использованных при производстве экспортной продукции, снизит поступление НДС на внутреннюю продукцию на 728,5 миллион сомов. </w:t>
      </w:r>
      <w:r w:rsidRPr="00E9019F">
        <w:rPr>
          <w:color w:val="000000"/>
          <w:sz w:val="28"/>
          <w:szCs w:val="28"/>
          <w:shd w:val="clear" w:color="auto" w:fill="FFFFFF"/>
        </w:rPr>
        <w:lastRenderedPageBreak/>
        <w:t>Сумма НДС, подлежащая возмещению, определена исходя из прогнозируемых объемов экспорта в разрезе предприятий.</w:t>
      </w:r>
    </w:p>
    <w:p w14:paraId="0FA39674" w14:textId="5FAA0BCA" w:rsidR="00EB728D" w:rsidRPr="00E9019F" w:rsidRDefault="00255394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Open Sans" w:eastAsia="Times New Roman" w:hAnsi="Open Sans" w:cs="Open Sans"/>
          <w:b/>
          <w:bCs/>
          <w:noProof/>
          <w:color w:val="333333"/>
          <w:sz w:val="20"/>
          <w:szCs w:val="20"/>
          <w:lang w:eastAsia="ru-RU"/>
        </w:rPr>
        <w:drawing>
          <wp:inline distT="0" distB="0" distL="0" distR="0" wp14:anchorId="1993281D" wp14:editId="3D76B14F">
            <wp:extent cx="5486400" cy="3200400"/>
            <wp:effectExtent l="0" t="0" r="12700" b="127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tbl>
      <w:tblPr>
        <w:tblW w:w="10950" w:type="dxa"/>
        <w:tblInd w:w="-94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  <w:gridCol w:w="1156"/>
        <w:gridCol w:w="1156"/>
        <w:gridCol w:w="1156"/>
        <w:gridCol w:w="1156"/>
        <w:gridCol w:w="1156"/>
        <w:gridCol w:w="350"/>
      </w:tblGrid>
      <w:tr w:rsidR="00E9019F" w:rsidRPr="00E9019F" w14:paraId="5565E637" w14:textId="77777777" w:rsidTr="00E9019F">
        <w:trPr>
          <w:tblHeader/>
        </w:trPr>
        <w:tc>
          <w:tcPr>
            <w:tcW w:w="4819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04BF01" w14:textId="69A3062B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bookmarkStart w:id="0" w:name="OLE_LINK1"/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D20769D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2017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1731238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2018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268EB62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EDC3EA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81BD1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B415BA7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 </w:t>
            </w:r>
          </w:p>
        </w:tc>
      </w:tr>
      <w:tr w:rsidR="00E9019F" w:rsidRPr="00E9019F" w14:paraId="5A6EC640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13DAFE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Кыргызская Республика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693498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149 547.5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B77A00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151 607.1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741D414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167 412.2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371BFF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152 139.9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DDDF8CA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209 937.2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79E2E9C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369F48D6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6B86C33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Баткенская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C1BD065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936.4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21693CC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1 055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730E289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1 105.9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96F6B0D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1 059.2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26A9DED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1 213.2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F395C85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5A3C28C6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7BA1083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Джалал-Абадская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818321A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2 180.7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346F859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2 386.6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4B22D32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2 625.7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27CC038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2 575.5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6E6CAC9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3 115.8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EFE3B77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162DBD44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0F51BB4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Иссык-Кульская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634B82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1 213.8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F8ABD37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1 276.1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889AE29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1 472.3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4EB4A2A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1 347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188FCF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1 704.2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F5E0D37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3957FF43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3C29BB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Нарынская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BDC964C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817.3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87E9AC8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866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C04B4D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905.6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B9A48D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905.7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8E9247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960.6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327CFB4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4004B3BE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FE88321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Ошская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5FB885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2 067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DAB4FE5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2 190.3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024E48C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2 307.8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260BF7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2 063.4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49E8562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2 614.9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F5F5F5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06FE72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72F44662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F70464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Таласская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14606B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519.3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67C4EE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561.7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9ECDFF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632.2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F5A03D2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629.9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B513C2D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784.7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67E3641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6A1120AF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03D1796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Чуйская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2BEA43D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2 557.2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6AFB4B1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2 564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DB3BFC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2 978.9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3D1B24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2 713.1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EB0237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3 355.4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64E048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59B42CF5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E1FD1C3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lastRenderedPageBreak/>
              <w:t>г.Бишкек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5BEE6C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8 652.8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7A932D1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8 027.2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10F6ECB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8 479.2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81A26A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7 699.4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E4ABF3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10 751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497AC27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E9019F" w:rsidRPr="00E9019F" w14:paraId="7D7A5F2D" w14:textId="77777777" w:rsidTr="00E9019F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02D9635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г.Ош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FE85BFA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1 346.7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01D4EE0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1 282.2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F67C508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1 390.6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AFEC60E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1 312.1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B00F48F" w14:textId="77777777" w:rsidR="00E9019F" w:rsidRPr="00E9019F" w:rsidRDefault="00E9019F" w:rsidP="00E9019F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E9019F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1 567.5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EB2D3F7" w14:textId="77777777" w:rsidR="00E9019F" w:rsidRPr="00E9019F" w:rsidRDefault="00E9019F" w:rsidP="00E9019F">
            <w:pPr>
              <w:spacing w:before="150" w:after="15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bookmarkEnd w:id="0"/>
    </w:tbl>
    <w:p w14:paraId="53A3B82A" w14:textId="4DFABCAA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0846907" w14:textId="51E2E72D" w:rsidR="00C80844" w:rsidRDefault="00255394" w:rsidP="00DB0201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  <w:r>
        <w:rPr>
          <w:noProof/>
        </w:rPr>
        <w:drawing>
          <wp:inline distT="0" distB="0" distL="0" distR="0" wp14:anchorId="08CB9579" wp14:editId="43C90092">
            <wp:extent cx="5708650" cy="3835400"/>
            <wp:effectExtent l="0" t="0" r="6350" b="1270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7726608A-3E0E-F2C1-8EB2-A39E6D5F33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3AEA2F8" w14:textId="77777777" w:rsidR="00A83BEF" w:rsidRDefault="00A83BEF" w:rsidP="00DB0201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699C0D99" w14:textId="3AFC8E2A" w:rsidR="002C6A91" w:rsidRPr="00A83BEF" w:rsidRDefault="002C6A91" w:rsidP="002C6A9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44"/>
          <w:szCs w:val="44"/>
          <w:lang w:val="ru-RU"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4DA7653A" wp14:editId="33A142EE">
            <wp:simplePos x="0" y="0"/>
            <wp:positionH relativeFrom="column">
              <wp:posOffset>-631825</wp:posOffset>
            </wp:positionH>
            <wp:positionV relativeFrom="paragraph">
              <wp:posOffset>1063510</wp:posOffset>
            </wp:positionV>
            <wp:extent cx="7053580" cy="5486400"/>
            <wp:effectExtent l="0" t="0" r="0" b="0"/>
            <wp:wrapTight wrapText="bothSides">
              <wp:wrapPolygon edited="0">
                <wp:start x="0" y="0"/>
                <wp:lineTo x="0" y="21550"/>
                <wp:lineTo x="21546" y="21550"/>
                <wp:lineTo x="21546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A91">
        <w:rPr>
          <w:rFonts w:ascii="Times New Roman" w:hAnsi="Times New Roman" w:cs="Times New Roman"/>
          <w:b/>
          <w:bCs/>
          <w:sz w:val="32"/>
          <w:szCs w:val="32"/>
        </w:rPr>
        <w:t>Неналоговые доходы</w:t>
      </w:r>
      <w:r w:rsidRPr="002C6A91">
        <w:rPr>
          <w:rFonts w:ascii="Times New Roman" w:hAnsi="Times New Roman" w:cs="Times New Roman"/>
          <w:sz w:val="28"/>
          <w:szCs w:val="28"/>
        </w:rPr>
        <w:t xml:space="preserve"> - это</w:t>
      </w:r>
      <w:r w:rsidRPr="002C6A91">
        <w:rPr>
          <w:rStyle w:val="apple-converted-space"/>
          <w:rFonts w:ascii="Times New Roman" w:hAnsi="Times New Roman" w:cs="Times New Roman"/>
          <w:color w:val="BDC1C6"/>
          <w:sz w:val="28"/>
          <w:szCs w:val="28"/>
          <w:shd w:val="clear" w:color="auto" w:fill="202124"/>
        </w:rPr>
        <w:t> </w:t>
      </w:r>
      <w:r w:rsidRPr="002C6A91">
        <w:rPr>
          <w:rFonts w:ascii="Times New Roman" w:hAnsi="Times New Roman" w:cs="Times New Roman"/>
          <w:sz w:val="28"/>
          <w:szCs w:val="28"/>
        </w:rPr>
        <w:t>доходы, получаемые в виде платы за пользование государственными фондами или имуществом либо компенсации за оказанные государством услуги юридическим или физическим лицам</w:t>
      </w:r>
      <w:r w:rsidRPr="002C6A91">
        <w:rPr>
          <w:rFonts w:ascii="Times New Roman" w:hAnsi="Times New Roman" w:cs="Times New Roman"/>
          <w:sz w:val="28"/>
          <w:szCs w:val="28"/>
          <w:shd w:val="clear" w:color="auto" w:fill="202124"/>
        </w:rPr>
        <w:t>.</w:t>
      </w:r>
    </w:p>
    <w:p w14:paraId="6D394B6C" w14:textId="0C0B4408" w:rsidR="00255394" w:rsidRDefault="00A83BEF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73D9AE9" wp14:editId="0B51B33A">
            <wp:extent cx="5731510" cy="3952875"/>
            <wp:effectExtent l="0" t="0" r="8890" b="952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53767C19-B452-C18E-F73C-50D5821083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9CE63E7" w14:textId="05E21532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6E729383" w14:textId="04B8CB29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44E7796D" w14:textId="5807AE7C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113A320A" w14:textId="7EB3C142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5912EE10" w14:textId="1C381738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310988DF" w14:textId="60E3B5E2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588834EE" w14:textId="02EC51CD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0E5CEFDC" w14:textId="497AB3F0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31FA7784" w14:textId="77777777" w:rsidR="002C6A91" w:rsidRDefault="002C6A91" w:rsidP="00255394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</w:pPr>
    </w:p>
    <w:p w14:paraId="1DFFD610" w14:textId="1F770FF2" w:rsidR="00EB728D" w:rsidRDefault="00C80844" w:rsidP="00DB0201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</w:pPr>
      <w:r w:rsidRPr="00C8084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ru-RU" w:eastAsia="ru-RU"/>
        </w:rPr>
        <w:lastRenderedPageBreak/>
        <w:t>Расходы</w:t>
      </w:r>
      <w:r w:rsidRPr="00C80844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  <w:t>:</w:t>
      </w:r>
    </w:p>
    <w:tbl>
      <w:tblPr>
        <w:tblW w:w="10950" w:type="dxa"/>
        <w:tblInd w:w="-9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  <w:gridCol w:w="1195"/>
        <w:gridCol w:w="989"/>
        <w:gridCol w:w="1195"/>
        <w:gridCol w:w="1195"/>
        <w:gridCol w:w="1195"/>
        <w:gridCol w:w="361"/>
      </w:tblGrid>
      <w:tr w:rsidR="00652A72" w:rsidRPr="00652A72" w14:paraId="06C1F169" w14:textId="77777777" w:rsidTr="00652A72">
        <w:trPr>
          <w:tblHeader/>
        </w:trPr>
        <w:tc>
          <w:tcPr>
            <w:tcW w:w="4819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D8F48C" w14:textId="40F55752" w:rsidR="00652A72" w:rsidRPr="00EA4BEF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52A615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2017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E4650C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2018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056A8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2019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8D4AFD4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2020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26A62B6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2021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6599BF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b/>
                <w:bCs/>
                <w:color w:val="333333"/>
                <w:sz w:val="20"/>
                <w:szCs w:val="20"/>
                <w:lang w:eastAsia="ru-RU"/>
              </w:rPr>
              <w:t> </w:t>
            </w:r>
          </w:p>
        </w:tc>
      </w:tr>
      <w:tr w:rsidR="00652A72" w:rsidRPr="00652A72" w14:paraId="3C5CC64B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956FAF8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Кыргызская Республика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8E6F44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166 023.6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F362F1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157 796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CBA7E5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167 843.9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98CE342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171 873.9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CF7424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211 700.8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4B7705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236C99AA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E2FF04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Баткенская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020D29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903.7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63CCB8B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1 031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5596CAA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1 079.5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2AA6F14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1 021.1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F742A6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1 166.5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68ABC74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68EEE991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84FDB56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Джалал-Абадская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A9E3E25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2 015.2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3C2EB5B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2 359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7CBDAB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2 538.1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291DA4C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2 332.1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0706435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2 956.8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2C133DA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7A4CB6BB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083426F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Иссык-Кульская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6985F3C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1 185.1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E8A6282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1 257.4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DF1C34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1 373.4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EDE7C5F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1 311.5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8563E39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1 688.4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F9DF855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723D5F76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C0B2CA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Нарынская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3BDD5B9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780.1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4BCCAD6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884.5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9BE4928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883.7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409866F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829.5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C77106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972.2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EBC8B6C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3879D9F3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78418AB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Ошская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1B33A0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1 890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3C6EE1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2 287.7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1A81136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2 292.5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7A93B4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1 974.8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254EE6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2 601.4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F4A17A4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1375136F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5AB2448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Таласская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19BB24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515.5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D140D2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589.5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548D76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601.4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67C47A3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527.6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8D4FB0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719.8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DAFFC75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0A06998B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0D7757C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Чуйская область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66F279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2 431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14E8B78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2 499.9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D495C9A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2 838.2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27249E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2 639.1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589E11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3 190.4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58DBFD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6D5A90E1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A3D2092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г.Бишкек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61747EC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8 360.3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62EFC2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7 764.9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38B5E32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8 506.6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74A986B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8 184.1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26A12F09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9 418.5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0963421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</w:p>
        </w:tc>
      </w:tr>
      <w:tr w:rsidR="00652A72" w:rsidRPr="00652A72" w14:paraId="32583E68" w14:textId="77777777" w:rsidTr="00652A72"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674FF19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г.Ош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116B4990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1 308.9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5BF1C6DE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1 270.3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65671D45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1 365.9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3FDACC1D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1 356.2</w:t>
            </w:r>
          </w:p>
        </w:tc>
        <w:tc>
          <w:tcPr>
            <w:tcW w:w="0" w:type="auto"/>
            <w:tcBorders>
              <w:top w:val="single" w:sz="6" w:space="0" w:color="DDDDDD"/>
              <w:bottom w:val="dashed" w:sz="6" w:space="0" w:color="E6E6E6"/>
            </w:tcBorders>
            <w:shd w:val="clear" w:color="auto" w:fill="auto"/>
            <w:tcMar>
              <w:top w:w="120" w:type="dxa"/>
              <w:left w:w="30" w:type="dxa"/>
              <w:bottom w:w="120" w:type="dxa"/>
              <w:right w:w="30" w:type="dxa"/>
            </w:tcMar>
            <w:hideMark/>
          </w:tcPr>
          <w:p w14:paraId="47D54B87" w14:textId="77777777" w:rsidR="00652A72" w:rsidRPr="00652A72" w:rsidRDefault="00652A72" w:rsidP="00652A72">
            <w:pPr>
              <w:spacing w:before="150" w:after="150"/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</w:pPr>
            <w:r w:rsidRPr="00652A72">
              <w:rPr>
                <w:rFonts w:ascii="Open Sans" w:eastAsia="Times New Roman" w:hAnsi="Open Sans" w:cs="Open Sans"/>
                <w:color w:val="333333"/>
                <w:sz w:val="20"/>
                <w:szCs w:val="20"/>
                <w:lang w:eastAsia="ru-RU"/>
              </w:rPr>
              <w:t>1 574.7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CBF4F76" w14:textId="77777777" w:rsidR="00652A72" w:rsidRPr="00652A72" w:rsidRDefault="00652A72" w:rsidP="00652A72">
            <w:pPr>
              <w:spacing w:before="150" w:after="150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C913BC5" w14:textId="77777777" w:rsidR="00652A72" w:rsidRPr="00C80844" w:rsidRDefault="00652A72" w:rsidP="00DB0201">
      <w:pPr>
        <w:spacing w:before="100" w:beforeAutospacing="1" w:after="100" w:afterAutospacing="1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lang w:val="en-US" w:eastAsia="ru-RU"/>
        </w:rPr>
      </w:pPr>
    </w:p>
    <w:p w14:paraId="481B2D0D" w14:textId="7DA43E84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40EC353" w14:textId="4B057379" w:rsidR="00EB728D" w:rsidRPr="00E9019F" w:rsidRDefault="00C80844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3D55FFE8" wp14:editId="6E2B3B31">
            <wp:simplePos x="0" y="0"/>
            <wp:positionH relativeFrom="column">
              <wp:posOffset>0</wp:posOffset>
            </wp:positionH>
            <wp:positionV relativeFrom="paragraph">
              <wp:posOffset>384371</wp:posOffset>
            </wp:positionV>
            <wp:extent cx="5731510" cy="7589520"/>
            <wp:effectExtent l="0" t="0" r="0" b="5080"/>
            <wp:wrapTight wrapText="bothSides">
              <wp:wrapPolygon edited="0">
                <wp:start x="0" y="0"/>
                <wp:lineTo x="0" y="21578"/>
                <wp:lineTo x="21538" y="21578"/>
                <wp:lineTo x="2153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2163C" w14:textId="7F5B6C3C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F183518" w14:textId="3AF223E9" w:rsidR="00EB728D" w:rsidRPr="00E9019F" w:rsidRDefault="00EB728D" w:rsidP="00DA7BBC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46CBA2E" w14:textId="090EBE2B" w:rsidR="00652A72" w:rsidRPr="00652A72" w:rsidRDefault="00652A72" w:rsidP="00652A72">
      <w:pPr>
        <w:pStyle w:val="a3"/>
        <w:jc w:val="center"/>
      </w:pPr>
      <w:r w:rsidRPr="00652A72">
        <w:rPr>
          <w:sz w:val="20"/>
          <w:szCs w:val="20"/>
        </w:rPr>
        <w:lastRenderedPageBreak/>
        <w:t>ЗАКЛЮЧЕНИЕ</w:t>
      </w:r>
    </w:p>
    <w:p w14:paraId="2A2F3833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Изучение теоретических разработок сущности бюджета и его основных функций позволяет сделать вывод, что бюджет является составной частью экономических отношений, государственного устройства и правовой системы. Это означает, что, с одной стороны, бюджетная политика оказывает влияние на экономику страны, структуру органов государственного управления и права. С другой стороны, бюджет формируется под воздействием не только экономических отношений, но и системы государственного управления и права. </w:t>
      </w:r>
    </w:p>
    <w:p w14:paraId="58FA8EA9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Для роста эффективности бюджетного процесса функционирование данных институтов общественного управления должно основываться на следующих требованиях: </w:t>
      </w:r>
    </w:p>
    <w:p w14:paraId="1F3FE1BB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- наличие законодательно установленных, четких, детализированных процедур, норм и принципов бюджетного процесса, предусматривающих, с одной стороны, ответственность, а, с другой, - стимулы, для реагирования выборных представителей и государственных служащих на общественные потребности, что с большей вероятностью, послужит принятию решений в общественных интересах; </w:t>
      </w:r>
    </w:p>
    <w:p w14:paraId="70C391D5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- открытость и прозрачность планирования и использования общественных бюджетных ресурсов; </w:t>
      </w:r>
    </w:p>
    <w:p w14:paraId="19BE7C7C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- финансирование действующих и принимаемых обязательств государственных структур перед обществом и предоставление отчетности о результатах использования ими средств для предоставления услуг и проведения политики; </w:t>
      </w:r>
    </w:p>
    <w:p w14:paraId="3BBA6E4C" w14:textId="77777777" w:rsidR="00652A72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- расширение полномочий и ответственности участников бюджетного процесса для эффективного и рационального использования общественных ресурсов. </w:t>
      </w:r>
    </w:p>
    <w:p w14:paraId="274E034F" w14:textId="5A75DFC6" w:rsidR="00DA7BBC" w:rsidRPr="00652A72" w:rsidRDefault="00652A72" w:rsidP="00652A72">
      <w:pPr>
        <w:pStyle w:val="a3"/>
        <w:rPr>
          <w:sz w:val="28"/>
          <w:szCs w:val="28"/>
        </w:rPr>
      </w:pPr>
      <w:r w:rsidRPr="00652A72">
        <w:rPr>
          <w:sz w:val="28"/>
          <w:szCs w:val="28"/>
        </w:rPr>
        <w:t xml:space="preserve">Эффективная институциональная организация бюджетного процесса может быть достигнута посредством разработки и принятия бюджетных правил, конкретно определенных в законодательстве Кыргызстана. Наряду с использованием процедур, норм и принципов бюджетного процесса, большое значение в законах должно отводиться, с одной стороны, определению ответственности должностных лиц за их неисполнение, а с другой стороны, прозрачности их деятельности. </w:t>
      </w:r>
    </w:p>
    <w:sectPr w:rsidR="00DA7BBC" w:rsidRPr="00652A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5FFB"/>
    <w:multiLevelType w:val="multilevel"/>
    <w:tmpl w:val="CEF8A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7AC4D8C"/>
    <w:multiLevelType w:val="multilevel"/>
    <w:tmpl w:val="8A7C3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785FA2"/>
    <w:multiLevelType w:val="multilevel"/>
    <w:tmpl w:val="059A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8559668">
    <w:abstractNumId w:val="2"/>
  </w:num>
  <w:num w:numId="2" w16cid:durableId="1340542841">
    <w:abstractNumId w:val="1"/>
  </w:num>
  <w:num w:numId="3" w16cid:durableId="27266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2A9"/>
    <w:rsid w:val="001B6902"/>
    <w:rsid w:val="00255394"/>
    <w:rsid w:val="002B5832"/>
    <w:rsid w:val="002C6A91"/>
    <w:rsid w:val="0031653E"/>
    <w:rsid w:val="003322A9"/>
    <w:rsid w:val="00652A72"/>
    <w:rsid w:val="00A442A9"/>
    <w:rsid w:val="00A83BEF"/>
    <w:rsid w:val="00C80844"/>
    <w:rsid w:val="00D32529"/>
    <w:rsid w:val="00DA7BBC"/>
    <w:rsid w:val="00DB0201"/>
    <w:rsid w:val="00E9019F"/>
    <w:rsid w:val="00EA4BEF"/>
    <w:rsid w:val="00EB7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FC4FC"/>
  <w15:chartTrackingRefBased/>
  <w15:docId w15:val="{B74A730E-0AB3-FF4C-A145-DF369072B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DA7BBC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A7BB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DA7B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DA7B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59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0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hart" Target="charts/chart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chart" Target="charts/chart2.xml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daniar/Documents/&#1075;&#1080;&#1089;&#1090;&#1088;&#1086;&#1075;&#1088;&#1072;&#1084;&#1084;&#107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G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61EB-B54D-8163-C9F8E5C0236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3-61EB-B54D-8163-C9F8E5C02363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5-61EB-B54D-8163-C9F8E5C02363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7-61EB-B54D-8163-C9F8E5C02363}"/>
              </c:ext>
            </c:extLst>
          </c:dPt>
          <c:cat>
            <c:strRef>
              <c:f>Лист1!$A$2:$A$5</c:f>
              <c:strCache>
                <c:ptCount val="4"/>
                <c:pt idx="0">
                  <c:v>Кв. 1</c:v>
                </c:pt>
                <c:pt idx="1">
                  <c:v>Кв. 2</c:v>
                </c:pt>
                <c:pt idx="2">
                  <c:v>Кв. 3</c:v>
                </c:pt>
                <c:pt idx="3">
                  <c:v>Кв.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8.1999999999999993</c:v>
                </c:pt>
                <c:pt idx="1">
                  <c:v>3.2</c:v>
                </c:pt>
                <c:pt idx="2">
                  <c:v>1.4</c:v>
                </c:pt>
                <c:pt idx="3">
                  <c:v>1.2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61EB-B54D-8163-C9F8E5C023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G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2017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Лист1!$A$2:$A$11</c:f>
              <c:strCache>
                <c:ptCount val="10"/>
                <c:pt idx="0">
                  <c:v>Кыргызская Республика</c:v>
                </c:pt>
                <c:pt idx="1">
                  <c:v>Баткенская область</c:v>
                </c:pt>
                <c:pt idx="2">
                  <c:v>Джалал-Абадская область</c:v>
                </c:pt>
                <c:pt idx="3">
                  <c:v>Иссык-Кульская область</c:v>
                </c:pt>
                <c:pt idx="4">
                  <c:v>Нарынская область</c:v>
                </c:pt>
                <c:pt idx="5">
                  <c:v>Ошская область</c:v>
                </c:pt>
                <c:pt idx="6">
                  <c:v>Таласская область</c:v>
                </c:pt>
                <c:pt idx="7">
                  <c:v>Чуйская область</c:v>
                </c:pt>
                <c:pt idx="8">
                  <c:v>г.Бишкек</c:v>
                </c:pt>
                <c:pt idx="9">
                  <c:v>г.Ош</c:v>
                </c:pt>
              </c:strCache>
            </c:str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 formatCode="#,##0">
                  <c:v>2067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8C-AB4E-AA0C-24E43CFE5563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2018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Лист1!$A$2:$A$11</c:f>
              <c:strCache>
                <c:ptCount val="10"/>
                <c:pt idx="0">
                  <c:v>Кыргызская Республика</c:v>
                </c:pt>
                <c:pt idx="1">
                  <c:v>Баткенская область</c:v>
                </c:pt>
                <c:pt idx="2">
                  <c:v>Джалал-Абадская область</c:v>
                </c:pt>
                <c:pt idx="3">
                  <c:v>Иссык-Кульская область</c:v>
                </c:pt>
                <c:pt idx="4">
                  <c:v>Нарынская область</c:v>
                </c:pt>
                <c:pt idx="5">
                  <c:v>Ошская область</c:v>
                </c:pt>
                <c:pt idx="6">
                  <c:v>Таласская область</c:v>
                </c:pt>
                <c:pt idx="7">
                  <c:v>Чуйская область</c:v>
                </c:pt>
                <c:pt idx="8">
                  <c:v>г.Бишкек</c:v>
                </c:pt>
                <c:pt idx="9">
                  <c:v>г.Ош</c:v>
                </c:pt>
              </c:strCache>
            </c:strRef>
          </c:cat>
          <c:val>
            <c:numRef>
              <c:f>Лист1!$C$2:$C$11</c:f>
              <c:numCache>
                <c:formatCode>#,##0</c:formatCode>
                <c:ptCount val="10"/>
                <c:pt idx="0" formatCode="General">
                  <c:v>0</c:v>
                </c:pt>
                <c:pt idx="1">
                  <c:v>1055</c:v>
                </c:pt>
                <c:pt idx="2" formatCode="General">
                  <c:v>0</c:v>
                </c:pt>
                <c:pt idx="3" formatCode="General">
                  <c:v>0</c:v>
                </c:pt>
                <c:pt idx="4" formatCode="General">
                  <c:v>866</c:v>
                </c:pt>
                <c:pt idx="5" formatCode="General">
                  <c:v>0</c:v>
                </c:pt>
                <c:pt idx="6" formatCode="General">
                  <c:v>0</c:v>
                </c:pt>
                <c:pt idx="7">
                  <c:v>2564</c:v>
                </c:pt>
                <c:pt idx="8" formatCode="General">
                  <c:v>0</c:v>
                </c:pt>
                <c:pt idx="9" formatCode="General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8C-AB4E-AA0C-24E43CFE5563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2019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Лист1!$A$2:$A$11</c:f>
              <c:strCache>
                <c:ptCount val="10"/>
                <c:pt idx="0">
                  <c:v>Кыргызская Республика</c:v>
                </c:pt>
                <c:pt idx="1">
                  <c:v>Баткенская область</c:v>
                </c:pt>
                <c:pt idx="2">
                  <c:v>Джалал-Абадская область</c:v>
                </c:pt>
                <c:pt idx="3">
                  <c:v>Иссык-Кульская область</c:v>
                </c:pt>
                <c:pt idx="4">
                  <c:v>Нарынская область</c:v>
                </c:pt>
                <c:pt idx="5">
                  <c:v>Ошская область</c:v>
                </c:pt>
                <c:pt idx="6">
                  <c:v>Таласская область</c:v>
                </c:pt>
                <c:pt idx="7">
                  <c:v>Чуйская область</c:v>
                </c:pt>
                <c:pt idx="8">
                  <c:v>г.Бишкек</c:v>
                </c:pt>
                <c:pt idx="9">
                  <c:v>г.Ош</c:v>
                </c:pt>
              </c:strCache>
            </c:strRef>
          </c:cat>
          <c:val>
            <c:numRef>
              <c:f>Лист1!$D$2:$D$11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8C-AB4E-AA0C-24E43CFE5563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2020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Лист1!$A$2:$A$11</c:f>
              <c:strCache>
                <c:ptCount val="10"/>
                <c:pt idx="0">
                  <c:v>Кыргызская Республика</c:v>
                </c:pt>
                <c:pt idx="1">
                  <c:v>Баткенская область</c:v>
                </c:pt>
                <c:pt idx="2">
                  <c:v>Джалал-Абадская область</c:v>
                </c:pt>
                <c:pt idx="3">
                  <c:v>Иссык-Кульская область</c:v>
                </c:pt>
                <c:pt idx="4">
                  <c:v>Нарынская область</c:v>
                </c:pt>
                <c:pt idx="5">
                  <c:v>Ошская область</c:v>
                </c:pt>
                <c:pt idx="6">
                  <c:v>Таласская область</c:v>
                </c:pt>
                <c:pt idx="7">
                  <c:v>Чуйская область</c:v>
                </c:pt>
                <c:pt idx="8">
                  <c:v>г.Бишкек</c:v>
                </c:pt>
                <c:pt idx="9">
                  <c:v>г.Ош</c:v>
                </c:pt>
              </c:strCache>
            </c:strRef>
          </c:cat>
          <c:val>
            <c:numRef>
              <c:f>Лист1!$E$2:$E$11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 formatCode="#,##0">
                  <c:v>1347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F8C-AB4E-AA0C-24E43CFE5563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2021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Лист1!$A$2:$A$11</c:f>
              <c:strCache>
                <c:ptCount val="10"/>
                <c:pt idx="0">
                  <c:v>Кыргызская Республика</c:v>
                </c:pt>
                <c:pt idx="1">
                  <c:v>Баткенская область</c:v>
                </c:pt>
                <c:pt idx="2">
                  <c:v>Джалал-Абадская область</c:v>
                </c:pt>
                <c:pt idx="3">
                  <c:v>Иссык-Кульская область</c:v>
                </c:pt>
                <c:pt idx="4">
                  <c:v>Нарынская область</c:v>
                </c:pt>
                <c:pt idx="5">
                  <c:v>Ошская область</c:v>
                </c:pt>
                <c:pt idx="6">
                  <c:v>Таласская область</c:v>
                </c:pt>
                <c:pt idx="7">
                  <c:v>Чуйская область</c:v>
                </c:pt>
                <c:pt idx="8">
                  <c:v>г.Бишкек</c:v>
                </c:pt>
                <c:pt idx="9">
                  <c:v>г.Ош</c:v>
                </c:pt>
              </c:strCache>
            </c:strRef>
          </c:cat>
          <c:val>
            <c:numRef>
              <c:f>Лист1!$F$2:$F$11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 formatCode="#,##0">
                  <c:v>10751</c:v>
                </c:pt>
                <c:pt idx="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F8C-AB4E-AA0C-24E43CFE55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11725616"/>
        <c:axId val="812400272"/>
      </c:barChart>
      <c:catAx>
        <c:axId val="311725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G"/>
          </a:p>
        </c:txPr>
        <c:crossAx val="812400272"/>
        <c:crosses val="autoZero"/>
        <c:auto val="1"/>
        <c:lblAlgn val="ctr"/>
        <c:lblOffset val="100"/>
        <c:noMultiLvlLbl val="0"/>
      </c:catAx>
      <c:valAx>
        <c:axId val="81240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KG"/>
          </a:p>
        </c:txPr>
        <c:crossAx val="311725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G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G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Лист1!$C$88</c:f>
              <c:strCache>
                <c:ptCount val="1"/>
                <c:pt idx="0">
                  <c:v>2020 факт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4C6-914B-AE05-9F9FDF445BD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4C6-914B-AE05-9F9FDF445BD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4C6-914B-AE05-9F9FDF445BD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4C6-914B-AE05-9F9FDF445BD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14C6-914B-AE05-9F9FDF445BD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14C6-914B-AE05-9F9FDF445BD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14C6-914B-AE05-9F9FDF445BD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14C6-914B-AE05-9F9FDF445BD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14C6-914B-AE05-9F9FDF445BD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14C6-914B-AE05-9F9FDF445BD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14C6-914B-AE05-9F9FDF445BD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14C6-914B-AE05-9F9FDF445BD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14C6-914B-AE05-9F9FDF445BD4}"/>
              </c:ext>
            </c:extLst>
          </c:dPt>
          <c:cat>
            <c:strRef>
              <c:f>Лист1!$B$89:$B$101</c:f>
              <c:strCache>
                <c:ptCount val="13"/>
                <c:pt idx="0">
                  <c:v>ВВП</c:v>
                </c:pt>
                <c:pt idx="1">
                  <c:v>Неналоговые доходы</c:v>
                </c:pt>
                <c:pt idx="2">
                  <c:v>Проценты по бюджетным ссудам и кредитам</c:v>
                </c:pt>
                <c:pt idx="3">
                  <c:v>Дивиденды, начисленные на государственный пакет акций</c:v>
                </c:pt>
                <c:pt idx="4">
                  <c:v>Прибыль Национального банка</c:v>
                </c:pt>
                <c:pt idx="5">
                  <c:v>Прибыль госпредприятий</c:v>
                </c:pt>
                <c:pt idx="6">
                  <c:v>Арендная плата и сборы за разработку и использование ресурсов</c:v>
                </c:pt>
                <c:pt idx="7">
                  <c:v>Плата за аренду</c:v>
                </c:pt>
                <c:pt idx="8">
                  <c:v>Сборы и платежи</c:v>
                </c:pt>
                <c:pt idx="9">
                  <c:v>Поступления от оказания платных услуг</c:v>
                </c:pt>
                <c:pt idx="10">
                  <c:v>Штрафы, санкции и конфискации</c:v>
                </c:pt>
                <c:pt idx="11">
                  <c:v>Добровольные трансферты и гранты единицам гос.сектора</c:v>
                </c:pt>
                <c:pt idx="12">
                  <c:v>Прочие неналоговые доходы</c:v>
                </c:pt>
              </c:strCache>
            </c:strRef>
          </c:cat>
          <c:val>
            <c:numRef>
              <c:f>Лист1!$C$89:$C$101</c:f>
              <c:numCache>
                <c:formatCode>General</c:formatCode>
                <c:ptCount val="13"/>
                <c:pt idx="0">
                  <c:v>601820.30000000005</c:v>
                </c:pt>
                <c:pt idx="1">
                  <c:v>33303</c:v>
                </c:pt>
                <c:pt idx="2">
                  <c:v>1229.4000000000001</c:v>
                </c:pt>
                <c:pt idx="3">
                  <c:v>2176.5</c:v>
                </c:pt>
                <c:pt idx="4">
                  <c:v>4565.3</c:v>
                </c:pt>
                <c:pt idx="5">
                  <c:v>521.4</c:v>
                </c:pt>
                <c:pt idx="6">
                  <c:v>1754.8</c:v>
                </c:pt>
                <c:pt idx="7">
                  <c:v>778.9</c:v>
                </c:pt>
                <c:pt idx="8">
                  <c:v>1966.5</c:v>
                </c:pt>
                <c:pt idx="9">
                  <c:v>10292.200000000001</c:v>
                </c:pt>
                <c:pt idx="10">
                  <c:v>1666</c:v>
                </c:pt>
                <c:pt idx="11">
                  <c:v>2015.2</c:v>
                </c:pt>
                <c:pt idx="12">
                  <c:v>6337.6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A-14C6-914B-AE05-9F9FDF445BD4}"/>
            </c:ext>
          </c:extLst>
        </c:ser>
        <c:ser>
          <c:idx val="1"/>
          <c:order val="1"/>
          <c:tx>
            <c:strRef>
              <c:f>Лист1!$D$88</c:f>
              <c:strCache>
                <c:ptCount val="1"/>
                <c:pt idx="0">
                  <c:v>уд. Вес в ВВП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C-14C6-914B-AE05-9F9FDF445BD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E-14C6-914B-AE05-9F9FDF445BD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0-14C6-914B-AE05-9F9FDF445BD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2-14C6-914B-AE05-9F9FDF445BD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4-14C6-914B-AE05-9F9FDF445BD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6-14C6-914B-AE05-9F9FDF445BD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8-14C6-914B-AE05-9F9FDF445BD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A-14C6-914B-AE05-9F9FDF445BD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C-14C6-914B-AE05-9F9FDF445BD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2E-14C6-914B-AE05-9F9FDF445BD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0-14C6-914B-AE05-9F9FDF445BD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2-14C6-914B-AE05-9F9FDF445BD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4-14C6-914B-AE05-9F9FDF445BD4}"/>
              </c:ext>
            </c:extLst>
          </c:dPt>
          <c:cat>
            <c:strRef>
              <c:f>Лист1!$B$89:$B$101</c:f>
              <c:strCache>
                <c:ptCount val="13"/>
                <c:pt idx="0">
                  <c:v>ВВП</c:v>
                </c:pt>
                <c:pt idx="1">
                  <c:v>Неналоговые доходы</c:v>
                </c:pt>
                <c:pt idx="2">
                  <c:v>Проценты по бюджетным ссудам и кредитам</c:v>
                </c:pt>
                <c:pt idx="3">
                  <c:v>Дивиденды, начисленные на государственный пакет акций</c:v>
                </c:pt>
                <c:pt idx="4">
                  <c:v>Прибыль Национального банка</c:v>
                </c:pt>
                <c:pt idx="5">
                  <c:v>Прибыль госпредприятий</c:v>
                </c:pt>
                <c:pt idx="6">
                  <c:v>Арендная плата и сборы за разработку и использование ресурсов</c:v>
                </c:pt>
                <c:pt idx="7">
                  <c:v>Плата за аренду</c:v>
                </c:pt>
                <c:pt idx="8">
                  <c:v>Сборы и платежи</c:v>
                </c:pt>
                <c:pt idx="9">
                  <c:v>Поступления от оказания платных услуг</c:v>
                </c:pt>
                <c:pt idx="10">
                  <c:v>Штрафы, санкции и конфискации</c:v>
                </c:pt>
                <c:pt idx="11">
                  <c:v>Добровольные трансферты и гранты единицам гос.сектора</c:v>
                </c:pt>
                <c:pt idx="12">
                  <c:v>Прочие неналоговые доходы</c:v>
                </c:pt>
              </c:strCache>
            </c:strRef>
          </c:cat>
          <c:val>
            <c:numRef>
              <c:f>Лист1!$D$89:$D$101</c:f>
              <c:numCache>
                <c:formatCode>General</c:formatCode>
                <c:ptCount val="13"/>
                <c:pt idx="1">
                  <c:v>5.5</c:v>
                </c:pt>
                <c:pt idx="2">
                  <c:v>0.2</c:v>
                </c:pt>
                <c:pt idx="3">
                  <c:v>0.4</c:v>
                </c:pt>
                <c:pt idx="4">
                  <c:v>0.8</c:v>
                </c:pt>
                <c:pt idx="5">
                  <c:v>0.1</c:v>
                </c:pt>
                <c:pt idx="6">
                  <c:v>0.3</c:v>
                </c:pt>
                <c:pt idx="7">
                  <c:v>0.1</c:v>
                </c:pt>
                <c:pt idx="8">
                  <c:v>0.3</c:v>
                </c:pt>
                <c:pt idx="9">
                  <c:v>1.7</c:v>
                </c:pt>
                <c:pt idx="10">
                  <c:v>0.3</c:v>
                </c:pt>
                <c:pt idx="11">
                  <c:v>0.3</c:v>
                </c:pt>
                <c:pt idx="12">
                  <c:v>1.1000000000000001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35-14C6-914B-AE05-9F9FDF445BD4}"/>
            </c:ext>
          </c:extLst>
        </c:ser>
        <c:ser>
          <c:idx val="2"/>
          <c:order val="2"/>
          <c:tx>
            <c:strRef>
              <c:f>Лист1!$E$88</c:f>
              <c:strCache>
                <c:ptCount val="1"/>
                <c:pt idx="0">
                  <c:v>2021 факт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7-14C6-914B-AE05-9F9FDF445BD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9-14C6-914B-AE05-9F9FDF445BD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B-14C6-914B-AE05-9F9FDF445BD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D-14C6-914B-AE05-9F9FDF445BD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3F-14C6-914B-AE05-9F9FDF445BD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1-14C6-914B-AE05-9F9FDF445BD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3-14C6-914B-AE05-9F9FDF445BD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5-14C6-914B-AE05-9F9FDF445BD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7-14C6-914B-AE05-9F9FDF445BD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9-14C6-914B-AE05-9F9FDF445BD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B-14C6-914B-AE05-9F9FDF445BD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D-14C6-914B-AE05-9F9FDF445BD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4F-14C6-914B-AE05-9F9FDF445BD4}"/>
              </c:ext>
            </c:extLst>
          </c:dPt>
          <c:cat>
            <c:strRef>
              <c:f>Лист1!$B$89:$B$101</c:f>
              <c:strCache>
                <c:ptCount val="13"/>
                <c:pt idx="0">
                  <c:v>ВВП</c:v>
                </c:pt>
                <c:pt idx="1">
                  <c:v>Неналоговые доходы</c:v>
                </c:pt>
                <c:pt idx="2">
                  <c:v>Проценты по бюджетным ссудам и кредитам</c:v>
                </c:pt>
                <c:pt idx="3">
                  <c:v>Дивиденды, начисленные на государственный пакет акций</c:v>
                </c:pt>
                <c:pt idx="4">
                  <c:v>Прибыль Национального банка</c:v>
                </c:pt>
                <c:pt idx="5">
                  <c:v>Прибыль госпредприятий</c:v>
                </c:pt>
                <c:pt idx="6">
                  <c:v>Арендная плата и сборы за разработку и использование ресурсов</c:v>
                </c:pt>
                <c:pt idx="7">
                  <c:v>Плата за аренду</c:v>
                </c:pt>
                <c:pt idx="8">
                  <c:v>Сборы и платежи</c:v>
                </c:pt>
                <c:pt idx="9">
                  <c:v>Поступления от оказания платных услуг</c:v>
                </c:pt>
                <c:pt idx="10">
                  <c:v>Штрафы, санкции и конфискации</c:v>
                </c:pt>
                <c:pt idx="11">
                  <c:v>Добровольные трансферты и гранты единицам гос.сектора</c:v>
                </c:pt>
                <c:pt idx="12">
                  <c:v>Прочие неналоговые доходы</c:v>
                </c:pt>
              </c:strCache>
            </c:strRef>
          </c:cat>
          <c:val>
            <c:numRef>
              <c:f>Лист1!$E$89:$E$101</c:f>
              <c:numCache>
                <c:formatCode>General</c:formatCode>
                <c:ptCount val="13"/>
                <c:pt idx="0">
                  <c:v>723122.2</c:v>
                </c:pt>
                <c:pt idx="1">
                  <c:v>44903.199999999997</c:v>
                </c:pt>
                <c:pt idx="2">
                  <c:v>1834.2</c:v>
                </c:pt>
                <c:pt idx="3">
                  <c:v>2704.8</c:v>
                </c:pt>
                <c:pt idx="4">
                  <c:v>8136.3</c:v>
                </c:pt>
                <c:pt idx="5">
                  <c:v>794.8</c:v>
                </c:pt>
                <c:pt idx="6">
                  <c:v>2054.1999999999998</c:v>
                </c:pt>
                <c:pt idx="7">
                  <c:v>2046.4</c:v>
                </c:pt>
                <c:pt idx="8">
                  <c:v>2895.1</c:v>
                </c:pt>
                <c:pt idx="9">
                  <c:v>14336.3</c:v>
                </c:pt>
                <c:pt idx="10">
                  <c:v>2074.5</c:v>
                </c:pt>
                <c:pt idx="11">
                  <c:v>1504</c:v>
                </c:pt>
                <c:pt idx="12">
                  <c:v>6522.6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50-14C6-914B-AE05-9F9FDF445BD4}"/>
            </c:ext>
          </c:extLst>
        </c:ser>
        <c:ser>
          <c:idx val="3"/>
          <c:order val="3"/>
          <c:tx>
            <c:strRef>
              <c:f>Лист1!$F$88</c:f>
              <c:strCache>
                <c:ptCount val="1"/>
                <c:pt idx="0">
                  <c:v>уд. Вес в ВВП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2-14C6-914B-AE05-9F9FDF445BD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4-14C6-914B-AE05-9F9FDF445BD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6-14C6-914B-AE05-9F9FDF445BD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8-14C6-914B-AE05-9F9FDF445BD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A-14C6-914B-AE05-9F9FDF445BD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C-14C6-914B-AE05-9F9FDF445BD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5E-14C6-914B-AE05-9F9FDF445BD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0-14C6-914B-AE05-9F9FDF445BD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2-14C6-914B-AE05-9F9FDF445BD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4-14C6-914B-AE05-9F9FDF445BD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6-14C6-914B-AE05-9F9FDF445BD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8-14C6-914B-AE05-9F9FDF445BD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A-14C6-914B-AE05-9F9FDF445BD4}"/>
              </c:ext>
            </c:extLst>
          </c:dPt>
          <c:cat>
            <c:strRef>
              <c:f>Лист1!$B$89:$B$101</c:f>
              <c:strCache>
                <c:ptCount val="13"/>
                <c:pt idx="0">
                  <c:v>ВВП</c:v>
                </c:pt>
                <c:pt idx="1">
                  <c:v>Неналоговые доходы</c:v>
                </c:pt>
                <c:pt idx="2">
                  <c:v>Проценты по бюджетным ссудам и кредитам</c:v>
                </c:pt>
                <c:pt idx="3">
                  <c:v>Дивиденды, начисленные на государственный пакет акций</c:v>
                </c:pt>
                <c:pt idx="4">
                  <c:v>Прибыль Национального банка</c:v>
                </c:pt>
                <c:pt idx="5">
                  <c:v>Прибыль госпредприятий</c:v>
                </c:pt>
                <c:pt idx="6">
                  <c:v>Арендная плата и сборы за разработку и использование ресурсов</c:v>
                </c:pt>
                <c:pt idx="7">
                  <c:v>Плата за аренду</c:v>
                </c:pt>
                <c:pt idx="8">
                  <c:v>Сборы и платежи</c:v>
                </c:pt>
                <c:pt idx="9">
                  <c:v>Поступления от оказания платных услуг</c:v>
                </c:pt>
                <c:pt idx="10">
                  <c:v>Штрафы, санкции и конфискации</c:v>
                </c:pt>
                <c:pt idx="11">
                  <c:v>Добровольные трансферты и гранты единицам гос.сектора</c:v>
                </c:pt>
                <c:pt idx="12">
                  <c:v>Прочие неналоговые доходы</c:v>
                </c:pt>
              </c:strCache>
            </c:strRef>
          </c:cat>
          <c:val>
            <c:numRef>
              <c:f>Лист1!$F$89:$F$101</c:f>
              <c:numCache>
                <c:formatCode>General</c:formatCode>
                <c:ptCount val="13"/>
                <c:pt idx="1">
                  <c:v>6.2</c:v>
                </c:pt>
                <c:pt idx="2">
                  <c:v>0.3</c:v>
                </c:pt>
                <c:pt idx="3">
                  <c:v>0.4</c:v>
                </c:pt>
                <c:pt idx="4">
                  <c:v>1.1000000000000001</c:v>
                </c:pt>
                <c:pt idx="5">
                  <c:v>0.1</c:v>
                </c:pt>
                <c:pt idx="6">
                  <c:v>0.3</c:v>
                </c:pt>
                <c:pt idx="7">
                  <c:v>0.3</c:v>
                </c:pt>
                <c:pt idx="8">
                  <c:v>0.4</c:v>
                </c:pt>
                <c:pt idx="9">
                  <c:v>2</c:v>
                </c:pt>
                <c:pt idx="10">
                  <c:v>0.3</c:v>
                </c:pt>
                <c:pt idx="11">
                  <c:v>0.2</c:v>
                </c:pt>
                <c:pt idx="12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6B-14C6-914B-AE05-9F9FDF445BD4}"/>
            </c:ext>
          </c:extLst>
        </c:ser>
        <c:ser>
          <c:idx val="4"/>
          <c:order val="4"/>
          <c:tx>
            <c:strRef>
              <c:f>Лист1!$G$88</c:f>
              <c:strCache>
                <c:ptCount val="1"/>
                <c:pt idx="0">
                  <c:v>темп роста к факту 2020 год(%)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D-14C6-914B-AE05-9F9FDF445BD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6F-14C6-914B-AE05-9F9FDF445BD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1-14C6-914B-AE05-9F9FDF445BD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3-14C6-914B-AE05-9F9FDF445BD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5-14C6-914B-AE05-9F9FDF445BD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7-14C6-914B-AE05-9F9FDF445BD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9-14C6-914B-AE05-9F9FDF445BD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B-14C6-914B-AE05-9F9FDF445BD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D-14C6-914B-AE05-9F9FDF445BD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7F-14C6-914B-AE05-9F9FDF445BD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1-14C6-914B-AE05-9F9FDF445BD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3-14C6-914B-AE05-9F9FDF445BD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85-14C6-914B-AE05-9F9FDF445BD4}"/>
              </c:ext>
            </c:extLst>
          </c:dPt>
          <c:cat>
            <c:strRef>
              <c:f>Лист1!$B$89:$B$101</c:f>
              <c:strCache>
                <c:ptCount val="13"/>
                <c:pt idx="0">
                  <c:v>ВВП</c:v>
                </c:pt>
                <c:pt idx="1">
                  <c:v>Неналоговые доходы</c:v>
                </c:pt>
                <c:pt idx="2">
                  <c:v>Проценты по бюджетным ссудам и кредитам</c:v>
                </c:pt>
                <c:pt idx="3">
                  <c:v>Дивиденды, начисленные на государственный пакет акций</c:v>
                </c:pt>
                <c:pt idx="4">
                  <c:v>Прибыль Национального банка</c:v>
                </c:pt>
                <c:pt idx="5">
                  <c:v>Прибыль госпредприятий</c:v>
                </c:pt>
                <c:pt idx="6">
                  <c:v>Арендная плата и сборы за разработку и использование ресурсов</c:v>
                </c:pt>
                <c:pt idx="7">
                  <c:v>Плата за аренду</c:v>
                </c:pt>
                <c:pt idx="8">
                  <c:v>Сборы и платежи</c:v>
                </c:pt>
                <c:pt idx="9">
                  <c:v>Поступления от оказания платных услуг</c:v>
                </c:pt>
                <c:pt idx="10">
                  <c:v>Штрафы, санкции и конфискации</c:v>
                </c:pt>
                <c:pt idx="11">
                  <c:v>Добровольные трансферты и гранты единицам гос.сектора</c:v>
                </c:pt>
                <c:pt idx="12">
                  <c:v>Прочие неналоговые доходы</c:v>
                </c:pt>
              </c:strCache>
            </c:strRef>
          </c:cat>
          <c:val>
            <c:numRef>
              <c:f>Лист1!$G$89:$G$101</c:f>
              <c:numCache>
                <c:formatCode>General</c:formatCode>
                <c:ptCount val="13"/>
                <c:pt idx="1">
                  <c:v>134.80000000000001</c:v>
                </c:pt>
                <c:pt idx="2">
                  <c:v>149.19999999999999</c:v>
                </c:pt>
                <c:pt idx="3">
                  <c:v>124.3</c:v>
                </c:pt>
                <c:pt idx="4">
                  <c:v>178.2</c:v>
                </c:pt>
                <c:pt idx="5">
                  <c:v>152.4</c:v>
                </c:pt>
                <c:pt idx="6">
                  <c:v>117.1</c:v>
                </c:pt>
                <c:pt idx="7">
                  <c:v>262.7</c:v>
                </c:pt>
                <c:pt idx="8">
                  <c:v>147.19999999999999</c:v>
                </c:pt>
                <c:pt idx="9">
                  <c:v>139.30000000000001</c:v>
                </c:pt>
                <c:pt idx="10">
                  <c:v>124.5</c:v>
                </c:pt>
                <c:pt idx="11">
                  <c:v>74.599999999999994</c:v>
                </c:pt>
                <c:pt idx="12">
                  <c:v>102.9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86-14C6-914B-AE05-9F9FDF445B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KG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KG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4036</Words>
  <Characters>23009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Данияр Казаков</dc:creator>
  <cp:keywords/>
  <dc:description/>
  <cp:lastModifiedBy>Данияр Казаков</cp:lastModifiedBy>
  <cp:revision>4</cp:revision>
  <dcterms:created xsi:type="dcterms:W3CDTF">2022-11-01T19:56:00Z</dcterms:created>
  <dcterms:modified xsi:type="dcterms:W3CDTF">2022-11-02T09:09:00Z</dcterms:modified>
</cp:coreProperties>
</file>